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D1081">
      <w:pPr>
        <w:spacing w:after="300"/>
        <w:jc w:val="right"/>
      </w:pPr>
      <w:bookmarkStart w:id="11" w:name="_GoBack"/>
      <w:bookmarkEnd w:id="11"/>
      <w:r>
        <w:drawing>
          <wp:inline distT="0" distB="0" distL="114300" distR="114300">
            <wp:extent cx="899795" cy="8997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900000" cy="900000"/>
                    </a:xfrm>
                    <a:prstGeom prst="rect">
                      <a:avLst/>
                    </a:prstGeom>
                  </pic:spPr>
                </pic:pic>
              </a:graphicData>
            </a:graphic>
          </wp:inline>
        </w:drawing>
      </w:r>
    </w:p>
    <w:p w14:paraId="2857D61C">
      <w:pPr>
        <w:spacing w:before="400" w:after="240"/>
      </w:pPr>
      <w:r>
        <w:rPr>
          <w:rFonts w:ascii="Arial" w:hAnsi="Arial" w:eastAsia="微软雅黑"/>
          <w:b/>
          <w:color w:val="153758"/>
          <w:sz w:val="76"/>
        </w:rPr>
        <w:t>NEXUS-ERP</w:t>
      </w:r>
    </w:p>
    <w:p w14:paraId="4D3367B4">
      <w:pPr>
        <w:spacing w:after="180" w:line="298" w:lineRule="auto"/>
      </w:pPr>
      <w:r>
        <w:rPr>
          <w:rFonts w:ascii="Arial" w:hAnsi="Arial" w:eastAsia="微软雅黑"/>
          <w:b/>
          <w:color w:val="153758"/>
          <w:sz w:val="48"/>
        </w:rPr>
        <w:t>面向生产协同的</w:t>
      </w:r>
      <w:r>
        <w:rPr>
          <w:rFonts w:ascii="Arial" w:hAnsi="Arial" w:eastAsia="微软雅黑"/>
          <w:b/>
          <w:color w:val="153758"/>
          <w:sz w:val="48"/>
        </w:rPr>
        <w:br w:type="textWrapping"/>
      </w:r>
      <w:r>
        <w:rPr>
          <w:rFonts w:ascii="Arial" w:hAnsi="Arial" w:eastAsia="微软雅黑"/>
          <w:b/>
          <w:color w:val="153758"/>
          <w:sz w:val="48"/>
        </w:rPr>
        <w:t>开源 AI+ 工业软件平台</w:t>
      </w:r>
    </w:p>
    <w:p w14:paraId="46A61DC0">
      <w:r>
        <w:rPr>
          <w:rFonts w:ascii="Arial" w:hAnsi="Arial" w:eastAsia="微软雅黑"/>
          <w:color w:val="53687E"/>
          <w:sz w:val="24"/>
        </w:rPr>
        <w:t>2026 上海开源软件应用创新大赛</w:t>
      </w:r>
    </w:p>
    <w:p w14:paraId="1A539584">
      <w:pPr>
        <w:pBdr>
          <w:bottom w:val="single" w:color="126BC5" w:sz="20" w:space="7"/>
        </w:pBdr>
        <w:spacing w:after="480"/>
      </w:pPr>
      <w:r>
        <w:rPr>
          <w:rFonts w:ascii="Arial" w:hAnsi="Arial" w:eastAsia="微软雅黑"/>
          <w:b/>
          <w:color w:val="126BC5"/>
          <w:sz w:val="28"/>
        </w:rPr>
        <w:t>AI+ 工业软件赛道  |  作品介绍</w:t>
      </w:r>
    </w:p>
    <w:p w14:paraId="77CE8BC2">
      <w:pPr>
        <w:spacing w:after="360" w:line="372" w:lineRule="auto"/>
      </w:pPr>
      <w:r>
        <w:rPr>
          <w:rFonts w:ascii="Arial" w:hAnsi="Arial" w:eastAsia="微软雅黑"/>
          <w:b/>
          <w:color w:val="153758"/>
          <w:sz w:val="28"/>
        </w:rPr>
        <w:t>让业务事实、工业计算与现场协同</w:t>
      </w:r>
      <w:r>
        <w:rPr>
          <w:rFonts w:ascii="Arial" w:hAnsi="Arial" w:eastAsia="微软雅黑"/>
          <w:b/>
          <w:color w:val="153758"/>
          <w:sz w:val="28"/>
        </w:rPr>
        <w:br w:type="textWrapping"/>
      </w:r>
      <w:r>
        <w:rPr>
          <w:rFonts w:ascii="Arial" w:hAnsi="Arial" w:eastAsia="微软雅黑"/>
          <w:b/>
          <w:color w:val="153758"/>
          <w:sz w:val="28"/>
        </w:rPr>
        <w:t>进入同一套软件流程</w:t>
      </w:r>
    </w:p>
    <w:p w14:paraId="07B1C994">
      <w:pPr>
        <w:spacing w:after="560"/>
      </w:pPr>
      <w:r>
        <w:rPr>
          <w:rFonts w:ascii="Arial" w:hAnsi="Arial" w:eastAsia="微软雅黑"/>
          <w:color w:val="126BC5"/>
          <w:sz w:val="21"/>
        </w:rPr>
        <w:t>工业约束  ·  系统集成  ·  分层验证  ·  开源复用</w:t>
      </w:r>
    </w:p>
    <w:p w14:paraId="6BA50117">
      <w:pPr>
        <w:spacing w:after="140"/>
      </w:pPr>
      <w:r>
        <w:rPr>
          <w:rFonts w:ascii="Arial" w:hAnsi="Arial" w:eastAsia="微软雅黑"/>
          <w:color w:val="53687E"/>
          <w:sz w:val="19"/>
        </w:rPr>
        <w:t xml:space="preserve">项目负责人  </w:t>
      </w:r>
      <w:r>
        <w:rPr>
          <w:rFonts w:ascii="Arial" w:hAnsi="Arial" w:eastAsia="微软雅黑"/>
          <w:color w:val="26364A"/>
          <w:sz w:val="20"/>
        </w:rPr>
        <w:t>王欢</w:t>
      </w:r>
    </w:p>
    <w:p w14:paraId="24504ED8">
      <w:pPr>
        <w:spacing w:after="140"/>
      </w:pPr>
      <w:r>
        <w:rPr>
          <w:rFonts w:ascii="Arial" w:hAnsi="Arial" w:eastAsia="微软雅黑"/>
          <w:color w:val="53687E"/>
          <w:sz w:val="19"/>
        </w:rPr>
        <w:t xml:space="preserve">文档版本  </w:t>
      </w:r>
      <w:r>
        <w:rPr>
          <w:rFonts w:ascii="Arial" w:hAnsi="Arial" w:eastAsia="微软雅黑"/>
          <w:color w:val="26364A"/>
          <w:sz w:val="20"/>
        </w:rPr>
        <w:t>2026-10-10 · 可编辑审阅版</w:t>
      </w:r>
    </w:p>
    <w:p w14:paraId="360BE917">
      <w:pPr>
        <w:spacing w:after="140"/>
      </w:pPr>
      <w:r>
        <w:rPr>
          <w:rFonts w:ascii="Arial" w:hAnsi="Arial" w:eastAsia="微软雅黑"/>
          <w:color w:val="53687E"/>
          <w:sz w:val="19"/>
        </w:rPr>
        <w:t xml:space="preserve">源码核对基线  </w:t>
      </w:r>
      <w:r>
        <w:rPr>
          <w:rFonts w:ascii="Arial" w:hAnsi="Arial" w:eastAsia="微软雅黑"/>
          <w:color w:val="26364A"/>
          <w:sz w:val="20"/>
        </w:rPr>
        <w:t>b3157c52</w:t>
      </w:r>
    </w:p>
    <w:p w14:paraId="410FE4C5">
      <w:pPr>
        <w:spacing w:before="320"/>
      </w:pPr>
      <w:r>
        <w:rPr>
          <w:rFonts w:ascii="Arial" w:hAnsi="Arial" w:eastAsia="微软雅黑"/>
          <w:color w:val="53687E"/>
          <w:sz w:val="17"/>
        </w:rPr>
        <w:t>本文保留已实现能力与验证边界；最终内容确认及 PDF 转换由负责人完成。</w:t>
      </w:r>
    </w:p>
    <w:p w14:paraId="03DC891C">
      <w:r>
        <w:br w:type="page"/>
      </w:r>
    </w:p>
    <w:p w14:paraId="70C2CBF2">
      <w:pPr>
        <w:pBdr>
          <w:bottom w:val="single" w:color="126BC5" w:sz="12" w:space="7"/>
        </w:pBdr>
      </w:pPr>
      <w:r>
        <w:rPr>
          <w:rFonts w:ascii="Arial" w:hAnsi="Arial" w:eastAsia="微软雅黑"/>
          <w:b/>
          <w:color w:val="153758"/>
          <w:sz w:val="44"/>
        </w:rPr>
        <w:t>目录</w:t>
      </w:r>
    </w:p>
    <w:p w14:paraId="7FA5AD18">
      <w:pPr>
        <w:pStyle w:val="26"/>
        <w:tabs>
          <w:tab w:val="right" w:leader="dot" w:pos="9638"/>
        </w:tabs>
      </w:pPr>
      <w:r>
        <w:fldChar w:fldCharType="begin"/>
      </w:r>
      <w:r>
        <w:instrText xml:space="preserve">TOC \o "1-1" \h \z \u</w:instrText>
      </w:r>
      <w:r>
        <w:fldChar w:fldCharType="separate"/>
      </w:r>
      <w:r>
        <w:fldChar w:fldCharType="begin"/>
      </w:r>
      <w:r>
        <w:instrText xml:space="preserve"> HYPERLINK \l _Toc4443 </w:instrText>
      </w:r>
      <w:r>
        <w:fldChar w:fldCharType="separate"/>
      </w:r>
      <w:r>
        <w:t>作品摘要</w:t>
      </w:r>
      <w:r>
        <w:tab/>
      </w:r>
      <w:r>
        <w:fldChar w:fldCharType="begin"/>
      </w:r>
      <w:r>
        <w:instrText xml:space="preserve"> PAGEREF _Toc4443 \h </w:instrText>
      </w:r>
      <w:r>
        <w:fldChar w:fldCharType="separate"/>
      </w:r>
      <w:r>
        <w:t>3</w:t>
      </w:r>
      <w:r>
        <w:fldChar w:fldCharType="end"/>
      </w:r>
      <w:r>
        <w:fldChar w:fldCharType="end"/>
      </w:r>
    </w:p>
    <w:p w14:paraId="37CD1D0D">
      <w:pPr>
        <w:pStyle w:val="26"/>
        <w:tabs>
          <w:tab w:val="right" w:leader="dot" w:pos="9638"/>
        </w:tabs>
      </w:pPr>
      <w:r>
        <w:fldChar w:fldCharType="begin"/>
      </w:r>
      <w:r>
        <w:instrText xml:space="preserve"> HYPERLINK \l _Toc6055 </w:instrText>
      </w:r>
      <w:r>
        <w:fldChar w:fldCharType="separate"/>
      </w:r>
      <w:r>
        <w:t>一、为什么符合 AI+ 工业软件赛道</w:t>
      </w:r>
      <w:r>
        <w:tab/>
      </w:r>
      <w:r>
        <w:fldChar w:fldCharType="begin"/>
      </w:r>
      <w:r>
        <w:instrText xml:space="preserve"> PAGEREF _Toc6055 \h </w:instrText>
      </w:r>
      <w:r>
        <w:fldChar w:fldCharType="separate"/>
      </w:r>
      <w:r>
        <w:t>4</w:t>
      </w:r>
      <w:r>
        <w:fldChar w:fldCharType="end"/>
      </w:r>
      <w:r>
        <w:fldChar w:fldCharType="end"/>
      </w:r>
    </w:p>
    <w:p w14:paraId="4AD4C92D">
      <w:pPr>
        <w:pStyle w:val="26"/>
        <w:tabs>
          <w:tab w:val="right" w:leader="dot" w:pos="9638"/>
        </w:tabs>
      </w:pPr>
      <w:r>
        <w:fldChar w:fldCharType="begin"/>
      </w:r>
      <w:r>
        <w:instrText xml:space="preserve"> HYPERLINK \l _Toc15625 </w:instrText>
      </w:r>
      <w:r>
        <w:fldChar w:fldCharType="separate"/>
      </w:r>
      <w:r>
        <w:t>二、从一个制造问题出发，而不是从模块清单出发</w:t>
      </w:r>
      <w:r>
        <w:tab/>
      </w:r>
      <w:r>
        <w:fldChar w:fldCharType="begin"/>
      </w:r>
      <w:r>
        <w:instrText xml:space="preserve"> PAGEREF _Toc15625 \h </w:instrText>
      </w:r>
      <w:r>
        <w:fldChar w:fldCharType="separate"/>
      </w:r>
      <w:r>
        <w:t>4</w:t>
      </w:r>
      <w:r>
        <w:fldChar w:fldCharType="end"/>
      </w:r>
      <w:r>
        <w:fldChar w:fldCharType="end"/>
      </w:r>
    </w:p>
    <w:p w14:paraId="5B4989D8">
      <w:pPr>
        <w:pStyle w:val="26"/>
        <w:tabs>
          <w:tab w:val="right" w:leader="dot" w:pos="9638"/>
        </w:tabs>
      </w:pPr>
      <w:r>
        <w:fldChar w:fldCharType="begin"/>
      </w:r>
      <w:r>
        <w:instrText xml:space="preserve"> HYPERLINK \l _Toc28095 </w:instrText>
      </w:r>
      <w:r>
        <w:fldChar w:fldCharType="separate"/>
      </w:r>
      <w:r>
        <w:t>三、项目如何把 AI 与工业软件连接起来</w:t>
      </w:r>
      <w:r>
        <w:tab/>
      </w:r>
      <w:r>
        <w:fldChar w:fldCharType="begin"/>
      </w:r>
      <w:r>
        <w:instrText xml:space="preserve"> PAGEREF _Toc28095 \h </w:instrText>
      </w:r>
      <w:r>
        <w:fldChar w:fldCharType="separate"/>
      </w:r>
      <w:r>
        <w:t>5</w:t>
      </w:r>
      <w:r>
        <w:fldChar w:fldCharType="end"/>
      </w:r>
      <w:r>
        <w:fldChar w:fldCharType="end"/>
      </w:r>
    </w:p>
    <w:p w14:paraId="77C61808">
      <w:pPr>
        <w:pStyle w:val="26"/>
        <w:tabs>
          <w:tab w:val="right" w:leader="dot" w:pos="9638"/>
        </w:tabs>
      </w:pPr>
      <w:r>
        <w:fldChar w:fldCharType="begin"/>
      </w:r>
      <w:r>
        <w:instrText xml:space="preserve"> HYPERLINK \l _Toc23547 </w:instrText>
      </w:r>
      <w:r>
        <w:fldChar w:fldCharType="separate"/>
      </w:r>
      <w:r>
        <w:t>四、系统集成：四端接入、统一后端、分工清楚</w:t>
      </w:r>
      <w:r>
        <w:tab/>
      </w:r>
      <w:r>
        <w:fldChar w:fldCharType="begin"/>
      </w:r>
      <w:r>
        <w:instrText xml:space="preserve"> PAGEREF _Toc23547 \h </w:instrText>
      </w:r>
      <w:r>
        <w:fldChar w:fldCharType="separate"/>
      </w:r>
      <w:r>
        <w:t>7</w:t>
      </w:r>
      <w:r>
        <w:fldChar w:fldCharType="end"/>
      </w:r>
      <w:r>
        <w:fldChar w:fldCharType="end"/>
      </w:r>
    </w:p>
    <w:p w14:paraId="1ADA08FE">
      <w:pPr>
        <w:pStyle w:val="26"/>
        <w:tabs>
          <w:tab w:val="right" w:leader="dot" w:pos="9638"/>
        </w:tabs>
      </w:pPr>
      <w:r>
        <w:fldChar w:fldCharType="begin"/>
      </w:r>
      <w:r>
        <w:instrText xml:space="preserve"> HYPERLINK \l _Toc10083 </w:instrText>
      </w:r>
      <w:r>
        <w:fldChar w:fldCharType="separate"/>
      </w:r>
      <w:r>
        <w:t>五、创新点与应用价值</w:t>
      </w:r>
      <w:r>
        <w:tab/>
      </w:r>
      <w:r>
        <w:fldChar w:fldCharType="begin"/>
      </w:r>
      <w:r>
        <w:instrText xml:space="preserve"> PAGEREF _Toc10083 \h </w:instrText>
      </w:r>
      <w:r>
        <w:fldChar w:fldCharType="separate"/>
      </w:r>
      <w:r>
        <w:t>7</w:t>
      </w:r>
      <w:r>
        <w:fldChar w:fldCharType="end"/>
      </w:r>
      <w:r>
        <w:fldChar w:fldCharType="end"/>
      </w:r>
    </w:p>
    <w:p w14:paraId="6C0EC658">
      <w:pPr>
        <w:pStyle w:val="26"/>
        <w:tabs>
          <w:tab w:val="right" w:leader="dot" w:pos="9638"/>
        </w:tabs>
      </w:pPr>
      <w:r>
        <w:fldChar w:fldCharType="begin"/>
      </w:r>
      <w:r>
        <w:instrText xml:space="preserve"> HYPERLINK \l _Toc32070 </w:instrText>
      </w:r>
      <w:r>
        <w:fldChar w:fldCharType="separate"/>
      </w:r>
      <w:r>
        <w:t>六、验证能力与已有证据</w:t>
      </w:r>
      <w:r>
        <w:tab/>
      </w:r>
      <w:r>
        <w:fldChar w:fldCharType="begin"/>
      </w:r>
      <w:r>
        <w:instrText xml:space="preserve"> PAGEREF _Toc32070 \h </w:instrText>
      </w:r>
      <w:r>
        <w:fldChar w:fldCharType="separate"/>
      </w:r>
      <w:r>
        <w:t>8</w:t>
      </w:r>
      <w:r>
        <w:fldChar w:fldCharType="end"/>
      </w:r>
      <w:r>
        <w:fldChar w:fldCharType="end"/>
      </w:r>
    </w:p>
    <w:p w14:paraId="2D855A9E">
      <w:pPr>
        <w:pStyle w:val="26"/>
        <w:tabs>
          <w:tab w:val="right" w:leader="dot" w:pos="9638"/>
        </w:tabs>
      </w:pPr>
      <w:r>
        <w:fldChar w:fldCharType="begin"/>
      </w:r>
      <w:r>
        <w:instrText xml:space="preserve"> HYPERLINK \l _Toc9209 </w:instrText>
      </w:r>
      <w:r>
        <w:fldChar w:fldCharType="separate"/>
      </w:r>
      <w:r>
        <w:t>七、开源价值与持续发展</w:t>
      </w:r>
      <w:r>
        <w:tab/>
      </w:r>
      <w:r>
        <w:fldChar w:fldCharType="begin"/>
      </w:r>
      <w:r>
        <w:instrText xml:space="preserve"> PAGEREF _Toc9209 \h </w:instrText>
      </w:r>
      <w:r>
        <w:fldChar w:fldCharType="separate"/>
      </w:r>
      <w:r>
        <w:t>9</w:t>
      </w:r>
      <w:r>
        <w:fldChar w:fldCharType="end"/>
      </w:r>
      <w:r>
        <w:fldChar w:fldCharType="end"/>
      </w:r>
    </w:p>
    <w:p w14:paraId="33D353FD">
      <w:pPr>
        <w:pStyle w:val="26"/>
        <w:tabs>
          <w:tab w:val="right" w:leader="dot" w:pos="9638"/>
        </w:tabs>
      </w:pPr>
      <w:r>
        <w:fldChar w:fldCharType="begin"/>
      </w:r>
      <w:r>
        <w:instrText xml:space="preserve"> HYPERLINK \l _Toc1215 </w:instrText>
      </w:r>
      <w:r>
        <w:fldChar w:fldCharType="separate"/>
      </w:r>
      <w:r>
        <w:t>八、面向评审的收束</w:t>
      </w:r>
      <w:r>
        <w:tab/>
      </w:r>
      <w:r>
        <w:fldChar w:fldCharType="begin"/>
      </w:r>
      <w:r>
        <w:instrText xml:space="preserve"> PAGEREF _Toc1215 \h </w:instrText>
      </w:r>
      <w:r>
        <w:fldChar w:fldCharType="separate"/>
      </w:r>
      <w:r>
        <w:t>10</w:t>
      </w:r>
      <w:r>
        <w:fldChar w:fldCharType="end"/>
      </w:r>
      <w:r>
        <w:fldChar w:fldCharType="end"/>
      </w:r>
    </w:p>
    <w:p w14:paraId="52FAEFBE">
      <w:pPr>
        <w:pStyle w:val="26"/>
        <w:tabs>
          <w:tab w:val="right" w:leader="dot" w:pos="9638"/>
        </w:tabs>
      </w:pPr>
      <w:r>
        <w:fldChar w:fldCharType="begin"/>
      </w:r>
      <w:r>
        <w:instrText xml:space="preserve"> HYPERLINK \l _Toc14845 </w:instrText>
      </w:r>
      <w:r>
        <w:fldChar w:fldCharType="separate"/>
      </w:r>
      <w:r>
        <w:t>附录：源码与验证记录索引</w:t>
      </w:r>
      <w:r>
        <w:tab/>
      </w:r>
      <w:r>
        <w:fldChar w:fldCharType="begin"/>
      </w:r>
      <w:r>
        <w:instrText xml:space="preserve"> PAGEREF _Toc14845 \h </w:instrText>
      </w:r>
      <w:r>
        <w:fldChar w:fldCharType="separate"/>
      </w:r>
      <w:r>
        <w:t>11</w:t>
      </w:r>
      <w:r>
        <w:fldChar w:fldCharType="end"/>
      </w:r>
      <w:r>
        <w:fldChar w:fldCharType="end"/>
      </w:r>
    </w:p>
    <w:p w14:paraId="4010F4A0">
      <w:pPr>
        <w:pStyle w:val="26"/>
        <w:tabs>
          <w:tab w:val="right" w:leader="dot" w:pos="9638"/>
        </w:tabs>
      </w:pPr>
      <w:r>
        <w:fldChar w:fldCharType="begin"/>
      </w:r>
      <w:r>
        <w:instrText xml:space="preserve"> HYPERLINK \l _Toc20736 </w:instrText>
      </w:r>
      <w:r>
        <w:fldChar w:fldCharType="separate"/>
      </w:r>
      <w:r>
        <w:t>附图：既有 Archify 系统总体架构</w:t>
      </w:r>
      <w:r>
        <w:tab/>
      </w:r>
      <w:r>
        <w:fldChar w:fldCharType="begin"/>
      </w:r>
      <w:r>
        <w:instrText xml:space="preserve"> PAGEREF _Toc20736 \h </w:instrText>
      </w:r>
      <w:r>
        <w:fldChar w:fldCharType="separate"/>
      </w:r>
      <w:r>
        <w:t>12</w:t>
      </w:r>
      <w:r>
        <w:fldChar w:fldCharType="end"/>
      </w:r>
      <w:r>
        <w:fldChar w:fldCharType="end"/>
      </w:r>
    </w:p>
    <w:p w14:paraId="6A35F7E9">
      <w:pPr>
        <w:spacing w:after="300"/>
      </w:pPr>
      <w:r>
        <w:fldChar w:fldCharType="end"/>
      </w:r>
    </w:p>
    <w:p w14:paraId="626D2D70">
      <w:r>
        <w:rPr>
          <w:rFonts w:ascii="Arial" w:hAnsi="Arial" w:eastAsia="微软雅黑"/>
          <w:b/>
          <w:color w:val="126BC5"/>
          <w:sz w:val="21"/>
        </w:rPr>
        <w:t>阅读说明</w:t>
      </w:r>
    </w:p>
    <w:p w14:paraId="46B183E4">
      <w:r>
        <w:rPr>
          <w:rFonts w:ascii="Arial" w:hAnsi="Arial" w:eastAsia="微软雅黑"/>
          <w:color w:val="53687E"/>
          <w:sz w:val="19"/>
        </w:rPr>
        <w:t>正文介绍作品定位、工业能力、集成方式与验证依据。架构阅读版按现有资料归组重排，原始详细架构见附图。图示表达实现关系，不证明所有服务、客户端与设备已同时在线。</w:t>
      </w:r>
    </w:p>
    <w:p w14:paraId="0DD8CE62">
      <w:r>
        <w:rPr>
          <w:rFonts w:ascii="Arial" w:hAnsi="Arial" w:eastAsia="微软雅黑"/>
          <w:color w:val="53687E"/>
          <w:sz w:val="19"/>
        </w:rPr>
        <w:t>事实核对日期：2026-10-10。历史测试与运行记录保留各自日期和构建范围，本次排版没有新增业务运行验收。</w:t>
      </w:r>
    </w:p>
    <w:p w14:paraId="3FD83EFF">
      <w:r>
        <w:br w:type="page"/>
      </w:r>
    </w:p>
    <w:p w14:paraId="3C7E9286">
      <w:pPr>
        <w:pStyle w:val="3"/>
      </w:pPr>
      <w:bookmarkStart w:id="0" w:name="_Toc4443"/>
      <w:r>
        <w:t>作品摘要</w:t>
      </w:r>
      <w:bookmarkEnd w:id="0"/>
    </w:p>
    <w:p w14:paraId="6E24EE41">
      <w:pPr>
        <w:jc w:val="both"/>
      </w:pPr>
      <w:r>
        <w:rPr>
          <w:rFonts w:ascii="Arial" w:hAnsi="Arial" w:eastAsia="微软雅黑"/>
          <w:b w:val="0"/>
          <w:i w:val="0"/>
        </w:rPr>
        <w:t>制造业的生产协同，不是把订单输入系统就结束了。一张工单背后，既有物料与工艺约束，也有有限产能、检验状态和设备异常。计划、采购、仓储、车间、质量与设备人员掌握着不同事实；真正困难的是把这些事实连接起来，判断下一步应该做什么，以及谁有权执行。</w:t>
      </w:r>
    </w:p>
    <w:p w14:paraId="06D07980">
      <w:pPr>
        <w:jc w:val="both"/>
      </w:pPr>
      <w:r>
        <w:rPr>
          <w:rFonts w:ascii="Arial" w:hAnsi="Arial" w:eastAsia="微软雅黑"/>
          <w:b w:val="0"/>
          <w:i w:val="0"/>
        </w:rPr>
        <w:t>Nexus-ERP 面向制造业与贸易型企业，以 ERP、MES 和 IoT 为业务底座，将 AI 数据查询、企业知识检索、流程编排和生产决策辅助接入统一管理端。它不是独立于业务系统的聊天演示：用户可以通过自然语言查找生产与物料信息，利用企业知识理解处置要求，再由确定性服务开展缺料推演、有限产能排程和候选方案比较。业务动作仍经过权限、来源、版本和人工审批约束。</w:t>
      </w:r>
    </w:p>
    <w:p w14:paraId="1A28FB89">
      <w:pPr>
        <w:jc w:val="both"/>
      </w:pPr>
      <w:r>
        <w:rPr>
          <w:rFonts w:ascii="Arial" w:hAnsi="Arial" w:eastAsia="微软雅黑"/>
          <w:b w:val="0"/>
          <w:i w:val="0"/>
        </w:rPr>
        <w:t>本次作品重点展示一条制造协同主线：</w:t>
      </w:r>
      <w:r>
        <w:rPr>
          <w:rFonts w:ascii="Arial" w:hAnsi="Arial" w:eastAsia="微软雅黑"/>
          <w:b/>
          <w:i w:val="0"/>
        </w:rPr>
        <w:t>从工艺与物料准备，进入生产排程，再观察执行、质量和设备环节的协同方式</w:t>
      </w:r>
      <w:r>
        <w:rPr>
          <w:rFonts w:ascii="Arial" w:hAnsi="Arial" w:eastAsia="微软雅黑"/>
          <w:b w:val="0"/>
          <w:i w:val="0"/>
        </w:rPr>
        <w:t>。其中，AI 负责理解、检索和解释，工业服务负责计算，ERP/MES 负责业务状态与执行记录。作品希望回答的不是“模型能说多少”，而是“AI 如何在工业软件中获得可信输入、协同现有能力，并在明确边界内帮助业务人员行动”。</w:t>
      </w:r>
    </w:p>
    <w:p w14:paraId="1C72572B">
      <w:pPr>
        <w:keepNext/>
        <w:spacing w:before="120" w:after="60"/>
        <w:jc w:val="center"/>
      </w:pPr>
      <w:r>
        <w:drawing>
          <wp:inline distT="0" distB="0" distL="114300" distR="114300">
            <wp:extent cx="6119495" cy="4113530"/>
            <wp:effectExtent l="0" t="0" r="1905" b="1270"/>
            <wp:docPr id="2" name="Picture 2" descr="系统集成总览（正文阅读版）。来源：既有 Archify 系统总体架构资料，按文档阅读需求归组重排。原始详细架构见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系统集成总览（正文阅读版）。来源：既有 Archify 系统总体架构资料，按文档阅读需求归组重排。原始详细架构见附图。"/>
                    <pic:cNvPicPr>
                      <a:picLocks noChangeAspect="1"/>
                    </pic:cNvPicPr>
                  </pic:nvPicPr>
                  <pic:blipFill>
                    <a:blip r:embed="rId13"/>
                    <a:stretch>
                      <a:fillRect/>
                    </a:stretch>
                  </pic:blipFill>
                  <pic:spPr>
                    <a:xfrm>
                      <a:off x="0" y="0"/>
                      <a:ext cx="6120000" cy="4114000"/>
                    </a:xfrm>
                    <a:prstGeom prst="rect">
                      <a:avLst/>
                    </a:prstGeom>
                  </pic:spPr>
                </pic:pic>
              </a:graphicData>
            </a:graphic>
          </wp:inline>
        </w:drawing>
      </w:r>
    </w:p>
    <w:p w14:paraId="3A770D4F">
      <w:pPr>
        <w:pStyle w:val="15"/>
        <w:keepNext w:val="0"/>
        <w:jc w:val="center"/>
      </w:pPr>
      <w:r>
        <w:t xml:space="preserve">图 </w:t>
      </w:r>
      <w:r>
        <w:fldChar w:fldCharType="begin"/>
      </w:r>
      <w:r>
        <w:instrText xml:space="preserve">SEQ Figure \* ARABIC</w:instrText>
      </w:r>
      <w:r>
        <w:fldChar w:fldCharType="separate"/>
      </w:r>
      <w:r>
        <w:t>1</w:t>
      </w:r>
      <w:r>
        <w:fldChar w:fldCharType="end"/>
      </w:r>
      <w:r>
        <w:t xml:space="preserve">  系统集成总览（正文阅读版）</w:t>
      </w:r>
    </w:p>
    <w:p w14:paraId="6AB0C08E">
      <w:pPr>
        <w:pStyle w:val="15"/>
        <w:spacing w:after="200"/>
      </w:pPr>
      <w:r>
        <w:rPr>
          <w:rFonts w:ascii="Arial" w:hAnsi="Arial" w:eastAsia="微软雅黑"/>
          <w:color w:val="53687E"/>
          <w:sz w:val="16"/>
        </w:rPr>
        <w:t>来源：既有 Archify 系统总体架构资料，按文档阅读需求归组重排。原始详细架构见附图。</w:t>
      </w:r>
    </w:p>
    <w:p w14:paraId="4D4761F6">
      <w:pPr>
        <w:pStyle w:val="3"/>
      </w:pPr>
      <w:bookmarkStart w:id="1" w:name="_Toc6055"/>
      <w:r>
        <w:t>一、为什么符合 AI+ 工业软件赛道</w:t>
      </w:r>
      <w:bookmarkEnd w:id="1"/>
    </w:p>
    <w:p w14:paraId="18755468">
      <w:pPr>
        <w:jc w:val="both"/>
      </w:pPr>
      <w:r>
        <w:rPr>
          <w:rFonts w:ascii="Arial" w:hAnsi="Arial" w:eastAsia="微软雅黑"/>
          <w:b w:val="0"/>
          <w:i w:val="0"/>
        </w:rPr>
        <w:t>本作品聚焦赛道中的</w:t>
      </w:r>
      <w:r>
        <w:rPr>
          <w:rFonts w:ascii="Arial" w:hAnsi="Arial" w:eastAsia="微软雅黑"/>
          <w:b/>
          <w:i w:val="0"/>
        </w:rPr>
        <w:t>工艺约束与生产排程</w:t>
      </w:r>
      <w:r>
        <w:rPr>
          <w:rFonts w:ascii="Arial" w:hAnsi="Arial" w:eastAsia="微软雅黑"/>
          <w:b w:val="0"/>
          <w:i w:val="0"/>
        </w:rPr>
        <w:t>，同时展示</w:t>
      </w:r>
      <w:r>
        <w:rPr>
          <w:rFonts w:ascii="Arial" w:hAnsi="Arial" w:eastAsia="微软雅黑"/>
          <w:b/>
          <w:i w:val="0"/>
        </w:rPr>
        <w:t>质量检测管理、设备运维和多系统集成</w:t>
      </w:r>
      <w:r>
        <w:rPr>
          <w:rFonts w:ascii="Arial" w:hAnsi="Arial" w:eastAsia="微软雅黑"/>
          <w:b w:val="0"/>
          <w:i w:val="0"/>
        </w:rPr>
        <w:t>的实现基础。不是为了覆盖赛道关键词，而宣称已经拥有所有工业算法与现场能力。</w:t>
      </w:r>
    </w:p>
    <w:tbl>
      <w:tblPr>
        <w:tblStyle w:val="33"/>
        <w:tblW w:w="0" w:type="auto"/>
        <w:jc w:val="center"/>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Layout w:type="fixed"/>
        <w:tblCellMar>
          <w:top w:w="0" w:type="dxa"/>
          <w:left w:w="108" w:type="dxa"/>
          <w:bottom w:w="0" w:type="dxa"/>
          <w:right w:w="108" w:type="dxa"/>
        </w:tblCellMar>
      </w:tblPr>
      <w:tblGrid>
        <w:gridCol w:w="1587"/>
        <w:gridCol w:w="3515"/>
        <w:gridCol w:w="4535"/>
      </w:tblGrid>
      <w:tr w14:paraId="6D84F1FE">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tblHeader/>
          <w:jc w:val="center"/>
        </w:trPr>
        <w:tc>
          <w:tcPr>
            <w:tcW w:w="1587" w:type="dxa"/>
            <w:shd w:val="clear" w:color="auto" w:fill="153758"/>
            <w:tcMar>
              <w:top w:w="90" w:type="dxa"/>
              <w:left w:w="100" w:type="dxa"/>
              <w:bottom w:w="90" w:type="dxa"/>
              <w:right w:w="100" w:type="dxa"/>
            </w:tcMar>
            <w:vAlign w:val="center"/>
          </w:tcPr>
          <w:p w14:paraId="1FBBAF9E">
            <w:pPr>
              <w:keepNext/>
              <w:spacing w:after="40" w:line="283" w:lineRule="auto"/>
            </w:pPr>
            <w:r>
              <w:rPr>
                <w:rFonts w:ascii="Arial" w:hAnsi="Arial" w:eastAsia="微软雅黑"/>
                <w:b/>
                <w:i w:val="0"/>
                <w:color w:val="FFFFFF"/>
                <w:sz w:val="18"/>
              </w:rPr>
              <w:t>赛道关注方向</w:t>
            </w:r>
          </w:p>
        </w:tc>
        <w:tc>
          <w:tcPr>
            <w:tcW w:w="3515" w:type="dxa"/>
            <w:shd w:val="clear" w:color="auto" w:fill="153758"/>
            <w:tcMar>
              <w:top w:w="90" w:type="dxa"/>
              <w:left w:w="100" w:type="dxa"/>
              <w:bottom w:w="90" w:type="dxa"/>
              <w:right w:w="100" w:type="dxa"/>
            </w:tcMar>
            <w:vAlign w:val="center"/>
          </w:tcPr>
          <w:p w14:paraId="5CBEDD7A">
            <w:pPr>
              <w:keepNext/>
              <w:spacing w:after="40" w:line="283" w:lineRule="auto"/>
            </w:pPr>
            <w:r>
              <w:rPr>
                <w:rFonts w:ascii="Arial" w:hAnsi="Arial" w:eastAsia="微软雅黑"/>
                <w:b/>
                <w:i w:val="0"/>
                <w:color w:val="FFFFFF"/>
                <w:sz w:val="18"/>
              </w:rPr>
              <w:t>Nexus-ERP 的实际切入点</w:t>
            </w:r>
          </w:p>
        </w:tc>
        <w:tc>
          <w:tcPr>
            <w:tcW w:w="4535" w:type="dxa"/>
            <w:shd w:val="clear" w:color="auto" w:fill="153758"/>
            <w:tcMar>
              <w:top w:w="90" w:type="dxa"/>
              <w:left w:w="100" w:type="dxa"/>
              <w:bottom w:w="90" w:type="dxa"/>
              <w:right w:w="100" w:type="dxa"/>
            </w:tcMar>
            <w:vAlign w:val="center"/>
          </w:tcPr>
          <w:p w14:paraId="0A26FDD7">
            <w:pPr>
              <w:keepNext/>
              <w:spacing w:after="40" w:line="283" w:lineRule="auto"/>
            </w:pPr>
            <w:r>
              <w:rPr>
                <w:rFonts w:ascii="Arial" w:hAnsi="Arial" w:eastAsia="微软雅黑"/>
                <w:b/>
                <w:i w:val="0"/>
                <w:color w:val="FFFFFF"/>
                <w:sz w:val="18"/>
              </w:rPr>
              <w:t>本次展示边界</w:t>
            </w:r>
          </w:p>
        </w:tc>
      </w:tr>
      <w:tr w14:paraId="2C23945C">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7A973D4B">
            <w:pPr>
              <w:spacing w:after="40" w:line="283" w:lineRule="auto"/>
            </w:pPr>
            <w:r>
              <w:rPr>
                <w:rFonts w:ascii="Arial" w:hAnsi="Arial" w:eastAsia="微软雅黑"/>
                <w:b w:val="0"/>
                <w:i w:val="0"/>
                <w:color w:val="26364A"/>
                <w:sz w:val="18"/>
              </w:rPr>
              <w:t>研发设计与仿真分析</w:t>
            </w:r>
          </w:p>
        </w:tc>
        <w:tc>
          <w:tcPr>
            <w:tcW w:w="3515" w:type="dxa"/>
            <w:shd w:val="clear" w:color="auto" w:fill="F1F6FB"/>
            <w:tcMar>
              <w:top w:w="90" w:type="dxa"/>
              <w:left w:w="100" w:type="dxa"/>
              <w:bottom w:w="90" w:type="dxa"/>
              <w:right w:w="100" w:type="dxa"/>
            </w:tcMar>
            <w:vAlign w:val="center"/>
          </w:tcPr>
          <w:p w14:paraId="482223DB">
            <w:pPr>
              <w:spacing w:after="40" w:line="283" w:lineRule="auto"/>
            </w:pPr>
            <w:r>
              <w:rPr>
                <w:rFonts w:ascii="Arial" w:hAnsi="Arial" w:eastAsia="微软雅黑"/>
                <w:b w:val="0"/>
                <w:i w:val="0"/>
                <w:color w:val="26364A"/>
                <w:sz w:val="18"/>
              </w:rPr>
              <w:t>物料、BOM、工艺路线等工程数据，连接生产准备；缺料与排程的业务假设推演</w:t>
            </w:r>
          </w:p>
        </w:tc>
        <w:tc>
          <w:tcPr>
            <w:tcW w:w="4535" w:type="dxa"/>
            <w:shd w:val="clear" w:color="auto" w:fill="F1F6FB"/>
            <w:tcMar>
              <w:top w:w="90" w:type="dxa"/>
              <w:left w:w="100" w:type="dxa"/>
              <w:bottom w:w="90" w:type="dxa"/>
              <w:right w:w="100" w:type="dxa"/>
            </w:tcMar>
            <w:vAlign w:val="center"/>
          </w:tcPr>
          <w:p w14:paraId="444DFC70">
            <w:pPr>
              <w:spacing w:after="40" w:line="283" w:lineRule="auto"/>
            </w:pPr>
            <w:r>
              <w:rPr>
                <w:rFonts w:ascii="Arial" w:hAnsi="Arial" w:eastAsia="微软雅黑"/>
                <w:b w:val="0"/>
                <w:i w:val="0"/>
                <w:color w:val="26364A"/>
                <w:sz w:val="18"/>
              </w:rPr>
              <w:t>不把 BOM 管理说成 CAD/CAE；业务推演不是多物理场、结构或数字样机仿真</w:t>
            </w:r>
          </w:p>
        </w:tc>
      </w:tr>
      <w:tr w14:paraId="0D610F86">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FFFFF"/>
            <w:tcMar>
              <w:top w:w="90" w:type="dxa"/>
              <w:left w:w="100" w:type="dxa"/>
              <w:bottom w:w="90" w:type="dxa"/>
              <w:right w:w="100" w:type="dxa"/>
            </w:tcMar>
            <w:vAlign w:val="center"/>
          </w:tcPr>
          <w:p w14:paraId="51524D98">
            <w:pPr>
              <w:spacing w:after="40" w:line="283" w:lineRule="auto"/>
            </w:pPr>
            <w:r>
              <w:rPr>
                <w:rFonts w:ascii="Arial" w:hAnsi="Arial" w:eastAsia="微软雅黑"/>
                <w:b w:val="0"/>
                <w:i w:val="0"/>
                <w:color w:val="26364A"/>
                <w:sz w:val="18"/>
              </w:rPr>
              <w:t>工艺优化与生产排程</w:t>
            </w:r>
          </w:p>
        </w:tc>
        <w:tc>
          <w:tcPr>
            <w:tcW w:w="3515" w:type="dxa"/>
            <w:shd w:val="clear" w:color="auto" w:fill="FFFFFF"/>
            <w:tcMar>
              <w:top w:w="90" w:type="dxa"/>
              <w:left w:w="100" w:type="dxa"/>
              <w:bottom w:w="90" w:type="dxa"/>
              <w:right w:w="100" w:type="dxa"/>
            </w:tcMar>
            <w:vAlign w:val="center"/>
          </w:tcPr>
          <w:p w14:paraId="3331581F">
            <w:pPr>
              <w:spacing w:after="40" w:line="283" w:lineRule="auto"/>
            </w:pPr>
            <w:r>
              <w:rPr>
                <w:rFonts w:ascii="Arial" w:hAnsi="Arial" w:eastAsia="微软雅黑"/>
                <w:b w:val="0"/>
                <w:i w:val="0"/>
                <w:color w:val="26364A"/>
                <w:sz w:val="18"/>
              </w:rPr>
              <w:t>将工序顺序、标准工时、准备工时、资源、产能与假期纳入排程，比较不同规则方案</w:t>
            </w:r>
          </w:p>
        </w:tc>
        <w:tc>
          <w:tcPr>
            <w:tcW w:w="4535" w:type="dxa"/>
            <w:shd w:val="clear" w:color="auto" w:fill="FFFFFF"/>
            <w:tcMar>
              <w:top w:w="90" w:type="dxa"/>
              <w:left w:w="100" w:type="dxa"/>
              <w:bottom w:w="90" w:type="dxa"/>
              <w:right w:w="100" w:type="dxa"/>
            </w:tcMar>
            <w:vAlign w:val="center"/>
          </w:tcPr>
          <w:p w14:paraId="2DC2E44F">
            <w:pPr>
              <w:spacing w:after="40" w:line="283" w:lineRule="auto"/>
            </w:pPr>
            <w:r>
              <w:rPr>
                <w:rFonts w:ascii="Arial" w:hAnsi="Arial" w:eastAsia="微软雅黑"/>
                <w:b w:val="0"/>
                <w:i w:val="0"/>
                <w:color w:val="26364A"/>
                <w:sz w:val="18"/>
              </w:rPr>
              <w:t>已实现的是工艺约束建模与排程辅助，不是自主工艺参数寻优或全局最优证明</w:t>
            </w:r>
          </w:p>
        </w:tc>
      </w:tr>
      <w:tr w14:paraId="1FAD6B2D">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467DE042">
            <w:pPr>
              <w:spacing w:after="40" w:line="283" w:lineRule="auto"/>
            </w:pPr>
            <w:r>
              <w:rPr>
                <w:rFonts w:ascii="Arial" w:hAnsi="Arial" w:eastAsia="微软雅黑"/>
                <w:b w:val="0"/>
                <w:i w:val="0"/>
                <w:color w:val="26364A"/>
                <w:sz w:val="18"/>
              </w:rPr>
              <w:t>质量检测与设备运维</w:t>
            </w:r>
          </w:p>
        </w:tc>
        <w:tc>
          <w:tcPr>
            <w:tcW w:w="3515" w:type="dxa"/>
            <w:shd w:val="clear" w:color="auto" w:fill="F1F6FB"/>
            <w:tcMar>
              <w:top w:w="90" w:type="dxa"/>
              <w:left w:w="100" w:type="dxa"/>
              <w:bottom w:w="90" w:type="dxa"/>
              <w:right w:w="100" w:type="dxa"/>
            </w:tcMar>
            <w:vAlign w:val="center"/>
          </w:tcPr>
          <w:p w14:paraId="02850203">
            <w:pPr>
              <w:spacing w:after="40" w:line="283" w:lineRule="auto"/>
            </w:pPr>
            <w:r>
              <w:rPr>
                <w:rFonts w:ascii="Arial" w:hAnsi="Arial" w:eastAsia="微软雅黑"/>
                <w:b w:val="0"/>
                <w:i w:val="0"/>
                <w:color w:val="26364A"/>
                <w:sz w:val="18"/>
              </w:rPr>
              <w:t>IQC/IPQC/OQC、检验规则、异常处置、设备档案、保养维修与安灯；IoT 告警适配</w:t>
            </w:r>
          </w:p>
        </w:tc>
        <w:tc>
          <w:tcPr>
            <w:tcW w:w="4535" w:type="dxa"/>
            <w:shd w:val="clear" w:color="auto" w:fill="F1F6FB"/>
            <w:tcMar>
              <w:top w:w="90" w:type="dxa"/>
              <w:left w:w="100" w:type="dxa"/>
              <w:bottom w:w="90" w:type="dxa"/>
              <w:right w:w="100" w:type="dxa"/>
            </w:tcMar>
            <w:vAlign w:val="center"/>
          </w:tcPr>
          <w:p w14:paraId="0DF43AFE">
            <w:pPr>
              <w:spacing w:after="40" w:line="283" w:lineRule="auto"/>
            </w:pPr>
            <w:r>
              <w:rPr>
                <w:rFonts w:ascii="Arial" w:hAnsi="Arial" w:eastAsia="微软雅黑"/>
                <w:b w:val="0"/>
                <w:i w:val="0"/>
                <w:color w:val="26364A"/>
                <w:sz w:val="18"/>
              </w:rPr>
              <w:t>规则判定不等于 AI 缺陷识别；设备告警不等于经真实工业数据验证的预测性维护</w:t>
            </w:r>
          </w:p>
        </w:tc>
      </w:tr>
      <w:tr w14:paraId="4B5E0370">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FFFFF"/>
            <w:tcMar>
              <w:top w:w="90" w:type="dxa"/>
              <w:left w:w="100" w:type="dxa"/>
              <w:bottom w:w="90" w:type="dxa"/>
              <w:right w:w="100" w:type="dxa"/>
            </w:tcMar>
            <w:vAlign w:val="center"/>
          </w:tcPr>
          <w:p w14:paraId="42536744">
            <w:pPr>
              <w:spacing w:after="40" w:line="283" w:lineRule="auto"/>
            </w:pPr>
            <w:r>
              <w:rPr>
                <w:rFonts w:ascii="Arial" w:hAnsi="Arial" w:eastAsia="微软雅黑"/>
                <w:b w:val="0"/>
                <w:i w:val="0"/>
                <w:color w:val="26364A"/>
                <w:sz w:val="18"/>
              </w:rPr>
              <w:t>系统集成与环境验证</w:t>
            </w:r>
          </w:p>
        </w:tc>
        <w:tc>
          <w:tcPr>
            <w:tcW w:w="3515" w:type="dxa"/>
            <w:shd w:val="clear" w:color="auto" w:fill="FFFFFF"/>
            <w:tcMar>
              <w:top w:w="90" w:type="dxa"/>
              <w:left w:w="100" w:type="dxa"/>
              <w:bottom w:w="90" w:type="dxa"/>
              <w:right w:w="100" w:type="dxa"/>
            </w:tcMar>
            <w:vAlign w:val="center"/>
          </w:tcPr>
          <w:p w14:paraId="0AA269FC">
            <w:pPr>
              <w:spacing w:after="40" w:line="283" w:lineRule="auto"/>
            </w:pPr>
            <w:r>
              <w:rPr>
                <w:rFonts w:ascii="Arial" w:hAnsi="Arial" w:eastAsia="微软雅黑"/>
                <w:b w:val="0"/>
                <w:i w:val="0"/>
                <w:color w:val="26364A"/>
                <w:sz w:val="18"/>
              </w:rPr>
              <w:t>ERP/MES/IoT/AI/Flow 在统一后端协作，多端接入；通过分层测试与本地软件流程验证</w:t>
            </w:r>
          </w:p>
        </w:tc>
        <w:tc>
          <w:tcPr>
            <w:tcW w:w="4535" w:type="dxa"/>
            <w:shd w:val="clear" w:color="auto" w:fill="FFFFFF"/>
            <w:tcMar>
              <w:top w:w="90" w:type="dxa"/>
              <w:left w:w="100" w:type="dxa"/>
              <w:bottom w:w="90" w:type="dxa"/>
              <w:right w:w="100" w:type="dxa"/>
            </w:tcMar>
            <w:vAlign w:val="center"/>
          </w:tcPr>
          <w:p w14:paraId="2793DD52">
            <w:pPr>
              <w:spacing w:after="40" w:line="283" w:lineRule="auto"/>
            </w:pPr>
            <w:r>
              <w:rPr>
                <w:rFonts w:ascii="Arial" w:hAnsi="Arial" w:eastAsia="微软雅黑"/>
                <w:b w:val="0"/>
                <w:i w:val="0"/>
                <w:color w:val="26364A"/>
                <w:sz w:val="18"/>
              </w:rPr>
              <w:t>区分代码实现、测试、运行记录、业务仿真和现场验收，不把局部成功扩大为生产级验证</w:t>
            </w:r>
          </w:p>
        </w:tc>
      </w:tr>
    </w:tbl>
    <w:p w14:paraId="01790C9A">
      <w:pPr>
        <w:spacing w:after="20"/>
      </w:pPr>
    </w:p>
    <w:p w14:paraId="3B87BE21">
      <w:pPr>
        <w:jc w:val="both"/>
      </w:pPr>
      <w:r>
        <w:rPr>
          <w:rFonts w:ascii="Arial" w:hAnsi="Arial" w:eastAsia="微软雅黑"/>
          <w:b/>
          <w:i w:val="0"/>
        </w:rPr>
        <w:t>本作品的主张：让 AI 进入生产协同的上下文，而不是让 AI 越过工业约束直接控制业务。</w:t>
      </w:r>
    </w:p>
    <w:p w14:paraId="141D02A4">
      <w:pPr>
        <w:pStyle w:val="3"/>
      </w:pPr>
      <w:bookmarkStart w:id="2" w:name="_Toc15625"/>
      <w:r>
        <w:t>二、从一个制造问题出发，而不是从模块清单出发</w:t>
      </w:r>
      <w:bookmarkEnd w:id="2"/>
    </w:p>
    <w:p w14:paraId="3CF50470">
      <w:pPr>
        <w:jc w:val="both"/>
      </w:pPr>
      <w:r>
        <w:rPr>
          <w:rFonts w:ascii="Arial" w:hAnsi="Arial" w:eastAsia="微软雅黑"/>
          <w:b w:val="0"/>
          <w:i w:val="0"/>
        </w:rPr>
        <w:t>设定一个明确标注为“受控业务仿真”的展示任务：一张制造工单临近交期，计划人员需要判断材料是否齐套、现有工艺与产能能否满足交期，以及质量或设备异常应该如何协同处置。</w:t>
      </w:r>
    </w:p>
    <w:p w14:paraId="79A7A04C">
      <w:pPr>
        <w:jc w:val="both"/>
      </w:pPr>
      <w:r>
        <w:rPr>
          <w:rFonts w:ascii="Arial" w:hAnsi="Arial" w:eastAsia="微软雅黑"/>
          <w:b w:val="0"/>
          <w:i w:val="0"/>
        </w:rPr>
        <w:t>围绕这个任务，作品依次回答六个问题：</w:t>
      </w:r>
    </w:p>
    <w:p w14:paraId="1156AA4B">
      <w:pPr>
        <w:pStyle w:val="14"/>
        <w:numPr>
          <w:ilvl w:val="0"/>
          <w:numId w:val="7"/>
        </w:numPr>
      </w:pPr>
      <w:r>
        <w:rPr>
          <w:rFonts w:ascii="Arial" w:hAnsi="Arial" w:eastAsia="微软雅黑"/>
          <w:b/>
          <w:i w:val="0"/>
        </w:rPr>
        <w:t>做什么、怎么做？</w:t>
      </w:r>
      <w:r>
        <w:rPr>
          <w:rFonts w:ascii="Arial" w:hAnsi="Arial" w:eastAsia="微软雅黑"/>
          <w:b w:val="0"/>
          <w:i w:val="0"/>
        </w:rPr>
        <w:t xml:space="preserve"> 从物料、BOM、工艺路线和工单识别生产对象与工序约束。</w:t>
      </w:r>
    </w:p>
    <w:p w14:paraId="79E1BA31">
      <w:pPr>
        <w:pStyle w:val="14"/>
        <w:numPr>
          <w:ilvl w:val="0"/>
          <w:numId w:val="7"/>
        </w:numPr>
      </w:pPr>
      <w:r>
        <w:rPr>
          <w:rFonts w:ascii="Arial" w:hAnsi="Arial" w:eastAsia="微软雅黑"/>
          <w:b/>
          <w:i w:val="0"/>
        </w:rPr>
        <w:t>现在有什么？</w:t>
      </w:r>
      <w:r>
        <w:rPr>
          <w:rFonts w:ascii="Arial" w:hAnsi="Arial" w:eastAsia="微软雅黑"/>
          <w:b w:val="0"/>
          <w:i w:val="0"/>
        </w:rPr>
        <w:t xml:space="preserve"> 通过 AI 工具查询和业务页面核对工单、需求、库存及采购记录。</w:t>
      </w:r>
    </w:p>
    <w:p w14:paraId="2F323F75">
      <w:pPr>
        <w:pStyle w:val="14"/>
        <w:numPr>
          <w:ilvl w:val="0"/>
          <w:numId w:val="7"/>
        </w:numPr>
      </w:pPr>
      <w:r>
        <w:rPr>
          <w:rFonts w:ascii="Arial" w:hAnsi="Arial" w:eastAsia="微软雅黑"/>
          <w:b/>
          <w:i w:val="0"/>
        </w:rPr>
        <w:t>应该按什么规则处理？</w:t>
      </w:r>
      <w:r>
        <w:rPr>
          <w:rFonts w:ascii="Arial" w:hAnsi="Arial" w:eastAsia="微软雅黑"/>
          <w:b w:val="0"/>
          <w:i w:val="0"/>
        </w:rPr>
        <w:t xml:space="preserve"> 从企业知识库检索生产、质量、设备作业资料，区分制度要求与业务事实。</w:t>
      </w:r>
    </w:p>
    <w:p w14:paraId="407D0737">
      <w:pPr>
        <w:pStyle w:val="14"/>
        <w:numPr>
          <w:ilvl w:val="0"/>
          <w:numId w:val="7"/>
        </w:numPr>
      </w:pPr>
      <w:r>
        <w:rPr>
          <w:rFonts w:ascii="Arial" w:hAnsi="Arial" w:eastAsia="微软雅黑"/>
          <w:b/>
          <w:i w:val="0"/>
        </w:rPr>
        <w:t>有哪些可比较的方案？</w:t>
      </w:r>
      <w:r>
        <w:rPr>
          <w:rFonts w:ascii="Arial" w:hAnsi="Arial" w:eastAsia="微软雅黑"/>
          <w:b w:val="0"/>
          <w:i w:val="0"/>
        </w:rPr>
        <w:t xml:space="preserve"> 进行缺料推演和有限产能排程，展示约束、指标、候选方案与不可行原因。</w:t>
      </w:r>
    </w:p>
    <w:p w14:paraId="0E53A158">
      <w:pPr>
        <w:pStyle w:val="14"/>
        <w:numPr>
          <w:ilvl w:val="0"/>
          <w:numId w:val="7"/>
        </w:numPr>
      </w:pPr>
      <w:r>
        <w:rPr>
          <w:rFonts w:ascii="Arial" w:hAnsi="Arial" w:eastAsia="微软雅黑"/>
          <w:b/>
          <w:i w:val="0"/>
        </w:rPr>
        <w:t>计划如何连接执行与反馈？</w:t>
      </w:r>
      <w:r>
        <w:rPr>
          <w:rFonts w:ascii="Arial" w:hAnsi="Arial" w:eastAsia="微软雅黑"/>
          <w:b w:val="0"/>
          <w:i w:val="0"/>
        </w:rPr>
        <w:t xml:space="preserve"> 展示 ERP 工单与 MES 工序、质量结果和设备异常的集成路径。</w:t>
      </w:r>
    </w:p>
    <w:p w14:paraId="6580BA84">
      <w:pPr>
        <w:pStyle w:val="14"/>
        <w:numPr>
          <w:ilvl w:val="0"/>
          <w:numId w:val="7"/>
        </w:numPr>
      </w:pPr>
      <w:r>
        <w:rPr>
          <w:rFonts w:ascii="Arial" w:hAnsi="Arial" w:eastAsia="微软雅黑"/>
          <w:b/>
          <w:i w:val="0"/>
        </w:rPr>
        <w:t>谁能把建议变成动作？</w:t>
      </w:r>
      <w:r>
        <w:rPr>
          <w:rFonts w:ascii="Arial" w:hAnsi="Arial" w:eastAsia="微软雅黑"/>
          <w:b w:val="0"/>
          <w:i w:val="0"/>
        </w:rPr>
        <w:t xml:space="preserve"> 展示人工授权与服务端守卫，按真实运行状态决定能否创建业务草稿。</w:t>
      </w:r>
    </w:p>
    <w:p w14:paraId="7989C9C6">
      <w:pPr>
        <w:jc w:val="both"/>
      </w:pPr>
      <w:r>
        <w:rPr>
          <w:rFonts w:ascii="Arial" w:hAnsi="Arial" w:eastAsia="微软雅黑"/>
          <w:b w:val="0"/>
          <w:i w:val="0"/>
        </w:rPr>
        <w:t>这是一条讲解主线，不暗示通用聊天、普通 Flow、工业决策、质检和设备告警已经自动串成同一事务。只有实际关联标识与运行证据成立，才展示为同一业务链；否则明确拆分为独立场景。</w:t>
      </w:r>
    </w:p>
    <w:p w14:paraId="5E54AF2A">
      <w:pPr>
        <w:pStyle w:val="3"/>
      </w:pPr>
      <w:bookmarkStart w:id="3" w:name="_Toc28095"/>
      <w:r>
        <w:t>三、项目如何把 AI 与工业软件连接起来</w:t>
      </w:r>
      <w:bookmarkEnd w:id="3"/>
    </w:p>
    <w:p w14:paraId="1644AE6D">
      <w:pPr>
        <w:pStyle w:val="4"/>
      </w:pPr>
      <w:r>
        <w:t>3.1 工程数据不是背景资料，而是生产约束</w:t>
      </w:r>
    </w:p>
    <w:p w14:paraId="3FA0D07D">
      <w:pPr>
        <w:jc w:val="both"/>
      </w:pPr>
      <w:r>
        <w:rPr>
          <w:rFonts w:ascii="Arial" w:hAnsi="Arial" w:eastAsia="微软雅黑"/>
          <w:b w:val="0"/>
          <w:i w:val="0"/>
        </w:rPr>
        <w:t>物料、BOM、工艺路线、车间、工作站和计量单位构成生产准备的数据基础。MES 通过桥接服务读取 ERP 主数据，工单下达通过消息机制进入制造执行侧，减少各模块各自维护一套物料与工序含义的问题。[C01][C06]</w:t>
      </w:r>
    </w:p>
    <w:p w14:paraId="5338853B">
      <w:pPr>
        <w:jc w:val="both"/>
      </w:pPr>
      <w:r>
        <w:rPr>
          <w:rFonts w:ascii="Arial" w:hAnsi="Arial" w:eastAsia="微软雅黑"/>
          <w:b w:val="0"/>
          <w:i w:val="0"/>
        </w:rPr>
        <w:t>在本作品中，工艺不是一张装饰性流程图。工序顺序、标准工时、准备工时、资源和日历会进入排程计算。但系统没有因此获得工艺参数自学习、自动生成最优工艺或三维设计能力。</w:t>
      </w:r>
    </w:p>
    <w:p w14:paraId="30983E50">
      <w:pPr>
        <w:pStyle w:val="4"/>
      </w:pPr>
      <w:r>
        <w:t>3.2 AI 帮助业务人员获取事实与理解知识</w:t>
      </w:r>
    </w:p>
    <w:p w14:paraId="24EADD41">
      <w:pPr>
        <w:jc w:val="both"/>
      </w:pPr>
      <w:r>
        <w:rPr>
          <w:rFonts w:ascii="Arial" w:hAnsi="Arial" w:eastAsia="微软雅黑"/>
          <w:b/>
          <w:i w:val="0"/>
        </w:rPr>
        <w:t>业务数据查询：</w:t>
      </w:r>
      <w:r>
        <w:rPr>
          <w:rFonts w:ascii="Arial" w:hAnsi="Arial" w:eastAsia="微软雅黑"/>
          <w:b w:val="0"/>
          <w:i w:val="0"/>
        </w:rPr>
        <w:t>Agent 调用 ERP 查询工具，读取生产、库存、采购等授权数据；查询受到只读 SQL、表范围和租户隔离约束。展示时保留工具过程，并回到原始业务页面核对关键字段，不能把模型回答本身当作事实来源。[C02]</w:t>
      </w:r>
    </w:p>
    <w:p w14:paraId="115246CB">
      <w:pPr>
        <w:jc w:val="both"/>
      </w:pPr>
      <w:r>
        <w:rPr>
          <w:rFonts w:ascii="Arial" w:hAnsi="Arial" w:eastAsia="微软雅黑"/>
          <w:b/>
          <w:i w:val="0"/>
        </w:rPr>
        <w:t>企业知识检索：</w:t>
      </w:r>
      <w:r>
        <w:rPr>
          <w:rFonts w:ascii="Arial" w:hAnsi="Arial" w:eastAsia="微软雅黑"/>
          <w:b w:val="0"/>
          <w:i w:val="0"/>
        </w:rPr>
        <w:t>文档经过解析、分段、向量化和检索，辅助回答生产、质量与设备处置问题。检索到的制度可以说明“应当怎样处理”，但不能证明“当前库存有多少”“设备已恢复”或“这批货已检验合格”。[C03]</w:t>
      </w:r>
    </w:p>
    <w:p w14:paraId="375CC851">
      <w:pPr>
        <w:jc w:val="both"/>
      </w:pPr>
      <w:r>
        <w:rPr>
          <w:rFonts w:ascii="Arial" w:hAnsi="Arial" w:eastAsia="微软雅黑"/>
          <w:b/>
          <w:i w:val="0"/>
        </w:rPr>
        <w:t>能力编排：</w:t>
      </w:r>
      <w:r>
        <w:rPr>
          <w:rFonts w:ascii="Arial" w:hAnsi="Arial" w:eastAsia="微软雅黑"/>
          <w:b w:val="0"/>
          <w:i w:val="0"/>
        </w:rPr>
        <w:t>普通 Flow 可以组织检索、模型和工具，并查看节点结果；受保护的工业流程另有受控节点与访问边界。两者共同降低能力组合成本，但普通画布不能替代工业执行的授权与校验。[C04]</w:t>
      </w:r>
    </w:p>
    <w:p w14:paraId="7572DF8E">
      <w:pPr>
        <w:pStyle w:val="4"/>
      </w:pPr>
      <w:r>
        <w:t>3.3 生产排程由可计算约束驱动，AI 负责解释取舍</w:t>
      </w:r>
    </w:p>
    <w:p w14:paraId="41786EF8">
      <w:pPr>
        <w:jc w:val="both"/>
      </w:pPr>
      <w:r>
        <w:rPr>
          <w:rFonts w:ascii="Arial" w:hAnsi="Arial" w:eastAsia="微软雅黑"/>
          <w:b w:val="0"/>
          <w:i w:val="0"/>
        </w:rPr>
        <w:t>现有排程引擎采用</w:t>
      </w:r>
      <w:r>
        <w:rPr>
          <w:rFonts w:ascii="Arial" w:hAnsi="Arial" w:eastAsia="微软雅黑"/>
          <w:b/>
          <w:i w:val="0"/>
        </w:rPr>
        <w:t>天粒度前向有限产能排程</w:t>
      </w:r>
      <w:r>
        <w:rPr>
          <w:rFonts w:ascii="Arial" w:hAnsi="Arial" w:eastAsia="微软雅黑"/>
          <w:b w:val="0"/>
          <w:i w:val="0"/>
        </w:rPr>
        <w:t>：按工单与工艺步骤展开任务，将内部工序分配到工作站或车间的日历产能，处理工序前后关系、假期及委外等待和转移时间，并统计拖期与资源负荷。[C05]</w:t>
      </w:r>
    </w:p>
    <w:p w14:paraId="70803E61">
      <w:pPr>
        <w:jc w:val="both"/>
      </w:pPr>
      <w:r>
        <w:rPr>
          <w:rFonts w:ascii="Arial" w:hAnsi="Arial" w:eastAsia="微软雅黑"/>
          <w:b w:val="0"/>
          <w:i w:val="0"/>
        </w:rPr>
        <w:t>工业决策可以比较当前基线、最早交期规则 EDD、临界比规则 CR 及限定的催交情景。方案指标来自服务端计算，排序还需满足来源、范围和可比性要求；AI 根据已装配事实解释风险与方案取舍，而不是自行生成工业数字。[C05]</w:t>
      </w:r>
    </w:p>
    <w:p w14:paraId="029F8D19">
      <w:pPr>
        <w:jc w:val="both"/>
      </w:pPr>
      <w:r>
        <w:rPr>
          <w:rFonts w:ascii="Arial" w:hAnsi="Arial" w:eastAsia="微软雅黑"/>
          <w:b w:val="0"/>
          <w:i w:val="0"/>
        </w:rPr>
        <w:t>这种分工有三个价值：</w:t>
      </w:r>
    </w:p>
    <w:p w14:paraId="4756C533">
      <w:pPr>
        <w:pStyle w:val="16"/>
      </w:pPr>
      <w:r>
        <w:rPr>
          <w:rFonts w:ascii="Arial" w:hAnsi="Arial" w:eastAsia="微软雅黑"/>
          <w:b/>
          <w:i w:val="0"/>
        </w:rPr>
        <w:t>可解释：</w:t>
      </w:r>
      <w:r>
        <w:rPr>
          <w:rFonts w:ascii="Arial" w:hAnsi="Arial" w:eastAsia="微软雅黑"/>
          <w:b w:val="0"/>
          <w:i w:val="0"/>
        </w:rPr>
        <w:t>业务人员能看到缺料、交期和资源约束，而不只是一个推荐结论。</w:t>
      </w:r>
    </w:p>
    <w:p w14:paraId="25E13D32">
      <w:pPr>
        <w:pStyle w:val="16"/>
      </w:pPr>
      <w:r>
        <w:rPr>
          <w:rFonts w:ascii="Arial" w:hAnsi="Arial" w:eastAsia="微软雅黑"/>
          <w:b/>
          <w:i w:val="0"/>
        </w:rPr>
        <w:t>可复核：</w:t>
      </w:r>
      <w:r>
        <w:rPr>
          <w:rFonts w:ascii="Arial" w:hAnsi="Arial" w:eastAsia="微软雅黑"/>
          <w:b w:val="0"/>
          <w:i w:val="0"/>
        </w:rPr>
        <w:t>候选方案具有输入依据、指标和可行性说明，便于回查。</w:t>
      </w:r>
    </w:p>
    <w:p w14:paraId="246863DB">
      <w:pPr>
        <w:pStyle w:val="16"/>
      </w:pPr>
      <w:r>
        <w:rPr>
          <w:rFonts w:ascii="Arial" w:hAnsi="Arial" w:eastAsia="微软雅黑"/>
          <w:b/>
          <w:i w:val="0"/>
        </w:rPr>
        <w:t>可控制：</w:t>
      </w:r>
      <w:r>
        <w:rPr>
          <w:rFonts w:ascii="Arial" w:hAnsi="Arial" w:eastAsia="微软雅黑"/>
          <w:b w:val="0"/>
          <w:i w:val="0"/>
        </w:rPr>
        <w:t>缺少可信来源、超出范围或没有可行方案时，保留原因而不是补造结果。</w:t>
      </w:r>
    </w:p>
    <w:p w14:paraId="689EAEB5">
      <w:pPr>
        <w:jc w:val="both"/>
      </w:pPr>
      <w:r>
        <w:rPr>
          <w:rFonts w:ascii="Arial" w:hAnsi="Arial" w:eastAsia="微软雅黑"/>
          <w:b w:val="0"/>
          <w:i w:val="0"/>
        </w:rPr>
        <w:t>它仍是限定模型下的决策辅助：天粒度、规则策略和部分近似有适用边界，不能宣称实现秒级车间调度、覆盖所有工艺约束或找到全局最优解。</w:t>
      </w:r>
    </w:p>
    <w:p w14:paraId="4B081CAE">
      <w:pPr>
        <w:keepNext/>
        <w:spacing w:before="120" w:after="60"/>
        <w:jc w:val="center"/>
      </w:pPr>
      <w:r>
        <w:drawing>
          <wp:inline distT="0" distB="0" distL="114300" distR="114300">
            <wp:extent cx="6119495" cy="4555490"/>
            <wp:effectExtent l="0" t="0" r="1905" b="3810"/>
            <wp:docPr id="3" name="Picture 3" descr="AI 与工业软件能力分工（正文阅读版）。来源：既有 Archify AI/工业决策架构资料；普通 AI、受保护分析与批准后执行分别受约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I 与工业软件能力分工（正文阅读版）。来源：既有 Archify AI/工业决策架构资料；普通 AI、受保护分析与批准后执行分别受约束。"/>
                    <pic:cNvPicPr>
                      <a:picLocks noChangeAspect="1"/>
                    </pic:cNvPicPr>
                  </pic:nvPicPr>
                  <pic:blipFill>
                    <a:blip r:embed="rId14"/>
                    <a:stretch>
                      <a:fillRect/>
                    </a:stretch>
                  </pic:blipFill>
                  <pic:spPr>
                    <a:xfrm>
                      <a:off x="0" y="0"/>
                      <a:ext cx="6120000" cy="4556000"/>
                    </a:xfrm>
                    <a:prstGeom prst="rect">
                      <a:avLst/>
                    </a:prstGeom>
                  </pic:spPr>
                </pic:pic>
              </a:graphicData>
            </a:graphic>
          </wp:inline>
        </w:drawing>
      </w:r>
    </w:p>
    <w:p w14:paraId="4ED93464">
      <w:pPr>
        <w:pStyle w:val="15"/>
        <w:keepNext w:val="0"/>
        <w:jc w:val="center"/>
      </w:pPr>
      <w:r>
        <w:t xml:space="preserve">图 </w:t>
      </w:r>
      <w:r>
        <w:fldChar w:fldCharType="begin"/>
      </w:r>
      <w:r>
        <w:instrText xml:space="preserve">SEQ Figure \* ARABIC</w:instrText>
      </w:r>
      <w:r>
        <w:fldChar w:fldCharType="separate"/>
      </w:r>
      <w:r>
        <w:t>2</w:t>
      </w:r>
      <w:r>
        <w:fldChar w:fldCharType="end"/>
      </w:r>
      <w:r>
        <w:t xml:space="preserve">  AI 与工业软件能力分工（正文阅读版）</w:t>
      </w:r>
    </w:p>
    <w:p w14:paraId="5A76D93F">
      <w:pPr>
        <w:pStyle w:val="15"/>
        <w:spacing w:after="200"/>
      </w:pPr>
      <w:r>
        <w:rPr>
          <w:rFonts w:ascii="Arial" w:hAnsi="Arial" w:eastAsia="微软雅黑"/>
          <w:color w:val="53687E"/>
          <w:sz w:val="16"/>
        </w:rPr>
        <w:t>来源：既有 Archify AI/工业决策架构资料；普通 AI、受保护分析与批准后执行分别受约束。</w:t>
      </w:r>
    </w:p>
    <w:p w14:paraId="7D40CA75">
      <w:pPr>
        <w:pStyle w:val="4"/>
      </w:pPr>
      <w:r>
        <w:t>3.4 制造执行、质量与设备不是孤立展示页</w:t>
      </w:r>
    </w:p>
    <w:p w14:paraId="6B25E9F7">
      <w:pPr>
        <w:jc w:val="both"/>
      </w:pPr>
      <w:r>
        <w:rPr>
          <w:rFonts w:ascii="Arial" w:hAnsi="Arial" w:eastAsia="微软雅黑"/>
          <w:b/>
          <w:i w:val="0"/>
        </w:rPr>
        <w:t>生产执行：</w:t>
      </w:r>
      <w:r>
        <w:rPr>
          <w:rFonts w:ascii="Arial" w:hAnsi="Arial" w:eastAsia="微软雅黑"/>
          <w:b w:val="0"/>
          <w:i w:val="0"/>
        </w:rPr>
        <w:t>ERP 工单下达消息由 MES 消费，承接工单与工序记录；MES 提供派工、流转卡、SN、SOP 等执行与追踪能力。是否完成某次具体生产，要以实际报工、状态与回写记录为准。[C06]</w:t>
      </w:r>
    </w:p>
    <w:p w14:paraId="30411DD2">
      <w:pPr>
        <w:jc w:val="both"/>
      </w:pPr>
      <w:r>
        <w:rPr>
          <w:rFonts w:ascii="Arial" w:hAnsi="Arial" w:eastAsia="微软雅黑"/>
          <w:b/>
          <w:i w:val="0"/>
        </w:rPr>
        <w:t>质量协同：</w:t>
      </w:r>
      <w:r>
        <w:rPr>
          <w:rFonts w:ascii="Arial" w:hAnsi="Arial" w:eastAsia="微软雅黑"/>
          <w:b w:val="0"/>
          <w:i w:val="0"/>
        </w:rPr>
        <w:t>IQC/IPQC/OQC 和检验模板承担质量业务管理。以 IQC 为例，录入检验项目值后由规则引擎判定，相关服务处理不合格与跨模块回写；ERP 消费检验完成消息并处理质量投影和关联库存证据。软件录入的演示检验值不是现场仪器实测，也不是 AI 自动检测准确率。[C07]</w:t>
      </w:r>
    </w:p>
    <w:p w14:paraId="167FE719">
      <w:pPr>
        <w:jc w:val="both"/>
      </w:pPr>
      <w:r>
        <w:rPr>
          <w:rFonts w:ascii="Arial" w:hAnsi="Arial" w:eastAsia="微软雅黑"/>
          <w:b/>
          <w:i w:val="0"/>
        </w:rPr>
        <w:t>设备运维：</w:t>
      </w:r>
      <w:r>
        <w:rPr>
          <w:rFonts w:ascii="Arial" w:hAnsi="Arial" w:eastAsia="微软雅黑"/>
          <w:b w:val="0"/>
          <w:i w:val="0"/>
        </w:rPr>
        <w:t>设备档案、保养、维修和安灯提供异常处置基础；设备状态变化可提示受影响工单，IoT 告警可通过接口适配创建 MES 安灯。设备故障提示、保养到期规则与检索运维手册各有职责，不能合并宣传为已经验证的故障预测模型。[C08]</w:t>
      </w:r>
    </w:p>
    <w:p w14:paraId="445517A6">
      <w:pPr>
        <w:jc w:val="both"/>
      </w:pPr>
      <w:r>
        <w:rPr>
          <w:rFonts w:ascii="Arial" w:hAnsi="Arial" w:eastAsia="微软雅黑"/>
          <w:b w:val="0"/>
          <w:i w:val="0"/>
        </w:rPr>
        <w:t>质量或设备异常尚不能仅凭一条聊天回答自动改变排程。本次不宣称“设备故障自动进入 AI、自动重排并下发产线”已经形成可验收闭环。</w:t>
      </w:r>
    </w:p>
    <w:p w14:paraId="54FCE54A">
      <w:pPr>
        <w:pStyle w:val="3"/>
      </w:pPr>
      <w:bookmarkStart w:id="4" w:name="_Toc23547"/>
      <w:r>
        <w:t>四、系统集成：四端接入、统一后端、分工清楚</w:t>
      </w:r>
      <w:bookmarkEnd w:id="4"/>
    </w:p>
    <w:p w14:paraId="41D04B52">
      <w:pPr>
        <w:pStyle w:val="16"/>
      </w:pPr>
      <w:r>
        <w:rPr>
          <w:rFonts w:ascii="Arial" w:hAnsi="Arial" w:eastAsia="微软雅黑"/>
          <w:b/>
          <w:i w:val="0"/>
        </w:rPr>
        <w:t>后端组织：</w:t>
      </w:r>
      <w:r>
        <w:rPr>
          <w:rFonts w:ascii="Arial" w:hAnsi="Arial" w:eastAsia="微软雅黑"/>
          <w:b w:val="0"/>
          <w:i w:val="0"/>
        </w:rPr>
        <w:t>当前主要业务模块由同一个 Spring Boot 应用组装，是模块化单体与多数据源协作，不把每个 Maven 模块描述成独立微服务。[C09]</w:t>
      </w:r>
    </w:p>
    <w:p w14:paraId="58A13CA9">
      <w:pPr>
        <w:pStyle w:val="16"/>
      </w:pPr>
      <w:r>
        <w:rPr>
          <w:rFonts w:ascii="Arial" w:hAnsi="Arial" w:eastAsia="微软雅黑"/>
          <w:b/>
          <w:i w:val="0"/>
        </w:rPr>
        <w:t>集成方式：</w:t>
      </w:r>
      <w:r>
        <w:rPr>
          <w:rFonts w:ascii="Arial" w:hAnsi="Arial" w:eastAsia="微软雅黑"/>
          <w:b w:val="0"/>
          <w:i w:val="0"/>
        </w:rPr>
        <w:t>ERP/MES 共享业务主数据语义，通过桥接、API 与 RabbitMQ 连接工单、检验和库存等流程。异步链路关注租户上下文、幂等与结果回查，不假设跨库操作天然具有单库事务语义。[C06][C07]</w:t>
      </w:r>
    </w:p>
    <w:p w14:paraId="46DA0C44">
      <w:pPr>
        <w:pStyle w:val="16"/>
      </w:pPr>
      <w:r>
        <w:rPr>
          <w:rFonts w:ascii="Arial" w:hAnsi="Arial" w:eastAsia="微软雅黑"/>
          <w:b/>
          <w:i w:val="0"/>
        </w:rPr>
        <w:t>多端分工：</w:t>
      </w:r>
      <w:r>
        <w:rPr>
          <w:rFonts w:ascii="Arial" w:hAnsi="Arial" w:eastAsia="微软雅黑"/>
          <w:b w:val="0"/>
          <w:i w:val="0"/>
        </w:rPr>
        <w:t xml:space="preserve">PC 负责管理与 AI 工作台，APP 承载移动协同，PDA 面向扫码作业，Station 面向固定工位。客户端 </w:t>
      </w:r>
      <w:r>
        <w:rPr>
          <w:rFonts w:ascii="Consolas" w:hAnsi="Consolas" w:eastAsia="微软雅黑"/>
          <w:color w:val="355B79"/>
          <w:sz w:val="18"/>
        </w:rPr>
        <w:t>nexus-station</w:t>
      </w:r>
      <w:r>
        <w:rPr>
          <w:rFonts w:ascii="Arial" w:hAnsi="Arial" w:eastAsia="微软雅黑"/>
          <w:b w:val="0"/>
          <w:i w:val="0"/>
        </w:rPr>
        <w:t xml:space="preserve"> 与后端 </w:t>
      </w:r>
      <w:r>
        <w:rPr>
          <w:rFonts w:ascii="Consolas" w:hAnsi="Consolas" w:eastAsia="微软雅黑"/>
          <w:color w:val="355B79"/>
          <w:sz w:val="18"/>
        </w:rPr>
        <w:t>ruoyi-station</w:t>
      </w:r>
      <w:r>
        <w:rPr>
          <w:rFonts w:ascii="Arial" w:hAnsi="Arial" w:eastAsia="微软雅黑"/>
          <w:b w:val="0"/>
          <w:i w:val="0"/>
        </w:rPr>
        <w:t xml:space="preserve"> 不是同一个组件；本次核心演示以本仓库 PC 与后端为主，关联端只说明入口分工，不借用其现场验收结论。[C09]</w:t>
      </w:r>
    </w:p>
    <w:p w14:paraId="42EFE9BF">
      <w:pPr>
        <w:pStyle w:val="16"/>
      </w:pPr>
      <w:r>
        <w:rPr>
          <w:rFonts w:ascii="Arial" w:hAnsi="Arial" w:eastAsia="微软雅黑"/>
          <w:b/>
          <w:i w:val="0"/>
        </w:rPr>
        <w:t>外部能力：</w:t>
      </w:r>
      <w:r>
        <w:rPr>
          <w:rFonts w:ascii="Arial" w:hAnsi="Arial" w:eastAsia="微软雅黑"/>
          <w:b w:val="0"/>
          <w:i w:val="0"/>
        </w:rPr>
        <w:t>模型、Milvus、Vision、MQTT 设备与真实工位外设需要分别配置与验证。当前视觉接口包含物料识别/OCR 与人脸相关能力，不能直接推导出工业表面缺陷检测已经完成。[C10]</w:t>
      </w:r>
    </w:p>
    <w:p w14:paraId="0368BD25">
      <w:pPr>
        <w:keepNext/>
        <w:spacing w:before="120" w:after="60"/>
        <w:jc w:val="center"/>
      </w:pPr>
      <w:r>
        <w:drawing>
          <wp:inline distT="0" distB="0" distL="114300" distR="114300">
            <wp:extent cx="6119495" cy="3637915"/>
            <wp:effectExtent l="0" t="0" r="1905" b="6985"/>
            <wp:docPr id="4" name="Picture 4" descr="后端模块装配与协作（正文阅读版）。来源：既有 Archify 后端模块资料与应用装配代码；模块边界不等于独立部署单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后端模块装配与协作（正文阅读版）。来源：既有 Archify 后端模块资料与应用装配代码；模块边界不等于独立部署单元。"/>
                    <pic:cNvPicPr>
                      <a:picLocks noChangeAspect="1"/>
                    </pic:cNvPicPr>
                  </pic:nvPicPr>
                  <pic:blipFill>
                    <a:blip r:embed="rId15"/>
                    <a:stretch>
                      <a:fillRect/>
                    </a:stretch>
                  </pic:blipFill>
                  <pic:spPr>
                    <a:xfrm>
                      <a:off x="0" y="0"/>
                      <a:ext cx="6120000" cy="3638000"/>
                    </a:xfrm>
                    <a:prstGeom prst="rect">
                      <a:avLst/>
                    </a:prstGeom>
                  </pic:spPr>
                </pic:pic>
              </a:graphicData>
            </a:graphic>
          </wp:inline>
        </w:drawing>
      </w:r>
    </w:p>
    <w:p w14:paraId="731BD6C9">
      <w:pPr>
        <w:pStyle w:val="15"/>
        <w:keepNext w:val="0"/>
        <w:jc w:val="center"/>
      </w:pPr>
      <w:r>
        <w:t xml:space="preserve">图 </w:t>
      </w:r>
      <w:r>
        <w:fldChar w:fldCharType="begin"/>
      </w:r>
      <w:r>
        <w:instrText xml:space="preserve">SEQ Figure \* ARABIC</w:instrText>
      </w:r>
      <w:r>
        <w:fldChar w:fldCharType="separate"/>
      </w:r>
      <w:r>
        <w:t>3</w:t>
      </w:r>
      <w:r>
        <w:fldChar w:fldCharType="end"/>
      </w:r>
      <w:r>
        <w:t xml:space="preserve">  后端模块装配与协作（正文阅读版）</w:t>
      </w:r>
    </w:p>
    <w:p w14:paraId="44A27368">
      <w:pPr>
        <w:pStyle w:val="15"/>
        <w:spacing w:after="200"/>
      </w:pPr>
      <w:r>
        <w:rPr>
          <w:rFonts w:ascii="Arial" w:hAnsi="Arial" w:eastAsia="微软雅黑"/>
          <w:color w:val="53687E"/>
          <w:sz w:val="16"/>
        </w:rPr>
        <w:t>来源：既有 Archify 后端模块资料与应用装配代码；模块边界不等于独立部署单元。</w:t>
      </w:r>
    </w:p>
    <w:p w14:paraId="6F1F0A2E">
      <w:pPr>
        <w:pStyle w:val="3"/>
      </w:pPr>
      <w:bookmarkStart w:id="5" w:name="_Toc10083"/>
      <w:r>
        <w:t>五、创新点与应用价值</w:t>
      </w:r>
      <w:bookmarkEnd w:id="5"/>
    </w:p>
    <w:p w14:paraId="3C14C1D3">
      <w:pPr>
        <w:pStyle w:val="4"/>
      </w:pPr>
      <w:r>
        <w:t>5.1 从“问答工具”转向“有工业上下文的业务辅助”</w:t>
      </w:r>
    </w:p>
    <w:p w14:paraId="05148DDF">
      <w:pPr>
        <w:jc w:val="both"/>
      </w:pPr>
      <w:r>
        <w:rPr>
          <w:rFonts w:ascii="Arial" w:hAnsi="Arial" w:eastAsia="微软雅黑"/>
          <w:b w:val="0"/>
          <w:i w:val="0"/>
        </w:rPr>
        <w:t>AI 不单独维护一套演示数据，而是围绕现有业务对象，通过工具、知识和受控流程获得上下文。项目的集成价值，在于让自然语言入口连接可回查的业务系统，而不是用漂亮回答替代工业逻辑。</w:t>
      </w:r>
    </w:p>
    <w:p w14:paraId="5CD2FBEE">
      <w:pPr>
        <w:pStyle w:val="4"/>
      </w:pPr>
      <w:r>
        <w:t>5.2 将概率性解释与确定性计算分开</w:t>
      </w:r>
    </w:p>
    <w:p w14:paraId="6E30A1E7">
      <w:pPr>
        <w:jc w:val="both"/>
      </w:pPr>
      <w:r>
        <w:rPr>
          <w:rFonts w:ascii="Arial" w:hAnsi="Arial" w:eastAsia="微软雅黑"/>
          <w:b w:val="0"/>
          <w:i w:val="0"/>
        </w:rPr>
        <w:t>工业 KPI、缺料依据和方案排序由服务计算；模型解释须服从证据与结构校验，失败时降级。这使模型能力可以替换，而不必把业务数值与授权交给模型自由决定。[C05]</w:t>
      </w:r>
    </w:p>
    <w:p w14:paraId="4E983681">
      <w:pPr>
        <w:pStyle w:val="4"/>
      </w:pPr>
      <w:r>
        <w:t>5.3 从计划侧延伸到执行、质量与设备侧</w:t>
      </w:r>
    </w:p>
    <w:p w14:paraId="0E464DB0">
      <w:pPr>
        <w:jc w:val="both"/>
      </w:pPr>
      <w:r>
        <w:rPr>
          <w:rFonts w:ascii="Arial" w:hAnsi="Arial" w:eastAsia="微软雅黑"/>
          <w:b w:val="0"/>
          <w:i w:val="0"/>
        </w:rPr>
        <w:t>同一系统具备工程数据、排程、制造执行、质量和设备管理基础。项目不仅回答“应该怎么办”，也提供查看生产记录、检验结果与异常处置的入口。具体分支的实际联动程度分别验收，不以模块齐全等同于全链路完成。</w:t>
      </w:r>
    </w:p>
    <w:p w14:paraId="34B2835C">
      <w:pPr>
        <w:pStyle w:val="4"/>
      </w:pPr>
      <w:r>
        <w:t>5.4 把拒绝与不确定性也设计进业务流程</w:t>
      </w:r>
    </w:p>
    <w:p w14:paraId="70D95102">
      <w:pPr>
        <w:jc w:val="both"/>
      </w:pPr>
      <w:r>
        <w:rPr>
          <w:rFonts w:ascii="Arial" w:hAnsi="Arial" w:eastAsia="微软雅黑"/>
          <w:b w:val="0"/>
          <w:i w:val="0"/>
        </w:rPr>
        <w:t>人工批准、版本与新鲜度检查、租户权限、幂等和未知结果保护约束写入。当前未取得可信写入证明的构建不会因健康检查成功或模型回答正确而自动获得业务写资格。[C11][V02]</w:t>
      </w:r>
    </w:p>
    <w:p w14:paraId="3EAF4AD7">
      <w:pPr>
        <w:jc w:val="both"/>
      </w:pPr>
      <w:r>
        <w:rPr>
          <w:rFonts w:ascii="Arial" w:hAnsi="Arial" w:eastAsia="微软雅黑"/>
          <w:b/>
          <w:i w:val="0"/>
        </w:rPr>
        <w:t>预期应用价值</w:t>
      </w:r>
      <w:r>
        <w:rPr>
          <w:rFonts w:ascii="Arial" w:hAnsi="Arial" w:eastAsia="微软雅黑"/>
          <w:b w:val="0"/>
          <w:i w:val="0"/>
        </w:rPr>
        <w:t>是减少跨岗位查找与解释信息的往返，使方案比较和责任边界更清楚。尚无经过客户现场对照验证的效率提升、成本下降或收益数据，因此本稿不提供虚构的百分比和经济效益。</w:t>
      </w:r>
    </w:p>
    <w:p w14:paraId="41BA9910">
      <w:pPr>
        <w:pStyle w:val="3"/>
      </w:pPr>
      <w:bookmarkStart w:id="6" w:name="_Toc32070"/>
      <w:r>
        <w:t>六、验证能力与已有证据</w:t>
      </w:r>
      <w:bookmarkEnd w:id="6"/>
    </w:p>
    <w:p w14:paraId="41EE0258">
      <w:pPr>
        <w:pStyle w:val="4"/>
      </w:pPr>
      <w:r>
        <w:t>6.1 采用分层验证，而不是只看一段录屏</w:t>
      </w:r>
    </w:p>
    <w:tbl>
      <w:tblPr>
        <w:tblStyle w:val="33"/>
        <w:tblW w:w="0" w:type="auto"/>
        <w:jc w:val="center"/>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Layout w:type="fixed"/>
        <w:tblCellMar>
          <w:top w:w="0" w:type="dxa"/>
          <w:left w:w="108" w:type="dxa"/>
          <w:bottom w:w="0" w:type="dxa"/>
          <w:right w:w="108" w:type="dxa"/>
        </w:tblCellMar>
      </w:tblPr>
      <w:tblGrid>
        <w:gridCol w:w="1587"/>
        <w:gridCol w:w="3515"/>
        <w:gridCol w:w="4535"/>
      </w:tblGrid>
      <w:tr w14:paraId="0FE08990">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tblHeader/>
          <w:jc w:val="center"/>
        </w:trPr>
        <w:tc>
          <w:tcPr>
            <w:tcW w:w="1587" w:type="dxa"/>
            <w:shd w:val="clear" w:color="auto" w:fill="153758"/>
            <w:tcMar>
              <w:top w:w="90" w:type="dxa"/>
              <w:left w:w="100" w:type="dxa"/>
              <w:bottom w:w="90" w:type="dxa"/>
              <w:right w:w="100" w:type="dxa"/>
            </w:tcMar>
            <w:vAlign w:val="center"/>
          </w:tcPr>
          <w:p w14:paraId="077114F5">
            <w:pPr>
              <w:keepNext/>
              <w:spacing w:after="40" w:line="283" w:lineRule="auto"/>
            </w:pPr>
            <w:r>
              <w:rPr>
                <w:rFonts w:ascii="Arial" w:hAnsi="Arial" w:eastAsia="微软雅黑"/>
                <w:b/>
                <w:i w:val="0"/>
                <w:color w:val="FFFFFF"/>
                <w:sz w:val="18"/>
              </w:rPr>
              <w:t>层级</w:t>
            </w:r>
          </w:p>
        </w:tc>
        <w:tc>
          <w:tcPr>
            <w:tcW w:w="3515" w:type="dxa"/>
            <w:shd w:val="clear" w:color="auto" w:fill="153758"/>
            <w:tcMar>
              <w:top w:w="90" w:type="dxa"/>
              <w:left w:w="100" w:type="dxa"/>
              <w:bottom w:w="90" w:type="dxa"/>
              <w:right w:w="100" w:type="dxa"/>
            </w:tcMar>
            <w:vAlign w:val="center"/>
          </w:tcPr>
          <w:p w14:paraId="36FB06CF">
            <w:pPr>
              <w:keepNext/>
              <w:spacing w:after="40" w:line="283" w:lineRule="auto"/>
            </w:pPr>
            <w:r>
              <w:rPr>
                <w:rFonts w:ascii="Arial" w:hAnsi="Arial" w:eastAsia="微软雅黑"/>
                <w:b/>
                <w:i w:val="0"/>
                <w:color w:val="FFFFFF"/>
                <w:sz w:val="18"/>
              </w:rPr>
              <w:t>验证方法</w:t>
            </w:r>
          </w:p>
        </w:tc>
        <w:tc>
          <w:tcPr>
            <w:tcW w:w="4535" w:type="dxa"/>
            <w:shd w:val="clear" w:color="auto" w:fill="153758"/>
            <w:tcMar>
              <w:top w:w="90" w:type="dxa"/>
              <w:left w:w="100" w:type="dxa"/>
              <w:bottom w:w="90" w:type="dxa"/>
              <w:right w:w="100" w:type="dxa"/>
            </w:tcMar>
            <w:vAlign w:val="center"/>
          </w:tcPr>
          <w:p w14:paraId="5A4AE0C7">
            <w:pPr>
              <w:keepNext/>
              <w:spacing w:after="40" w:line="283" w:lineRule="auto"/>
            </w:pPr>
            <w:r>
              <w:rPr>
                <w:rFonts w:ascii="Arial" w:hAnsi="Arial" w:eastAsia="微软雅黑"/>
                <w:b/>
                <w:i w:val="0"/>
                <w:color w:val="FFFFFF"/>
                <w:sz w:val="18"/>
              </w:rPr>
              <w:t>能说明什么</w:t>
            </w:r>
          </w:p>
        </w:tc>
      </w:tr>
      <w:tr w14:paraId="2B035133">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3A98F775">
            <w:pPr>
              <w:spacing w:after="40" w:line="283" w:lineRule="auto"/>
            </w:pPr>
            <w:r>
              <w:rPr>
                <w:rFonts w:ascii="Arial" w:hAnsi="Arial" w:eastAsia="微软雅黑"/>
                <w:b w:val="0"/>
                <w:i w:val="0"/>
                <w:color w:val="26364A"/>
                <w:sz w:val="18"/>
              </w:rPr>
              <w:t>算法与合同</w:t>
            </w:r>
          </w:p>
        </w:tc>
        <w:tc>
          <w:tcPr>
            <w:tcW w:w="3515" w:type="dxa"/>
            <w:shd w:val="clear" w:color="auto" w:fill="F1F6FB"/>
            <w:tcMar>
              <w:top w:w="90" w:type="dxa"/>
              <w:left w:w="100" w:type="dxa"/>
              <w:bottom w:w="90" w:type="dxa"/>
              <w:right w:w="100" w:type="dxa"/>
            </w:tcMar>
            <w:vAlign w:val="center"/>
          </w:tcPr>
          <w:p w14:paraId="251B9291">
            <w:pPr>
              <w:spacing w:after="40" w:line="283" w:lineRule="auto"/>
            </w:pPr>
            <w:r>
              <w:rPr>
                <w:rFonts w:ascii="Arial" w:hAnsi="Arial" w:eastAsia="微软雅黑"/>
                <w:b w:val="0"/>
                <w:i w:val="0"/>
                <w:color w:val="26364A"/>
                <w:sz w:val="18"/>
              </w:rPr>
              <w:t>排程、缺料、质量规则、来源与幂等测试；固定输入与断言</w:t>
            </w:r>
          </w:p>
        </w:tc>
        <w:tc>
          <w:tcPr>
            <w:tcW w:w="4535" w:type="dxa"/>
            <w:shd w:val="clear" w:color="auto" w:fill="F1F6FB"/>
            <w:tcMar>
              <w:top w:w="90" w:type="dxa"/>
              <w:left w:w="100" w:type="dxa"/>
              <w:bottom w:w="90" w:type="dxa"/>
              <w:right w:w="100" w:type="dxa"/>
            </w:tcMar>
            <w:vAlign w:val="center"/>
          </w:tcPr>
          <w:p w14:paraId="61855398">
            <w:pPr>
              <w:spacing w:after="40" w:line="283" w:lineRule="auto"/>
            </w:pPr>
            <w:r>
              <w:rPr>
                <w:rFonts w:ascii="Arial" w:hAnsi="Arial" w:eastAsia="微软雅黑"/>
                <w:b w:val="0"/>
                <w:i w:val="0"/>
                <w:color w:val="26364A"/>
                <w:sz w:val="18"/>
              </w:rPr>
              <w:t>限定输入下的逻辑与边界，不等于现场表现</w:t>
            </w:r>
          </w:p>
        </w:tc>
      </w:tr>
      <w:tr w14:paraId="4419AFBA">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FFFFF"/>
            <w:tcMar>
              <w:top w:w="90" w:type="dxa"/>
              <w:left w:w="100" w:type="dxa"/>
              <w:bottom w:w="90" w:type="dxa"/>
              <w:right w:w="100" w:type="dxa"/>
            </w:tcMar>
            <w:vAlign w:val="center"/>
          </w:tcPr>
          <w:p w14:paraId="4868A377">
            <w:pPr>
              <w:spacing w:after="40" w:line="283" w:lineRule="auto"/>
            </w:pPr>
            <w:r>
              <w:rPr>
                <w:rFonts w:ascii="Arial" w:hAnsi="Arial" w:eastAsia="微软雅黑"/>
                <w:b w:val="0"/>
                <w:i w:val="0"/>
                <w:color w:val="26364A"/>
                <w:sz w:val="18"/>
              </w:rPr>
              <w:t>系统软件运行</w:t>
            </w:r>
          </w:p>
        </w:tc>
        <w:tc>
          <w:tcPr>
            <w:tcW w:w="3515" w:type="dxa"/>
            <w:shd w:val="clear" w:color="auto" w:fill="FFFFFF"/>
            <w:tcMar>
              <w:top w:w="90" w:type="dxa"/>
              <w:left w:w="100" w:type="dxa"/>
              <w:bottom w:w="90" w:type="dxa"/>
              <w:right w:w="100" w:type="dxa"/>
            </w:tcMar>
            <w:vAlign w:val="center"/>
          </w:tcPr>
          <w:p w14:paraId="7B8DDAB8">
            <w:pPr>
              <w:spacing w:after="40" w:line="283" w:lineRule="auto"/>
            </w:pPr>
            <w:r>
              <w:rPr>
                <w:rFonts w:ascii="Arial" w:hAnsi="Arial" w:eastAsia="微软雅黑"/>
                <w:b w:val="0"/>
                <w:i w:val="0"/>
                <w:color w:val="26364A"/>
                <w:sz w:val="18"/>
              </w:rPr>
              <w:t>正常认证调用真实 API，核对业务响应、节点结果与持久化状态</w:t>
            </w:r>
          </w:p>
        </w:tc>
        <w:tc>
          <w:tcPr>
            <w:tcW w:w="4535" w:type="dxa"/>
            <w:shd w:val="clear" w:color="auto" w:fill="FFFFFF"/>
            <w:tcMar>
              <w:top w:w="90" w:type="dxa"/>
              <w:left w:w="100" w:type="dxa"/>
              <w:bottom w:w="90" w:type="dxa"/>
              <w:right w:w="100" w:type="dxa"/>
            </w:tcMar>
            <w:vAlign w:val="center"/>
          </w:tcPr>
          <w:p w14:paraId="20498451">
            <w:pPr>
              <w:spacing w:after="40" w:line="283" w:lineRule="auto"/>
            </w:pPr>
            <w:r>
              <w:rPr>
                <w:rFonts w:ascii="Arial" w:hAnsi="Arial" w:eastAsia="微软雅黑"/>
                <w:b w:val="0"/>
                <w:i w:val="0"/>
                <w:color w:val="26364A"/>
                <w:sz w:val="18"/>
              </w:rPr>
              <w:t>代码实际接入系统，而不只是静态页面</w:t>
            </w:r>
          </w:p>
        </w:tc>
      </w:tr>
      <w:tr w14:paraId="48B55B9E">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42139CAE">
            <w:pPr>
              <w:spacing w:after="40" w:line="283" w:lineRule="auto"/>
            </w:pPr>
            <w:r>
              <w:rPr>
                <w:rFonts w:ascii="Arial" w:hAnsi="Arial" w:eastAsia="微软雅黑"/>
                <w:b w:val="0"/>
                <w:i w:val="0"/>
                <w:color w:val="26364A"/>
                <w:sz w:val="18"/>
              </w:rPr>
              <w:t>受控业务仿真</w:t>
            </w:r>
          </w:p>
        </w:tc>
        <w:tc>
          <w:tcPr>
            <w:tcW w:w="3515" w:type="dxa"/>
            <w:shd w:val="clear" w:color="auto" w:fill="F1F6FB"/>
            <w:tcMar>
              <w:top w:w="90" w:type="dxa"/>
              <w:left w:w="100" w:type="dxa"/>
              <w:bottom w:w="90" w:type="dxa"/>
              <w:right w:w="100" w:type="dxa"/>
            </w:tcMar>
            <w:vAlign w:val="center"/>
          </w:tcPr>
          <w:p w14:paraId="3C01AA8B">
            <w:pPr>
              <w:spacing w:after="40" w:line="283" w:lineRule="auto"/>
            </w:pPr>
            <w:r>
              <w:rPr>
                <w:rFonts w:ascii="Arial" w:hAnsi="Arial" w:eastAsia="微软雅黑"/>
                <w:b w:val="0"/>
                <w:i w:val="0"/>
                <w:color w:val="26364A"/>
                <w:sz w:val="18"/>
              </w:rPr>
              <w:t>固定工单、物料、工艺、日历和案例来源，记录输入、版本及结果</w:t>
            </w:r>
          </w:p>
        </w:tc>
        <w:tc>
          <w:tcPr>
            <w:tcW w:w="4535" w:type="dxa"/>
            <w:shd w:val="clear" w:color="auto" w:fill="F1F6FB"/>
            <w:tcMar>
              <w:top w:w="90" w:type="dxa"/>
              <w:left w:w="100" w:type="dxa"/>
              <w:bottom w:w="90" w:type="dxa"/>
              <w:right w:w="100" w:type="dxa"/>
            </w:tcMar>
            <w:vAlign w:val="center"/>
          </w:tcPr>
          <w:p w14:paraId="7733ACC2">
            <w:pPr>
              <w:spacing w:after="40" w:line="283" w:lineRule="auto"/>
            </w:pPr>
            <w:r>
              <w:rPr>
                <w:rFonts w:ascii="Arial" w:hAnsi="Arial" w:eastAsia="微软雅黑"/>
                <w:b w:val="0"/>
                <w:i w:val="0"/>
                <w:color w:val="26364A"/>
                <w:sz w:val="18"/>
              </w:rPr>
              <w:t>生产业务情景的可复现验证，不是物理仿真或真实生产实绩</w:t>
            </w:r>
          </w:p>
        </w:tc>
      </w:tr>
      <w:tr w14:paraId="0C0805D0">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FFFFF"/>
            <w:tcMar>
              <w:top w:w="90" w:type="dxa"/>
              <w:left w:w="100" w:type="dxa"/>
              <w:bottom w:w="90" w:type="dxa"/>
              <w:right w:w="100" w:type="dxa"/>
            </w:tcMar>
            <w:vAlign w:val="center"/>
          </w:tcPr>
          <w:p w14:paraId="0D0EC662">
            <w:pPr>
              <w:spacing w:after="40" w:line="283" w:lineRule="auto"/>
            </w:pPr>
            <w:r>
              <w:rPr>
                <w:rFonts w:ascii="Arial" w:hAnsi="Arial" w:eastAsia="微软雅黑"/>
                <w:b w:val="0"/>
                <w:i w:val="0"/>
                <w:color w:val="26364A"/>
                <w:sz w:val="18"/>
              </w:rPr>
              <w:t>现场与长期运行</w:t>
            </w:r>
          </w:p>
        </w:tc>
        <w:tc>
          <w:tcPr>
            <w:tcW w:w="3515" w:type="dxa"/>
            <w:shd w:val="clear" w:color="auto" w:fill="FFFFFF"/>
            <w:tcMar>
              <w:top w:w="90" w:type="dxa"/>
              <w:left w:w="100" w:type="dxa"/>
              <w:bottom w:w="90" w:type="dxa"/>
              <w:right w:w="100" w:type="dxa"/>
            </w:tcMar>
            <w:vAlign w:val="center"/>
          </w:tcPr>
          <w:p w14:paraId="377F61C6">
            <w:pPr>
              <w:spacing w:after="40" w:line="283" w:lineRule="auto"/>
            </w:pPr>
            <w:r>
              <w:rPr>
                <w:rFonts w:ascii="Arial" w:hAnsi="Arial" w:eastAsia="微软雅黑"/>
                <w:b w:val="0"/>
                <w:i w:val="0"/>
                <w:color w:val="26364A"/>
                <w:sz w:val="18"/>
              </w:rPr>
              <w:t>实机、传感器、真实质量记录、工序执行、长期稳定性及业务收益</w:t>
            </w:r>
          </w:p>
        </w:tc>
        <w:tc>
          <w:tcPr>
            <w:tcW w:w="4535" w:type="dxa"/>
            <w:shd w:val="clear" w:color="auto" w:fill="FFFFFF"/>
            <w:tcMar>
              <w:top w:w="90" w:type="dxa"/>
              <w:left w:w="100" w:type="dxa"/>
              <w:bottom w:w="90" w:type="dxa"/>
              <w:right w:w="100" w:type="dxa"/>
            </w:tcMar>
            <w:vAlign w:val="center"/>
          </w:tcPr>
          <w:p w14:paraId="319E1F26">
            <w:pPr>
              <w:spacing w:after="40" w:line="283" w:lineRule="auto"/>
            </w:pPr>
            <w:r>
              <w:rPr>
                <w:rFonts w:ascii="Arial" w:hAnsi="Arial" w:eastAsia="微软雅黑"/>
                <w:b w:val="0"/>
                <w:i w:val="0"/>
                <w:color w:val="26364A"/>
                <w:sz w:val="18"/>
              </w:rPr>
              <w:t>单独取得证据后才能作对应声明；本稿不提前签发</w:t>
            </w:r>
          </w:p>
        </w:tc>
      </w:tr>
    </w:tbl>
    <w:p w14:paraId="076AAF39">
      <w:pPr>
        <w:spacing w:after="20"/>
      </w:pPr>
    </w:p>
    <w:p w14:paraId="41730B62">
      <w:pPr>
        <w:pStyle w:val="4"/>
      </w:pPr>
      <w:r>
        <w:t>6.2 已保存记录与其适用范围</w:t>
      </w:r>
    </w:p>
    <w:tbl>
      <w:tblPr>
        <w:tblStyle w:val="33"/>
        <w:tblW w:w="0" w:type="auto"/>
        <w:jc w:val="center"/>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Layout w:type="fixed"/>
        <w:tblCellMar>
          <w:top w:w="0" w:type="dxa"/>
          <w:left w:w="108" w:type="dxa"/>
          <w:bottom w:w="0" w:type="dxa"/>
          <w:right w:w="108" w:type="dxa"/>
        </w:tblCellMar>
      </w:tblPr>
      <w:tblGrid>
        <w:gridCol w:w="1587"/>
        <w:gridCol w:w="3515"/>
        <w:gridCol w:w="4535"/>
      </w:tblGrid>
      <w:tr w14:paraId="7EA57ADE">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tblHeader/>
          <w:jc w:val="center"/>
        </w:trPr>
        <w:tc>
          <w:tcPr>
            <w:tcW w:w="1587" w:type="dxa"/>
            <w:shd w:val="clear" w:color="auto" w:fill="153758"/>
            <w:tcMar>
              <w:top w:w="90" w:type="dxa"/>
              <w:left w:w="100" w:type="dxa"/>
              <w:bottom w:w="90" w:type="dxa"/>
              <w:right w:w="100" w:type="dxa"/>
            </w:tcMar>
            <w:vAlign w:val="center"/>
          </w:tcPr>
          <w:p w14:paraId="635319EC">
            <w:pPr>
              <w:keepNext/>
              <w:spacing w:after="40" w:line="283" w:lineRule="auto"/>
            </w:pPr>
            <w:r>
              <w:rPr>
                <w:rFonts w:ascii="Arial" w:hAnsi="Arial" w:eastAsia="微软雅黑"/>
                <w:b/>
                <w:i w:val="0"/>
                <w:color w:val="FFFFFF"/>
                <w:sz w:val="18"/>
              </w:rPr>
              <w:t>记录</w:t>
            </w:r>
          </w:p>
        </w:tc>
        <w:tc>
          <w:tcPr>
            <w:tcW w:w="3515" w:type="dxa"/>
            <w:shd w:val="clear" w:color="auto" w:fill="153758"/>
            <w:tcMar>
              <w:top w:w="90" w:type="dxa"/>
              <w:left w:w="100" w:type="dxa"/>
              <w:bottom w:w="90" w:type="dxa"/>
              <w:right w:w="100" w:type="dxa"/>
            </w:tcMar>
            <w:vAlign w:val="center"/>
          </w:tcPr>
          <w:p w14:paraId="58B1D220">
            <w:pPr>
              <w:keepNext/>
              <w:spacing w:after="40" w:line="283" w:lineRule="auto"/>
            </w:pPr>
            <w:r>
              <w:rPr>
                <w:rFonts w:ascii="Arial" w:hAnsi="Arial" w:eastAsia="微软雅黑"/>
                <w:b/>
                <w:i w:val="0"/>
                <w:color w:val="FFFFFF"/>
                <w:sz w:val="18"/>
              </w:rPr>
              <w:t>已能支持的事实</w:t>
            </w:r>
          </w:p>
        </w:tc>
        <w:tc>
          <w:tcPr>
            <w:tcW w:w="4535" w:type="dxa"/>
            <w:shd w:val="clear" w:color="auto" w:fill="153758"/>
            <w:tcMar>
              <w:top w:w="90" w:type="dxa"/>
              <w:left w:w="100" w:type="dxa"/>
              <w:bottom w:w="90" w:type="dxa"/>
              <w:right w:w="100" w:type="dxa"/>
            </w:tcMar>
            <w:vAlign w:val="center"/>
          </w:tcPr>
          <w:p w14:paraId="5979753F">
            <w:pPr>
              <w:keepNext/>
              <w:spacing w:after="40" w:line="283" w:lineRule="auto"/>
            </w:pPr>
            <w:r>
              <w:rPr>
                <w:rFonts w:ascii="Arial" w:hAnsi="Arial" w:eastAsia="微软雅黑"/>
                <w:b/>
                <w:i w:val="0"/>
                <w:color w:val="FFFFFF"/>
                <w:sz w:val="18"/>
              </w:rPr>
              <w:t>不能据此声称</w:t>
            </w:r>
          </w:p>
        </w:tc>
      </w:tr>
      <w:tr w14:paraId="36FD89AA">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18094CF5">
            <w:pPr>
              <w:spacing w:after="40" w:line="283" w:lineRule="auto"/>
            </w:pPr>
            <w:r>
              <w:rPr>
                <w:rFonts w:ascii="Arial" w:hAnsi="Arial" w:eastAsia="微软雅黑"/>
                <w:b/>
                <w:i w:val="0"/>
                <w:color w:val="26364A"/>
                <w:sz w:val="18"/>
              </w:rPr>
              <w:t>2026-10-08</w:t>
            </w:r>
            <w:r>
              <w:rPr>
                <w:rFonts w:ascii="Arial" w:hAnsi="Arial" w:eastAsia="微软雅黑"/>
                <w:b w:val="0"/>
                <w:i w:val="0"/>
                <w:color w:val="26364A"/>
                <w:sz w:val="18"/>
              </w:rPr>
              <w:t xml:space="preserve"> Milvus/RAG 运行记录 [V01]</w:t>
            </w:r>
          </w:p>
        </w:tc>
        <w:tc>
          <w:tcPr>
            <w:tcW w:w="3515" w:type="dxa"/>
            <w:shd w:val="clear" w:color="auto" w:fill="F1F6FB"/>
            <w:tcMar>
              <w:top w:w="90" w:type="dxa"/>
              <w:left w:w="100" w:type="dxa"/>
              <w:bottom w:w="90" w:type="dxa"/>
              <w:right w:w="100" w:type="dxa"/>
            </w:tcMar>
            <w:vAlign w:val="center"/>
          </w:tcPr>
          <w:p w14:paraId="34436E46">
            <w:pPr>
              <w:spacing w:after="40" w:line="283" w:lineRule="auto"/>
            </w:pPr>
            <w:r>
              <w:rPr>
                <w:rFonts w:ascii="Arial" w:hAnsi="Arial" w:eastAsia="微软雅黑"/>
                <w:b w:val="0"/>
                <w:i w:val="0"/>
                <w:color w:val="26364A"/>
                <w:sz w:val="18"/>
              </w:rPr>
              <w:t>当次本机向量接入、检索、RAG 聊天及普通 RAG→LLM Flow 的运行证据</w:t>
            </w:r>
          </w:p>
        </w:tc>
        <w:tc>
          <w:tcPr>
            <w:tcW w:w="4535" w:type="dxa"/>
            <w:shd w:val="clear" w:color="auto" w:fill="F1F6FB"/>
            <w:tcMar>
              <w:top w:w="90" w:type="dxa"/>
              <w:left w:w="100" w:type="dxa"/>
              <w:bottom w:w="90" w:type="dxa"/>
              <w:right w:w="100" w:type="dxa"/>
            </w:tcMar>
            <w:vAlign w:val="center"/>
          </w:tcPr>
          <w:p w14:paraId="439D5935">
            <w:pPr>
              <w:spacing w:after="40" w:line="283" w:lineRule="auto"/>
            </w:pPr>
            <w:r>
              <w:rPr>
                <w:rFonts w:ascii="Arial" w:hAnsi="Arial" w:eastAsia="微软雅黑"/>
                <w:b w:val="0"/>
                <w:i w:val="0"/>
                <w:color w:val="26364A"/>
                <w:sz w:val="18"/>
              </w:rPr>
              <w:t>全部历史片段来源合格、当前所有模型可用，或完成工业审批执行</w:t>
            </w:r>
          </w:p>
        </w:tc>
      </w:tr>
      <w:tr w14:paraId="43240AA4">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FFFFF"/>
            <w:tcMar>
              <w:top w:w="90" w:type="dxa"/>
              <w:left w:w="100" w:type="dxa"/>
              <w:bottom w:w="90" w:type="dxa"/>
              <w:right w:w="100" w:type="dxa"/>
            </w:tcMar>
            <w:vAlign w:val="center"/>
          </w:tcPr>
          <w:p w14:paraId="3221367F">
            <w:pPr>
              <w:spacing w:after="40" w:line="283" w:lineRule="auto"/>
            </w:pPr>
            <w:r>
              <w:rPr>
                <w:rFonts w:ascii="Arial" w:hAnsi="Arial" w:eastAsia="微软雅黑"/>
                <w:b/>
                <w:i w:val="0"/>
                <w:color w:val="26364A"/>
                <w:sz w:val="18"/>
              </w:rPr>
              <w:t>2026-10-09</w:t>
            </w:r>
            <w:r>
              <w:rPr>
                <w:rFonts w:ascii="Arial" w:hAnsi="Arial" w:eastAsia="微软雅黑"/>
                <w:b w:val="0"/>
                <w:i w:val="0"/>
                <w:color w:val="26364A"/>
                <w:sz w:val="18"/>
              </w:rPr>
              <w:t xml:space="preserve"> PC 业务功能线记录 [V02]</w:t>
            </w:r>
          </w:p>
        </w:tc>
        <w:tc>
          <w:tcPr>
            <w:tcW w:w="3515" w:type="dxa"/>
            <w:shd w:val="clear" w:color="auto" w:fill="FFFFFF"/>
            <w:tcMar>
              <w:top w:w="90" w:type="dxa"/>
              <w:left w:w="100" w:type="dxa"/>
              <w:bottom w:w="90" w:type="dxa"/>
              <w:right w:w="100" w:type="dxa"/>
            </w:tcMar>
            <w:vAlign w:val="center"/>
          </w:tcPr>
          <w:p w14:paraId="67014F8C">
            <w:pPr>
              <w:spacing w:after="40" w:line="283" w:lineRule="auto"/>
            </w:pPr>
            <w:r>
              <w:rPr>
                <w:rFonts w:ascii="Arial" w:hAnsi="Arial" w:eastAsia="微软雅黑"/>
                <w:b w:val="0"/>
                <w:i w:val="0"/>
                <w:color w:val="26364A"/>
                <w:sz w:val="18"/>
              </w:rPr>
              <w:t xml:space="preserve">当次后端 </w:t>
            </w:r>
            <w:r>
              <w:rPr>
                <w:rFonts w:ascii="Arial" w:hAnsi="Arial" w:eastAsia="微软雅黑"/>
                <w:b/>
                <w:i w:val="0"/>
                <w:color w:val="26364A"/>
                <w:sz w:val="18"/>
              </w:rPr>
              <w:t>8,885</w:t>
            </w:r>
            <w:r>
              <w:rPr>
                <w:rFonts w:ascii="Arial" w:hAnsi="Arial" w:eastAsia="微软雅黑"/>
                <w:b w:val="0"/>
                <w:i w:val="0"/>
                <w:color w:val="26364A"/>
                <w:sz w:val="18"/>
              </w:rPr>
              <w:t xml:space="preserve"> 实际测试用例、前端 </w:t>
            </w:r>
            <w:r>
              <w:rPr>
                <w:rFonts w:ascii="Arial" w:hAnsi="Arial" w:eastAsia="微软雅黑"/>
                <w:b/>
                <w:i w:val="0"/>
                <w:color w:val="26364A"/>
                <w:sz w:val="18"/>
              </w:rPr>
              <w:t>1,642</w:t>
            </w:r>
            <w:r>
              <w:rPr>
                <w:rFonts w:ascii="Arial" w:hAnsi="Arial" w:eastAsia="微软雅黑"/>
                <w:b w:val="0"/>
                <w:i w:val="0"/>
                <w:color w:val="26364A"/>
                <w:sz w:val="18"/>
              </w:rPr>
              <w:t xml:space="preserve"> 可计数测试通过；类型检查与构建通过；认证只读上下文及订单详情实际回查</w:t>
            </w:r>
          </w:p>
        </w:tc>
        <w:tc>
          <w:tcPr>
            <w:tcW w:w="4535" w:type="dxa"/>
            <w:shd w:val="clear" w:color="auto" w:fill="FFFFFF"/>
            <w:tcMar>
              <w:top w:w="90" w:type="dxa"/>
              <w:left w:w="100" w:type="dxa"/>
              <w:bottom w:w="90" w:type="dxa"/>
              <w:right w:w="100" w:type="dxa"/>
            </w:tcMar>
            <w:vAlign w:val="center"/>
          </w:tcPr>
          <w:p w14:paraId="1D1D606B">
            <w:pPr>
              <w:spacing w:after="40" w:line="283" w:lineRule="auto"/>
            </w:pPr>
            <w:r>
              <w:rPr>
                <w:rFonts w:ascii="Arial" w:hAnsi="Arial" w:eastAsia="微软雅黑"/>
                <w:b w:val="0"/>
                <w:i w:val="0"/>
                <w:color w:val="26364A"/>
                <w:sz w:val="18"/>
              </w:rPr>
              <w:t>这些测试数是业务案例数，或本次改稿已经重跑；也不能推导出生产部署、人工浏览器 E2E、40 个独立案例或 SLA</w:t>
            </w:r>
          </w:p>
        </w:tc>
      </w:tr>
      <w:tr w14:paraId="6467E010">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1587" w:type="dxa"/>
            <w:shd w:val="clear" w:color="auto" w:fill="F1F6FB"/>
            <w:tcMar>
              <w:top w:w="90" w:type="dxa"/>
              <w:left w:w="100" w:type="dxa"/>
              <w:bottom w:w="90" w:type="dxa"/>
              <w:right w:w="100" w:type="dxa"/>
            </w:tcMar>
            <w:vAlign w:val="center"/>
          </w:tcPr>
          <w:p w14:paraId="19441E1E">
            <w:pPr>
              <w:spacing w:after="40" w:line="283" w:lineRule="auto"/>
            </w:pPr>
            <w:r>
              <w:rPr>
                <w:rFonts w:ascii="Arial" w:hAnsi="Arial" w:eastAsia="微软雅黑"/>
                <w:b/>
                <w:i w:val="0"/>
                <w:color w:val="26364A"/>
                <w:sz w:val="18"/>
              </w:rPr>
              <w:t>同一 2026-10-09 记录的限制</w:t>
            </w:r>
            <w:r>
              <w:rPr>
                <w:rFonts w:ascii="Arial" w:hAnsi="Arial" w:eastAsia="微软雅黑"/>
                <w:b w:val="0"/>
                <w:i w:val="0"/>
                <w:color w:val="26364A"/>
                <w:sz w:val="18"/>
              </w:rPr>
              <w:t xml:space="preserve"> [V02]</w:t>
            </w:r>
          </w:p>
        </w:tc>
        <w:tc>
          <w:tcPr>
            <w:tcW w:w="3515" w:type="dxa"/>
            <w:shd w:val="clear" w:color="auto" w:fill="F1F6FB"/>
            <w:tcMar>
              <w:top w:w="90" w:type="dxa"/>
              <w:left w:w="100" w:type="dxa"/>
              <w:bottom w:w="90" w:type="dxa"/>
              <w:right w:w="100" w:type="dxa"/>
            </w:tcMar>
            <w:vAlign w:val="center"/>
          </w:tcPr>
          <w:p w14:paraId="79984430">
            <w:pPr>
              <w:spacing w:after="40" w:line="283" w:lineRule="auto"/>
            </w:pPr>
            <w:r>
              <w:rPr>
                <w:rFonts w:ascii="Arial" w:hAnsi="Arial" w:eastAsia="微软雅黑"/>
                <w:b w:val="0"/>
                <w:i w:val="0"/>
                <w:color w:val="26364A"/>
                <w:sz w:val="18"/>
              </w:rPr>
              <w:t xml:space="preserve">当次后端健康 UP、只读验证成功；新业务写入证明仍为 </w:t>
            </w:r>
            <w:r>
              <w:rPr>
                <w:rFonts w:ascii="Arial" w:hAnsi="Arial" w:eastAsia="微软雅黑"/>
                <w:color w:val="26364A"/>
                <w:sz w:val="18"/>
              </w:rPr>
              <w:t>412 / BLOCKED / ATTESTATION_BUILD_UNPROVEN</w:t>
            </w:r>
            <w:r>
              <w:rPr>
                <w:rFonts w:ascii="Arial" w:hAnsi="Arial" w:eastAsia="微软雅黑"/>
                <w:b w:val="0"/>
                <w:i w:val="0"/>
                <w:color w:val="26364A"/>
                <w:sz w:val="18"/>
              </w:rPr>
              <w:t>，</w:t>
            </w:r>
            <w:r>
              <w:rPr>
                <w:rFonts w:ascii="Arial" w:hAnsi="Arial" w:eastAsia="微软雅黑"/>
                <w:color w:val="26364A"/>
                <w:sz w:val="18"/>
              </w:rPr>
              <w:t>businessWriteAuthorized=false</w:t>
            </w:r>
          </w:p>
        </w:tc>
        <w:tc>
          <w:tcPr>
            <w:tcW w:w="4535" w:type="dxa"/>
            <w:shd w:val="clear" w:color="auto" w:fill="F1F6FB"/>
            <w:tcMar>
              <w:top w:w="90" w:type="dxa"/>
              <w:left w:w="100" w:type="dxa"/>
              <w:bottom w:w="90" w:type="dxa"/>
              <w:right w:w="100" w:type="dxa"/>
            </w:tcMar>
            <w:vAlign w:val="center"/>
          </w:tcPr>
          <w:p w14:paraId="4DA83F7E">
            <w:pPr>
              <w:spacing w:after="40" w:line="283" w:lineRule="auto"/>
            </w:pPr>
            <w:r>
              <w:rPr>
                <w:rFonts w:ascii="Arial" w:hAnsi="Arial" w:eastAsia="微软雅黑"/>
                <w:b w:val="0"/>
                <w:i w:val="0"/>
                <w:color w:val="26364A"/>
                <w:sz w:val="18"/>
              </w:rPr>
              <w:t>健康 UP 等于构建受信，或可以继续批准、到货、收货等新写入</w:t>
            </w:r>
          </w:p>
        </w:tc>
      </w:tr>
    </w:tbl>
    <w:p w14:paraId="733B0524">
      <w:pPr>
        <w:spacing w:after="20"/>
      </w:pPr>
    </w:p>
    <w:p w14:paraId="579E6CD9">
      <w:pPr>
        <w:jc w:val="both"/>
      </w:pPr>
      <w:r>
        <w:rPr>
          <w:rFonts w:ascii="Arial" w:hAnsi="Arial" w:eastAsia="微软雅黑"/>
          <w:b w:val="0"/>
          <w:i w:val="0"/>
        </w:rPr>
        <w:t>上述记录属于各自注明日期与构建的历史证据。</w:t>
      </w:r>
      <w:r>
        <w:rPr>
          <w:rFonts w:ascii="Arial" w:hAnsi="Arial" w:eastAsia="微软雅黑"/>
          <w:b/>
          <w:i w:val="0"/>
        </w:rPr>
        <w:t>本稿没有新增运行验收，也不把不同日期、不同构建或重试结果拼接成一次完整通过。</w:t>
      </w:r>
      <w:r>
        <w:rPr>
          <w:rFonts w:ascii="Arial" w:hAnsi="Arial" w:eastAsia="微软雅黑"/>
          <w:b w:val="0"/>
          <w:i w:val="0"/>
        </w:rPr>
        <w:t xml:space="preserve"> 仿真演示可使用经批准的虚构样本，但“真实供应资料/原始来源”等业务守卫不能靠虚构材料强行满足；需要对应隔离测试通道时先取得明确授权。</w:t>
      </w:r>
    </w:p>
    <w:p w14:paraId="08DA8D0D">
      <w:pPr>
        <w:pStyle w:val="3"/>
      </w:pPr>
      <w:bookmarkStart w:id="7" w:name="_Toc9209"/>
      <w:r>
        <w:t>七、开源价值与持续发展</w:t>
      </w:r>
      <w:bookmarkEnd w:id="7"/>
    </w:p>
    <w:p w14:paraId="5CF2C67A">
      <w:pPr>
        <w:jc w:val="both"/>
      </w:pPr>
      <w:r>
        <w:rPr>
          <w:rFonts w:ascii="Arial" w:hAnsi="Arial" w:eastAsia="微软雅黑"/>
          <w:b w:val="0"/>
          <w:i w:val="0"/>
        </w:rPr>
        <w:t>Nexus-ERP 在 RuoYi-Vue-Plus 基础上二次开发，仓库声明 MIT，保留上游归属。可复用的不只是界面：还包括业务分层、跨模块合同、可独立测试的排程代码、AI 工具与 Flow 扩展接口，以及工程和业务守卫测试。[C12]</w:t>
      </w:r>
    </w:p>
    <w:p w14:paraId="75FA5637">
      <w:pPr>
        <w:jc w:val="both"/>
      </w:pPr>
      <w:r>
        <w:rPr>
          <w:rFonts w:ascii="Arial" w:hAnsi="Arial" w:eastAsia="微软雅黑"/>
          <w:b w:val="0"/>
          <w:i w:val="0"/>
        </w:rPr>
        <w:t>开源治理的展示应给出可访问的代码、清楚的部署与贡献说明、问题反馈入口和可复现验证方法，而不是凭本地文件声称已形成成熟社区。本次不虚构用户量、贡献者数量、Star、客户或生产案例；模型、依赖、素材和关联服务的许可分别核对，不能将仓库 MIT 扩大为所有资产的无条件授权。</w:t>
      </w:r>
    </w:p>
    <w:p w14:paraId="37B772FD">
      <w:pPr>
        <w:jc w:val="both"/>
      </w:pPr>
      <w:r>
        <w:rPr>
          <w:rFonts w:ascii="Arial" w:hAnsi="Arial" w:eastAsia="微软雅黑"/>
          <w:b w:val="0"/>
          <w:i w:val="0"/>
        </w:rPr>
        <w:t>后续优先级：</w:t>
      </w:r>
    </w:p>
    <w:p w14:paraId="3046142A">
      <w:pPr>
        <w:pStyle w:val="14"/>
        <w:numPr>
          <w:ilvl w:val="0"/>
          <w:numId w:val="8"/>
        </w:numPr>
      </w:pPr>
      <w:r>
        <w:rPr>
          <w:rFonts w:ascii="Arial" w:hAnsi="Arial" w:eastAsia="微软雅黑"/>
          <w:b/>
          <w:i w:val="0"/>
        </w:rPr>
        <w:t>补齐可复现交付：</w:t>
      </w:r>
      <w:r>
        <w:rPr>
          <w:rFonts w:ascii="Arial" w:hAnsi="Arial" w:eastAsia="微软雅黑"/>
          <w:b w:val="0"/>
          <w:i w:val="0"/>
        </w:rPr>
        <w:t>固定构建、配置类别、数据版本与验证入口，解决受信运行证明及尚未完成的业务门禁。</w:t>
      </w:r>
    </w:p>
    <w:p w14:paraId="140FC782">
      <w:pPr>
        <w:pStyle w:val="14"/>
        <w:numPr>
          <w:ilvl w:val="0"/>
          <w:numId w:val="8"/>
        </w:numPr>
      </w:pPr>
      <w:r>
        <w:rPr>
          <w:rFonts w:ascii="Arial" w:hAnsi="Arial" w:eastAsia="微软雅黑"/>
          <w:b/>
          <w:i w:val="0"/>
        </w:rPr>
        <w:t>扩展制造场景：</w:t>
      </w:r>
      <w:r>
        <w:rPr>
          <w:rFonts w:ascii="Arial" w:hAnsi="Arial" w:eastAsia="微软雅黑"/>
          <w:b w:val="0"/>
          <w:i w:val="0"/>
        </w:rPr>
        <w:t>以更多独立来源案例验证排程、质量和设备异常分支，不重复计算派生动作充当新案例。</w:t>
      </w:r>
    </w:p>
    <w:p w14:paraId="6C6D7D35">
      <w:pPr>
        <w:pStyle w:val="14"/>
        <w:numPr>
          <w:ilvl w:val="0"/>
          <w:numId w:val="8"/>
        </w:numPr>
      </w:pPr>
      <w:r>
        <w:rPr>
          <w:rFonts w:ascii="Arial" w:hAnsi="Arial" w:eastAsia="微软雅黑"/>
          <w:b/>
          <w:i w:val="0"/>
        </w:rPr>
        <w:t>深化现场集成：</w:t>
      </w:r>
      <w:r>
        <w:rPr>
          <w:rFonts w:ascii="Arial" w:hAnsi="Arial" w:eastAsia="微软雅黑"/>
          <w:b w:val="0"/>
          <w:i w:val="0"/>
        </w:rPr>
        <w:t>在授权的仿真或真实环境核验工位、设备、数据归档与业务回写。</w:t>
      </w:r>
    </w:p>
    <w:p w14:paraId="0AE2468F">
      <w:pPr>
        <w:pStyle w:val="14"/>
        <w:numPr>
          <w:ilvl w:val="0"/>
          <w:numId w:val="8"/>
        </w:numPr>
      </w:pPr>
      <w:r>
        <w:rPr>
          <w:rFonts w:ascii="Arial" w:hAnsi="Arial" w:eastAsia="微软雅黑"/>
          <w:b/>
          <w:i w:val="0"/>
        </w:rPr>
        <w:t>再开展效果评估：</w:t>
      </w:r>
      <w:r>
        <w:rPr>
          <w:rFonts w:ascii="Arial" w:hAnsi="Arial" w:eastAsia="微软雅黑"/>
          <w:b w:val="0"/>
          <w:i w:val="0"/>
        </w:rPr>
        <w:t>取得同口径基线后，评估计划人员操作成本、方案质量、稳定性与现场价值。</w:t>
      </w:r>
    </w:p>
    <w:p w14:paraId="6B696DE1">
      <w:pPr>
        <w:pStyle w:val="3"/>
      </w:pPr>
      <w:bookmarkStart w:id="8" w:name="_Toc1215"/>
      <w:r>
        <w:t>八、面向评审的收束</w:t>
      </w:r>
      <w:bookmarkEnd w:id="8"/>
    </w:p>
    <w:p w14:paraId="44E3C15A">
      <w:pPr>
        <w:jc w:val="both"/>
      </w:pPr>
      <w:r>
        <w:rPr>
          <w:rFonts w:ascii="Arial" w:hAnsi="Arial" w:eastAsia="微软雅黑"/>
          <w:b/>
          <w:i w:val="0"/>
        </w:rPr>
        <w:t>Nexus-ERP 希望呈现一种可复用的 AI+ 工业软件实践：以工业业务为主体，用 AI 降低信息获取与解释门槛，用确定性计算表达约束，用系统集成承接协同，用证据与权限守住执行边界。</w:t>
      </w:r>
    </w:p>
    <w:tbl>
      <w:tblPr>
        <w:tblStyle w:val="33"/>
        <w:tblW w:w="0" w:type="auto"/>
        <w:jc w:val="center"/>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Layout w:type="fixed"/>
        <w:tblCellMar>
          <w:top w:w="0" w:type="dxa"/>
          <w:left w:w="108" w:type="dxa"/>
          <w:bottom w:w="0" w:type="dxa"/>
          <w:right w:w="108" w:type="dxa"/>
        </w:tblCellMar>
      </w:tblPr>
      <w:tblGrid>
        <w:gridCol w:w="2438"/>
        <w:gridCol w:w="7200"/>
      </w:tblGrid>
      <w:tr w14:paraId="2BBBEFDD">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tblHeader/>
          <w:jc w:val="center"/>
        </w:trPr>
        <w:tc>
          <w:tcPr>
            <w:tcW w:w="2438" w:type="dxa"/>
            <w:shd w:val="clear" w:color="auto" w:fill="153758"/>
            <w:tcMar>
              <w:top w:w="90" w:type="dxa"/>
              <w:left w:w="100" w:type="dxa"/>
              <w:bottom w:w="90" w:type="dxa"/>
              <w:right w:w="100" w:type="dxa"/>
            </w:tcMar>
            <w:vAlign w:val="center"/>
          </w:tcPr>
          <w:p w14:paraId="218F712D">
            <w:pPr>
              <w:keepNext/>
              <w:spacing w:after="40" w:line="283" w:lineRule="auto"/>
            </w:pPr>
            <w:r>
              <w:rPr>
                <w:rFonts w:ascii="Arial" w:hAnsi="Arial" w:eastAsia="微软雅黑"/>
                <w:b/>
                <w:i w:val="0"/>
                <w:color w:val="FFFFFF"/>
                <w:sz w:val="18"/>
              </w:rPr>
              <w:t>官方评审维度</w:t>
            </w:r>
          </w:p>
        </w:tc>
        <w:tc>
          <w:tcPr>
            <w:tcW w:w="7200" w:type="dxa"/>
            <w:shd w:val="clear" w:color="auto" w:fill="153758"/>
            <w:tcMar>
              <w:top w:w="90" w:type="dxa"/>
              <w:left w:w="100" w:type="dxa"/>
              <w:bottom w:w="90" w:type="dxa"/>
              <w:right w:w="100" w:type="dxa"/>
            </w:tcMar>
            <w:vAlign w:val="center"/>
          </w:tcPr>
          <w:p w14:paraId="5365B9FF">
            <w:pPr>
              <w:keepNext/>
              <w:spacing w:after="40" w:line="283" w:lineRule="auto"/>
            </w:pPr>
            <w:r>
              <w:rPr>
                <w:rFonts w:ascii="Arial" w:hAnsi="Arial" w:eastAsia="微软雅黑"/>
                <w:b/>
                <w:i w:val="0"/>
                <w:color w:val="FFFFFF"/>
                <w:sz w:val="18"/>
              </w:rPr>
              <w:t>本作品对应内容</w:t>
            </w:r>
          </w:p>
        </w:tc>
      </w:tr>
      <w:tr w14:paraId="638BD19D">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2438" w:type="dxa"/>
            <w:shd w:val="clear" w:color="auto" w:fill="F1F6FB"/>
            <w:tcMar>
              <w:top w:w="90" w:type="dxa"/>
              <w:left w:w="100" w:type="dxa"/>
              <w:bottom w:w="90" w:type="dxa"/>
              <w:right w:w="100" w:type="dxa"/>
            </w:tcMar>
            <w:vAlign w:val="center"/>
          </w:tcPr>
          <w:p w14:paraId="51AE8FAD">
            <w:pPr>
              <w:spacing w:after="40" w:line="283" w:lineRule="auto"/>
            </w:pPr>
            <w:r>
              <w:rPr>
                <w:rFonts w:ascii="Arial" w:hAnsi="Arial" w:eastAsia="微软雅黑"/>
                <w:b w:val="0"/>
                <w:i w:val="0"/>
                <w:color w:val="26364A"/>
                <w:sz w:val="18"/>
              </w:rPr>
              <w:t>技术创新 30%</w:t>
            </w:r>
          </w:p>
        </w:tc>
        <w:tc>
          <w:tcPr>
            <w:tcW w:w="7200" w:type="dxa"/>
            <w:shd w:val="clear" w:color="auto" w:fill="F1F6FB"/>
            <w:tcMar>
              <w:top w:w="90" w:type="dxa"/>
              <w:left w:w="100" w:type="dxa"/>
              <w:bottom w:w="90" w:type="dxa"/>
              <w:right w:w="100" w:type="dxa"/>
            </w:tcMar>
            <w:vAlign w:val="center"/>
          </w:tcPr>
          <w:p w14:paraId="5984B619">
            <w:pPr>
              <w:spacing w:after="40" w:line="283" w:lineRule="auto"/>
            </w:pPr>
            <w:r>
              <w:rPr>
                <w:rFonts w:ascii="Arial" w:hAnsi="Arial" w:eastAsia="微软雅黑"/>
                <w:b w:val="0"/>
                <w:i w:val="0"/>
                <w:color w:val="26364A"/>
                <w:sz w:val="18"/>
              </w:rPr>
              <w:t>AI、确定性工业计算与受控业务流程的分工</w:t>
            </w:r>
          </w:p>
        </w:tc>
      </w:tr>
      <w:tr w14:paraId="004042A8">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2438" w:type="dxa"/>
            <w:shd w:val="clear" w:color="auto" w:fill="FFFFFF"/>
            <w:tcMar>
              <w:top w:w="90" w:type="dxa"/>
              <w:left w:w="100" w:type="dxa"/>
              <w:bottom w:w="90" w:type="dxa"/>
              <w:right w:w="100" w:type="dxa"/>
            </w:tcMar>
            <w:vAlign w:val="center"/>
          </w:tcPr>
          <w:p w14:paraId="0E2668D3">
            <w:pPr>
              <w:spacing w:after="40" w:line="283" w:lineRule="auto"/>
            </w:pPr>
            <w:r>
              <w:rPr>
                <w:rFonts w:ascii="Arial" w:hAnsi="Arial" w:eastAsia="微软雅黑"/>
                <w:b w:val="0"/>
                <w:i w:val="0"/>
                <w:color w:val="26364A"/>
                <w:sz w:val="18"/>
              </w:rPr>
              <w:t>场景落地 30%</w:t>
            </w:r>
          </w:p>
        </w:tc>
        <w:tc>
          <w:tcPr>
            <w:tcW w:w="7200" w:type="dxa"/>
            <w:shd w:val="clear" w:color="auto" w:fill="FFFFFF"/>
            <w:tcMar>
              <w:top w:w="90" w:type="dxa"/>
              <w:left w:w="100" w:type="dxa"/>
              <w:bottom w:w="90" w:type="dxa"/>
              <w:right w:w="100" w:type="dxa"/>
            </w:tcMar>
            <w:vAlign w:val="center"/>
          </w:tcPr>
          <w:p w14:paraId="6933C906">
            <w:pPr>
              <w:spacing w:after="40" w:line="283" w:lineRule="auto"/>
            </w:pPr>
            <w:r>
              <w:rPr>
                <w:rFonts w:ascii="Arial" w:hAnsi="Arial" w:eastAsia="微软雅黑"/>
                <w:b w:val="0"/>
                <w:i w:val="0"/>
                <w:color w:val="26364A"/>
                <w:sz w:val="18"/>
              </w:rPr>
              <w:t>工艺/物料/排程主线，以及制造、质量、设备协同和分层验证</w:t>
            </w:r>
          </w:p>
        </w:tc>
      </w:tr>
      <w:tr w14:paraId="19124F6C">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2438" w:type="dxa"/>
            <w:shd w:val="clear" w:color="auto" w:fill="F1F6FB"/>
            <w:tcMar>
              <w:top w:w="90" w:type="dxa"/>
              <w:left w:w="100" w:type="dxa"/>
              <w:bottom w:w="90" w:type="dxa"/>
              <w:right w:w="100" w:type="dxa"/>
            </w:tcMar>
            <w:vAlign w:val="center"/>
          </w:tcPr>
          <w:p w14:paraId="32244F8F">
            <w:pPr>
              <w:spacing w:after="40" w:line="283" w:lineRule="auto"/>
            </w:pPr>
            <w:r>
              <w:rPr>
                <w:rFonts w:ascii="Arial" w:hAnsi="Arial" w:eastAsia="微软雅黑"/>
                <w:b w:val="0"/>
                <w:i w:val="0"/>
                <w:color w:val="26364A"/>
                <w:sz w:val="18"/>
              </w:rPr>
              <w:t>开源治理 20%</w:t>
            </w:r>
          </w:p>
        </w:tc>
        <w:tc>
          <w:tcPr>
            <w:tcW w:w="7200" w:type="dxa"/>
            <w:shd w:val="clear" w:color="auto" w:fill="F1F6FB"/>
            <w:tcMar>
              <w:top w:w="90" w:type="dxa"/>
              <w:left w:w="100" w:type="dxa"/>
              <w:bottom w:w="90" w:type="dxa"/>
              <w:right w:w="100" w:type="dxa"/>
            </w:tcMar>
            <w:vAlign w:val="center"/>
          </w:tcPr>
          <w:p w14:paraId="6DD7BDF6">
            <w:pPr>
              <w:spacing w:after="40" w:line="283" w:lineRule="auto"/>
            </w:pPr>
            <w:r>
              <w:rPr>
                <w:rFonts w:ascii="Arial" w:hAnsi="Arial" w:eastAsia="微软雅黑"/>
                <w:b w:val="0"/>
                <w:i w:val="0"/>
                <w:color w:val="26364A"/>
                <w:sz w:val="18"/>
              </w:rPr>
              <w:t>上游归属、公开代码与文档、可复用合同和测试</w:t>
            </w:r>
          </w:p>
        </w:tc>
      </w:tr>
      <w:tr w14:paraId="3C48C524">
        <w:tblPrEx>
          <w:tblBorders>
            <w:top w:val="single" w:color="D5E0EA" w:sz="4" w:space="0"/>
            <w:left w:val="single" w:color="D5E0EA" w:sz="4" w:space="0"/>
            <w:bottom w:val="single" w:color="D5E0EA" w:sz="4" w:space="0"/>
            <w:right w:val="single" w:color="D5E0EA" w:sz="4" w:space="0"/>
            <w:insideH w:val="single" w:color="D5E0EA" w:sz="4" w:space="0"/>
            <w:insideV w:val="single" w:color="D5E0EA" w:sz="4" w:space="0"/>
          </w:tblBorders>
          <w:tblCellMar>
            <w:top w:w="0" w:type="dxa"/>
            <w:left w:w="108" w:type="dxa"/>
            <w:bottom w:w="0" w:type="dxa"/>
            <w:right w:w="108" w:type="dxa"/>
          </w:tblCellMar>
        </w:tblPrEx>
        <w:trPr>
          <w:cantSplit/>
          <w:jc w:val="center"/>
        </w:trPr>
        <w:tc>
          <w:tcPr>
            <w:tcW w:w="2438" w:type="dxa"/>
            <w:shd w:val="clear" w:color="auto" w:fill="FFFFFF"/>
            <w:tcMar>
              <w:top w:w="90" w:type="dxa"/>
              <w:left w:w="100" w:type="dxa"/>
              <w:bottom w:w="90" w:type="dxa"/>
              <w:right w:w="100" w:type="dxa"/>
            </w:tcMar>
            <w:vAlign w:val="center"/>
          </w:tcPr>
          <w:p w14:paraId="42C0368A">
            <w:pPr>
              <w:spacing w:after="40" w:line="283" w:lineRule="auto"/>
            </w:pPr>
            <w:r>
              <w:rPr>
                <w:rFonts w:ascii="Arial" w:hAnsi="Arial" w:eastAsia="微软雅黑"/>
                <w:b w:val="0"/>
                <w:i w:val="0"/>
                <w:color w:val="26364A"/>
                <w:sz w:val="18"/>
              </w:rPr>
              <w:t>长期发展 20%</w:t>
            </w:r>
          </w:p>
        </w:tc>
        <w:tc>
          <w:tcPr>
            <w:tcW w:w="7200" w:type="dxa"/>
            <w:shd w:val="clear" w:color="auto" w:fill="FFFFFF"/>
            <w:tcMar>
              <w:top w:w="90" w:type="dxa"/>
              <w:left w:w="100" w:type="dxa"/>
              <w:bottom w:w="90" w:type="dxa"/>
              <w:right w:w="100" w:type="dxa"/>
            </w:tcMar>
            <w:vAlign w:val="center"/>
          </w:tcPr>
          <w:p w14:paraId="3713B946">
            <w:pPr>
              <w:spacing w:after="40" w:line="283" w:lineRule="auto"/>
            </w:pPr>
            <w:r>
              <w:rPr>
                <w:rFonts w:ascii="Arial" w:hAnsi="Arial" w:eastAsia="微软雅黑"/>
                <w:b w:val="0"/>
                <w:i w:val="0"/>
                <w:color w:val="26364A"/>
                <w:sz w:val="18"/>
              </w:rPr>
              <w:t>可复现交付、更多独立案例、现场集成及效果评估路径</w:t>
            </w:r>
          </w:p>
        </w:tc>
      </w:tr>
    </w:tbl>
    <w:p w14:paraId="6F9929C7">
      <w:pPr>
        <w:spacing w:after="20"/>
      </w:pPr>
    </w:p>
    <w:p w14:paraId="6739DE78">
      <w:pPr>
        <w:jc w:val="both"/>
      </w:pPr>
      <w:r>
        <w:rPr>
          <w:rFonts w:ascii="Arial" w:hAnsi="Arial" w:eastAsia="微软雅黑"/>
          <w:b w:val="0"/>
          <w:i w:val="0"/>
        </w:rPr>
        <w:t>赛事依据：</w:t>
      </w:r>
      <w:r>
        <w:fldChar w:fldCharType="begin"/>
      </w:r>
      <w:r>
        <w:instrText xml:space="preserve"> HYPERLINK "https://www.oschina.net/os2026/" \h </w:instrText>
      </w:r>
      <w:r>
        <w:fldChar w:fldCharType="separate"/>
      </w:r>
      <w:r>
        <w:rPr>
          <w:rFonts w:ascii="Arial" w:hAnsi="Arial" w:eastAsia="微软雅黑"/>
          <w:color w:val="126BC5"/>
        </w:rPr>
        <w:t>2026 上海开源软件应用创新大赛官方页面</w:t>
      </w:r>
      <w:r>
        <w:rPr>
          <w:rFonts w:ascii="Arial" w:hAnsi="Arial" w:eastAsia="微软雅黑"/>
          <w:color w:val="126BC5"/>
        </w:rPr>
        <w:fldChar w:fldCharType="end"/>
      </w:r>
      <w:r>
        <w:rPr>
          <w:rFonts w:ascii="Arial" w:hAnsi="Arial" w:eastAsia="微软雅黑"/>
          <w:b w:val="0"/>
          <w:i w:val="0"/>
        </w:rPr>
        <w:t>，核对日期 2026-10-10。官网要求提交 PDF 作品介绍与展示核心功能、使用流程的视频；本文和配套脚本仍是文字审阅稿，不是已交付 PDF、已完成视频或报名/提交回执。视频 7:45 的创作预算不是已核实的官方时长上限，提交前以报名通知和组委会要求复核。</w:t>
      </w:r>
    </w:p>
    <w:p w14:paraId="4FF9E439">
      <w:r>
        <w:br w:type="page"/>
      </w:r>
    </w:p>
    <w:p w14:paraId="7B0FFC4E">
      <w:pPr>
        <w:pStyle w:val="3"/>
      </w:pPr>
      <w:bookmarkStart w:id="9" w:name="_Toc14845"/>
      <w:r>
        <w:t>附录：源码与验证记录索引</w:t>
      </w:r>
      <w:bookmarkEnd w:id="9"/>
    </w:p>
    <w:p w14:paraId="104819D6">
      <w:pPr>
        <w:pStyle w:val="16"/>
        <w:spacing w:after="120" w:line="288" w:lineRule="auto"/>
      </w:pPr>
      <w:r>
        <w:rPr>
          <w:rFonts w:ascii="Arial" w:hAnsi="Arial" w:eastAsia="微软雅黑"/>
          <w:b/>
          <w:i w:val="0"/>
          <w:sz w:val="18"/>
        </w:rPr>
        <w:t>[C01] 工程数据：</w:t>
      </w:r>
      <w:r>
        <w:fldChar w:fldCharType="begin"/>
      </w:r>
      <w:r>
        <w:instrText xml:space="preserve"> HYPERLINK "../../../ruoyi-modules/ruoyi-erp/src/main/java/com/nexus/erp/bd/service/impl/BdBomServiceImpl.java" \h </w:instrText>
      </w:r>
      <w:r>
        <w:fldChar w:fldCharType="separate"/>
      </w:r>
      <w:r>
        <w:rPr>
          <w:rFonts w:ascii="Arial" w:hAnsi="Arial" w:eastAsia="微软雅黑"/>
          <w:color w:val="126BC5"/>
        </w:rPr>
        <w:t>BOM</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"../../../ruoyi-modules/ruoyi-erp/src/main/java/com/nexus/erp/bd/service/impl/BdRoutingServiceImpl.java" \h </w:instrText>
      </w:r>
      <w:r>
        <w:fldChar w:fldCharType="separate"/>
      </w:r>
      <w:r>
        <w:rPr>
          <w:rFonts w:ascii="Arial" w:hAnsi="Arial" w:eastAsia="微软雅黑"/>
          <w:color w:val="126BC5"/>
        </w:rPr>
        <w:t>工艺路线</w:t>
      </w:r>
      <w:r>
        <w:rPr>
          <w:rFonts w:ascii="Arial" w:hAnsi="Arial" w:eastAsia="微软雅黑"/>
          <w:color w:val="126BC5"/>
        </w:rPr>
        <w:fldChar w:fldCharType="end"/>
      </w:r>
      <w:r>
        <w:rPr>
          <w:rFonts w:ascii="Arial" w:hAnsi="Arial" w:eastAsia="微软雅黑"/>
          <w:b w:val="0"/>
          <w:i w:val="0"/>
          <w:sz w:val="18"/>
        </w:rPr>
        <w:t>。</w:t>
      </w:r>
    </w:p>
    <w:p w14:paraId="2F323300">
      <w:pPr>
        <w:pStyle w:val="16"/>
        <w:spacing w:after="120" w:line="288" w:lineRule="auto"/>
      </w:pPr>
      <w:r>
        <w:rPr>
          <w:rFonts w:ascii="Arial" w:hAnsi="Arial" w:eastAsia="微软雅黑"/>
          <w:b/>
          <w:i w:val="0"/>
          <w:sz w:val="18"/>
        </w:rPr>
        <w:t>[C02] AI 数据查询：</w:t>
      </w:r>
      <w:r>
        <w:fldChar w:fldCharType="begin"/>
      </w:r>
      <w:r>
        <w:instrText xml:space="preserve"> HYPERLINK "../../../ruoyi-modules/ruoyi-ai/src/main/java/com/nexus/ai/service/facade/AiServiceFacade.java" \h </w:instrText>
      </w:r>
      <w:r>
        <w:fldChar w:fldCharType="separate"/>
      </w:r>
      <w:r>
        <w:rPr>
          <w:rFonts w:ascii="Arial" w:hAnsi="Arial" w:eastAsia="微软雅黑"/>
          <w:color w:val="126BC5"/>
        </w:rPr>
        <w:t>AI 入口</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"../../../ruoyi-modules/ruoyi-ai/src/main/java/com/nexus/ai/tool/" \h </w:instrText>
      </w:r>
      <w:r>
        <w:fldChar w:fldCharType="separate"/>
      </w:r>
      <w:r>
        <w:rPr>
          <w:rFonts w:ascii="Arial" w:hAnsi="Arial" w:eastAsia="微软雅黑"/>
          <w:color w:val="126BC5"/>
        </w:rPr>
        <w:t>ERP 工具</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"../../../ruoyi-modules/ruoyi-ai/src/main/java/com/nexus/ai/service/query/SqlSafetyValidator.java" \h </w:instrText>
      </w:r>
      <w:r>
        <w:fldChar w:fldCharType="separate"/>
      </w:r>
      <w:r>
        <w:rPr>
          <w:rFonts w:ascii="Arial" w:hAnsi="Arial" w:eastAsia="微软雅黑"/>
          <w:color w:val="126BC5"/>
        </w:rPr>
        <w:t>SQL 校验</w:t>
      </w:r>
      <w:r>
        <w:rPr>
          <w:rFonts w:ascii="Arial" w:hAnsi="Arial" w:eastAsia="微软雅黑"/>
          <w:color w:val="126BC5"/>
        </w:rPr>
        <w:fldChar w:fldCharType="end"/>
      </w:r>
      <w:r>
        <w:rPr>
          <w:rFonts w:ascii="Arial" w:hAnsi="Arial" w:eastAsia="微软雅黑"/>
          <w:b w:val="0"/>
          <w:i w:val="0"/>
          <w:sz w:val="18"/>
        </w:rPr>
        <w:t>。</w:t>
      </w:r>
    </w:p>
    <w:p w14:paraId="4E0C8C0F">
      <w:pPr>
        <w:pStyle w:val="16"/>
        <w:spacing w:after="120" w:line="288" w:lineRule="auto"/>
      </w:pPr>
      <w:r>
        <w:rPr>
          <w:rFonts w:ascii="Arial" w:hAnsi="Arial" w:eastAsia="微软雅黑"/>
          <w:b/>
          <w:i w:val="0"/>
          <w:sz w:val="18"/>
        </w:rPr>
        <w:t>[C03] 企业知识：</w:t>
      </w:r>
      <w:r>
        <w:fldChar w:fldCharType="begin"/>
      </w:r>
      <w:r>
        <w:instrText xml:space="preserve"> HYPERLINK "../../../ruoyi-modules/ruoyi-ai/src/main/java/com/nexus/ai/service/rag/RetrieverService.java" \h </w:instrText>
      </w:r>
      <w:r>
        <w:fldChar w:fldCharType="separate"/>
      </w:r>
      <w:r>
        <w:rPr>
          <w:rFonts w:ascii="Arial" w:hAnsi="Arial" w:eastAsia="微软雅黑"/>
          <w:color w:val="126BC5"/>
        </w:rPr>
        <w:t>检索服务</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"../../../ruoyi-modules/ruoyi-ai/src/main/java/com/nexus/ai/service/rag/KnowledgeProcessService.java" \h </w:instrText>
      </w:r>
      <w:r>
        <w:fldChar w:fldCharType="separate"/>
      </w:r>
      <w:r>
        <w:rPr>
          <w:rFonts w:ascii="Arial" w:hAnsi="Arial" w:eastAsia="微软雅黑"/>
          <w:color w:val="126BC5"/>
        </w:rPr>
        <w:t>知识处理</w:t>
      </w:r>
      <w:r>
        <w:rPr>
          <w:rFonts w:ascii="Arial" w:hAnsi="Arial" w:eastAsia="微软雅黑"/>
          <w:color w:val="126BC5"/>
        </w:rPr>
        <w:fldChar w:fldCharType="end"/>
      </w:r>
      <w:r>
        <w:rPr>
          <w:rFonts w:ascii="Arial" w:hAnsi="Arial" w:eastAsia="微软雅黑"/>
          <w:b w:val="0"/>
          <w:i w:val="0"/>
          <w:sz w:val="18"/>
        </w:rPr>
        <w:t>。</w:t>
      </w:r>
    </w:p>
    <w:p w14:paraId="2421AF78">
      <w:pPr>
        <w:pStyle w:val="16"/>
        <w:spacing w:after="120" w:line="288" w:lineRule="auto"/>
      </w:pPr>
      <w:r>
        <w:rPr>
          <w:rFonts w:ascii="Arial" w:hAnsi="Arial" w:eastAsia="微软雅黑"/>
          <w:b/>
          <w:i w:val="0"/>
          <w:sz w:val="18"/>
        </w:rPr>
        <w:t>[C04] Flow：</w:t>
      </w:r>
      <w:r>
        <w:fldChar w:fldCharType="begin"/>
      </w:r>
      <w:r>
        <w:instrText xml:space="preserve"> HYPERLINK "../../../ruoyi-modules/ruoyi-flow/src/main/java/com/nexus/flow/node/FlowNodeProvider.java" \h </w:instrText>
      </w:r>
      <w:r>
        <w:fldChar w:fldCharType="separate"/>
      </w:r>
      <w:r>
        <w:rPr>
          <w:rFonts w:ascii="Arial" w:hAnsi="Arial" w:eastAsia="微软雅黑"/>
          <w:color w:val="126BC5"/>
        </w:rPr>
        <w:t>节点 SPI</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"../../../ruoyi-modules/ruoyi-flow/src/main/java/com/nexus/flow/adapter/DecisionFlowAccessGuard.java" \h </w:instrText>
      </w:r>
      <w:r>
        <w:fldChar w:fldCharType="separate"/>
      </w:r>
      <w:r>
        <w:rPr>
          <w:rFonts w:ascii="Arial" w:hAnsi="Arial" w:eastAsia="微软雅黑"/>
          <w:color w:val="126BC5"/>
        </w:rPr>
        <w:t>受保护图访问守卫</w:t>
      </w:r>
      <w:r>
        <w:rPr>
          <w:rFonts w:ascii="Arial" w:hAnsi="Arial" w:eastAsia="微软雅黑"/>
          <w:color w:val="126BC5"/>
        </w:rPr>
        <w:fldChar w:fldCharType="end"/>
      </w:r>
      <w:r>
        <w:rPr>
          <w:rFonts w:ascii="Arial" w:hAnsi="Arial" w:eastAsia="微软雅黑"/>
          <w:b w:val="0"/>
          <w:i w:val="0"/>
          <w:sz w:val="18"/>
        </w:rPr>
        <w:t>。</w:t>
      </w:r>
    </w:p>
    <w:p w14:paraId="60D9B6F0">
      <w:pPr>
        <w:pStyle w:val="16"/>
        <w:spacing w:after="120" w:line="288" w:lineRule="auto"/>
      </w:pPr>
      <w:r>
        <w:rPr>
          <w:rFonts w:ascii="Arial" w:hAnsi="Arial" w:eastAsia="微软雅黑"/>
          <w:b/>
          <w:i w:val="0"/>
          <w:sz w:val="18"/>
        </w:rPr>
        <w:t>[C05] 工业推演：</w:t>
      </w:r>
      <w:r>
        <w:fldChar w:fldCharType="begin"/>
      </w:r>
      <w:r>
        <w:instrText xml:space="preserve"> HYPERLINK "../../../ruoyi-modules/ruoyi-erp/src/main/java/com/nexus/erp/prd/schedule/PrdScheduleEngine.java" \h </w:instrText>
      </w:r>
      <w:r>
        <w:fldChar w:fldCharType="separate"/>
      </w:r>
      <w:r>
        <w:rPr>
          <w:rFonts w:ascii="Arial" w:hAnsi="Arial" w:eastAsia="微软雅黑"/>
          <w:color w:val="126BC5"/>
        </w:rPr>
        <w:t>排程引擎</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"../../../ruoyi-modules/ruoyi-erp/src/main/java/com/nexus/erp/ai/adapter/ErpDecisionShortageSimulation.java" \h </w:instrText>
      </w:r>
      <w:r>
        <w:fldChar w:fldCharType="separate"/>
      </w:r>
      <w:r>
        <w:rPr>
          <w:rFonts w:ascii="Arial" w:hAnsi="Arial" w:eastAsia="微软雅黑"/>
          <w:color w:val="126BC5"/>
        </w:rPr>
        <w:t>缺料推演</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"../../../ruoyi-modules/ruoyi-erp/src/main/java/com/nexus/erp/ai/adapter/ErpDecisionApsSimulation.java" \h </w:instrText>
      </w:r>
      <w:r>
        <w:fldChar w:fldCharType="separate"/>
      </w:r>
      <w:r>
        <w:rPr>
          <w:rFonts w:ascii="Arial" w:hAnsi="Arial" w:eastAsia="微软雅黑"/>
          <w:color w:val="126BC5"/>
        </w:rPr>
        <w:t>APS 方案比较</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"../../../ruoyi-modules/ruoyi-ai/src/main/java/com/nexus/ai/service/decision/DecisionScenarioRankingService.java" \h </w:instrText>
      </w:r>
      <w:r>
        <w:fldChar w:fldCharType="separate"/>
      </w:r>
      <w:r>
        <w:rPr>
          <w:rFonts w:ascii="Arial" w:hAnsi="Arial" w:eastAsia="微软雅黑"/>
          <w:color w:val="126BC5"/>
        </w:rPr>
        <w:t>确定性排序</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"../../../ruoyi-modules/ruoyi-ai/src/main/java/com/nexus/ai/service/decision/DecisionSummaryService.java" \h </w:instrText>
      </w:r>
      <w:r>
        <w:fldChar w:fldCharType="separate"/>
      </w:r>
      <w:r>
        <w:rPr>
          <w:rFonts w:ascii="Arial" w:hAnsi="Arial" w:eastAsia="微软雅黑"/>
          <w:color w:val="126BC5"/>
        </w:rPr>
        <w:t>AI 摘要与降级</w:t>
      </w:r>
      <w:r>
        <w:rPr>
          <w:rFonts w:ascii="Arial" w:hAnsi="Arial" w:eastAsia="微软雅黑"/>
          <w:color w:val="126BC5"/>
        </w:rPr>
        <w:fldChar w:fldCharType="end"/>
      </w:r>
      <w:r>
        <w:rPr>
          <w:rFonts w:ascii="Arial" w:hAnsi="Arial" w:eastAsia="微软雅黑"/>
          <w:b w:val="0"/>
          <w:i w:val="0"/>
          <w:sz w:val="18"/>
        </w:rPr>
        <w:t>。</w:t>
      </w:r>
    </w:p>
    <w:p w14:paraId="771F1458">
      <w:pPr>
        <w:pStyle w:val="16"/>
        <w:spacing w:after="120" w:line="288" w:lineRule="auto"/>
      </w:pPr>
      <w:r>
        <w:rPr>
          <w:rFonts w:ascii="Arial" w:hAnsi="Arial" w:eastAsia="微软雅黑"/>
          <w:b/>
          <w:i w:val="0"/>
          <w:sz w:val="18"/>
        </w:rPr>
        <w:t>[C06] 制造集成：</w:t>
      </w:r>
      <w:r>
        <w:fldChar w:fldCharType="begin"/>
      </w:r>
      <w:r>
        <w:instrText xml:space="preserve"> HYPERLINK "../../../ruoyi-modules/ruoyi-mes/src/main/java/com/nexus/mes/common/bridge/MesErpBridgeServiceImpl.java" \h </w:instrText>
      </w:r>
      <w:r>
        <w:fldChar w:fldCharType="separate"/>
      </w:r>
      <w:r>
        <w:rPr>
          <w:rFonts w:ascii="Arial" w:hAnsi="Arial" w:eastAsia="微软雅黑"/>
          <w:color w:val="126BC5"/>
        </w:rPr>
        <w:t>主数据桥接</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"../../../ruoyi-modules/ruoyi-mes/src/main/java/com/nexus/mes/common/mq/consumer/WorkOrderReleaseConsumer.java" \h </w:instrText>
      </w:r>
      <w:r>
        <w:fldChar w:fldCharType="separate"/>
      </w:r>
      <w:r>
        <w:rPr>
          <w:rFonts w:ascii="Arial" w:hAnsi="Arial" w:eastAsia="微软雅黑"/>
          <w:color w:val="126BC5"/>
        </w:rPr>
        <w:t>ERP 工单下达消费者</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"../../../plus-ui/src/views/mes/pro/workorder/index.vue" \h </w:instrText>
      </w:r>
      <w:r>
        <w:fldChar w:fldCharType="separate"/>
      </w:r>
      <w:r>
        <w:rPr>
          <w:rFonts w:ascii="Arial" w:hAnsi="Arial" w:eastAsia="微软雅黑"/>
          <w:color w:val="126BC5"/>
        </w:rPr>
        <w:t>MES 工单页面</w:t>
      </w:r>
      <w:r>
        <w:rPr>
          <w:rFonts w:ascii="Arial" w:hAnsi="Arial" w:eastAsia="微软雅黑"/>
          <w:color w:val="126BC5"/>
        </w:rPr>
        <w:fldChar w:fldCharType="end"/>
      </w:r>
      <w:r>
        <w:rPr>
          <w:rFonts w:ascii="Arial" w:hAnsi="Arial" w:eastAsia="微软雅黑"/>
          <w:b w:val="0"/>
          <w:i w:val="0"/>
          <w:sz w:val="18"/>
        </w:rPr>
        <w:t>。</w:t>
      </w:r>
    </w:p>
    <w:p w14:paraId="300A4D34">
      <w:pPr>
        <w:pStyle w:val="16"/>
        <w:spacing w:after="120" w:line="288" w:lineRule="auto"/>
      </w:pPr>
      <w:r>
        <w:rPr>
          <w:rFonts w:ascii="Arial" w:hAnsi="Arial" w:eastAsia="微软雅黑"/>
          <w:b/>
          <w:i w:val="0"/>
          <w:sz w:val="18"/>
        </w:rPr>
        <w:t>[C07] 质量集成：</w:t>
      </w:r>
      <w:r>
        <w:fldChar w:fldCharType="begin"/>
      </w:r>
      <w:r>
        <w:instrText xml:space="preserve"> HYPERLINK "../../../ruoyi-modules/ruoyi-mes/src/main/java/com/nexus/mes/qc/service/impl/QcIqcServiceImpl.java" \h </w:instrText>
      </w:r>
      <w:r>
        <w:fldChar w:fldCharType="separate"/>
      </w:r>
      <w:r>
        <w:rPr>
          <w:rFonts w:ascii="Arial" w:hAnsi="Arial" w:eastAsia="微软雅黑"/>
          <w:color w:val="126BC5"/>
        </w:rPr>
        <w:t>IQC 服务</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"../../../ruoyi-modules/ruoyi-mes/src/main/java/com/nexus/mes/qc/service/QcJudgeEngine.java" \h </w:instrText>
      </w:r>
      <w:r>
        <w:fldChar w:fldCharType="separate"/>
      </w:r>
      <w:r>
        <w:rPr>
          <w:rFonts w:ascii="Arial" w:hAnsi="Arial" w:eastAsia="微软雅黑"/>
          <w:color w:val="126BC5"/>
        </w:rPr>
        <w:t>质量规则引擎</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"../../../ruoyi-modules/ruoyi-erp/src/main/java/com/nexus/erp/mq/consumer/ErpIqcCompletedConsumer.java" \h </w:instrText>
      </w:r>
      <w:r>
        <w:fldChar w:fldCharType="separate"/>
      </w:r>
      <w:r>
        <w:rPr>
          <w:rFonts w:ascii="Arial" w:hAnsi="Arial" w:eastAsia="微软雅黑"/>
          <w:color w:val="126BC5"/>
        </w:rPr>
        <w:t>ERP 质检完成消费者</w:t>
      </w:r>
      <w:r>
        <w:rPr>
          <w:rFonts w:ascii="Arial" w:hAnsi="Arial" w:eastAsia="微软雅黑"/>
          <w:color w:val="126BC5"/>
        </w:rPr>
        <w:fldChar w:fldCharType="end"/>
      </w:r>
      <w:r>
        <w:rPr>
          <w:rFonts w:ascii="Arial" w:hAnsi="Arial" w:eastAsia="微软雅黑"/>
          <w:b w:val="0"/>
          <w:i w:val="0"/>
          <w:sz w:val="18"/>
        </w:rPr>
        <w:t>。</w:t>
      </w:r>
    </w:p>
    <w:p w14:paraId="0FDDDDA6">
      <w:pPr>
        <w:pStyle w:val="16"/>
        <w:spacing w:after="120" w:line="288" w:lineRule="auto"/>
      </w:pPr>
      <w:r>
        <w:rPr>
          <w:rFonts w:ascii="Arial" w:hAnsi="Arial" w:eastAsia="微软雅黑"/>
          <w:b/>
          <w:i w:val="0"/>
          <w:sz w:val="18"/>
        </w:rPr>
        <w:t>[C08] 设备与 IoT：</w:t>
      </w:r>
      <w:r>
        <w:fldChar w:fldCharType="begin"/>
      </w:r>
      <w:r>
        <w:instrText xml:space="preserve"> HYPERLINK "../../../ruoyi-modules/ruoyi-mes/src/main/java/com/nexus/mes/common/mq/consumer/EquipmentStatusConsumer.java" \h </w:instrText>
      </w:r>
      <w:r>
        <w:fldChar w:fldCharType="separate"/>
      </w:r>
      <w:r>
        <w:rPr>
          <w:rFonts w:ascii="Arial" w:hAnsi="Arial" w:eastAsia="微软雅黑"/>
          <w:color w:val="126BC5"/>
        </w:rPr>
        <w:t>设备状态消费者</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"../../../ruoyi-modules/ruoyi-mes/src/main/java/com/nexus/mes/eq/task/MaintenanceDueTask.java" \h </w:instrText>
      </w:r>
      <w:r>
        <w:fldChar w:fldCharType="separate"/>
      </w:r>
      <w:r>
        <w:rPr>
          <w:rFonts w:ascii="Arial" w:hAnsi="Arial" w:eastAsia="微软雅黑"/>
          <w:color w:val="126BC5"/>
        </w:rPr>
        <w:t>保养到期任务</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"../../../ruoyi-modules/ruoyi-iot/src/main/java/com/nexus/iot/pipeline/IotAlertNotifier.java" \h </w:instrText>
      </w:r>
      <w:r>
        <w:fldChar w:fldCharType="separate"/>
      </w:r>
      <w:r>
        <w:rPr>
          <w:rFonts w:ascii="Arial" w:hAnsi="Arial" w:eastAsia="微软雅黑"/>
          <w:color w:val="126BC5"/>
        </w:rPr>
        <w:t>IoT 告警通知</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"../../../ruoyi-modules/ruoyi-mes/src/main/java/com/nexus/mes/pro/service/impl/MesAndonServiceImpl.java" \h </w:instrText>
      </w:r>
      <w:r>
        <w:fldChar w:fldCharType="separate"/>
      </w:r>
      <w:r>
        <w:rPr>
          <w:rFonts w:ascii="Arial" w:hAnsi="Arial" w:eastAsia="微软雅黑"/>
          <w:color w:val="126BC5"/>
        </w:rPr>
        <w:t>MES 安灯适配</w:t>
      </w:r>
      <w:r>
        <w:rPr>
          <w:rFonts w:ascii="Arial" w:hAnsi="Arial" w:eastAsia="微软雅黑"/>
          <w:color w:val="126BC5"/>
        </w:rPr>
        <w:fldChar w:fldCharType="end"/>
      </w:r>
      <w:r>
        <w:rPr>
          <w:rFonts w:ascii="Arial" w:hAnsi="Arial" w:eastAsia="微软雅黑"/>
          <w:b w:val="0"/>
          <w:i w:val="0"/>
          <w:sz w:val="18"/>
        </w:rPr>
        <w:t>。</w:t>
      </w:r>
    </w:p>
    <w:p w14:paraId="002580C7">
      <w:pPr>
        <w:pStyle w:val="16"/>
        <w:spacing w:after="120" w:line="288" w:lineRule="auto"/>
      </w:pPr>
      <w:r>
        <w:rPr>
          <w:rFonts w:ascii="Arial" w:hAnsi="Arial" w:eastAsia="微软雅黑"/>
          <w:b/>
          <w:i w:val="0"/>
          <w:sz w:val="18"/>
        </w:rPr>
        <w:t>[C09] 集成与多端：</w:t>
      </w:r>
      <w:r>
        <w:fldChar w:fldCharType="begin"/>
      </w:r>
      <w:r>
        <w:instrText xml:space="preserve"> HYPERLINK "../../../ruoyi-admin/pom.xml" \h </w:instrText>
      </w:r>
      <w:r>
        <w:fldChar w:fldCharType="separate"/>
      </w:r>
      <w:r>
        <w:rPr>
          <w:rFonts w:ascii="Arial" w:hAnsi="Arial" w:eastAsia="微软雅黑"/>
          <w:color w:val="126BC5"/>
        </w:rPr>
        <w:t>应用模块装配</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"../../../README.md" \h </w:instrText>
      </w:r>
      <w:r>
        <w:fldChar w:fldCharType="separate"/>
      </w:r>
      <w:r>
        <w:rPr>
          <w:rFonts w:ascii="Arial" w:hAnsi="Arial" w:eastAsia="微软雅黑"/>
          <w:color w:val="126BC5"/>
        </w:rPr>
        <w:t>关联项目入口</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"../../../ruoyi-modules/ruoyi-station/src/main/java/com/nexus/station/controller/StationDeviceController.java" \h </w:instrText>
      </w:r>
      <w:r>
        <w:fldChar w:fldCharType="separate"/>
      </w:r>
      <w:r>
        <w:rPr>
          <w:rFonts w:ascii="Arial" w:hAnsi="Arial" w:eastAsia="微软雅黑"/>
          <w:color w:val="126BC5"/>
        </w:rPr>
        <w:t>Station 设备通道</w:t>
      </w:r>
      <w:r>
        <w:rPr>
          <w:rFonts w:ascii="Arial" w:hAnsi="Arial" w:eastAsia="微软雅黑"/>
          <w:color w:val="126BC5"/>
        </w:rPr>
        <w:fldChar w:fldCharType="end"/>
      </w:r>
      <w:r>
        <w:rPr>
          <w:rFonts w:ascii="Arial" w:hAnsi="Arial" w:eastAsia="微软雅黑"/>
          <w:b w:val="0"/>
          <w:i w:val="0"/>
          <w:sz w:val="18"/>
        </w:rPr>
        <w:t>。关联客户端另仓核对，不把入口链接当作真机验收。</w:t>
      </w:r>
    </w:p>
    <w:p w14:paraId="5226FE3D">
      <w:pPr>
        <w:pStyle w:val="16"/>
        <w:spacing w:after="120" w:line="288" w:lineRule="auto"/>
      </w:pPr>
      <w:r>
        <w:rPr>
          <w:rFonts w:ascii="Arial" w:hAnsi="Arial" w:eastAsia="微软雅黑"/>
          <w:b/>
          <w:i w:val="0"/>
          <w:sz w:val="18"/>
        </w:rPr>
        <w:t>[C10] 视觉接口：</w:t>
      </w:r>
      <w:r>
        <w:fldChar w:fldCharType="begin"/>
      </w:r>
      <w:r>
        <w:instrText xml:space="preserve"> HYPERLINK "../../../ruoyi-modules/ruoyi-erp/src/main/java/com/nexus/erp/cv/controller/CvDetectController.java" \h </w:instrText>
      </w:r>
      <w:r>
        <w:fldChar w:fldCharType="separate"/>
      </w:r>
      <w:r>
        <w:rPr>
          <w:rFonts w:ascii="Arial" w:hAnsi="Arial" w:eastAsia="微软雅黑"/>
          <w:color w:val="126BC5"/>
        </w:rPr>
        <w:t>物料检测与 OCR</w:t>
      </w:r>
      <w:r>
        <w:rPr>
          <w:rFonts w:ascii="Arial" w:hAnsi="Arial" w:eastAsia="微软雅黑"/>
          <w:color w:val="126BC5"/>
        </w:rPr>
        <w:fldChar w:fldCharType="end"/>
      </w:r>
      <w:r>
        <w:rPr>
          <w:rFonts w:ascii="Arial" w:hAnsi="Arial" w:eastAsia="微软雅黑"/>
          <w:b w:val="0"/>
          <w:i w:val="0"/>
          <w:sz w:val="18"/>
        </w:rPr>
        <w:t>。</w:t>
      </w:r>
    </w:p>
    <w:p w14:paraId="2A2384CC">
      <w:pPr>
        <w:pStyle w:val="16"/>
        <w:spacing w:after="120" w:line="288" w:lineRule="auto"/>
      </w:pPr>
      <w:r>
        <w:rPr>
          <w:rFonts w:ascii="Arial" w:hAnsi="Arial" w:eastAsia="微软雅黑"/>
          <w:b/>
          <w:i w:val="0"/>
          <w:sz w:val="18"/>
        </w:rPr>
        <w:t>[C11] 执行授权：</w:t>
      </w:r>
      <w:r>
        <w:fldChar w:fldCharType="begin"/>
      </w:r>
      <w:r>
        <w:instrText xml:space="preserve"> HYPERLINK "../../../ruoyi-modules/ruoyi-ai/src/main/java/com/nexus/ai/controller/AiDecisionController.java" \h </w:instrText>
      </w:r>
      <w:r>
        <w:fldChar w:fldCharType="separate"/>
      </w:r>
      <w:r>
        <w:rPr>
          <w:rFonts w:ascii="Arial" w:hAnsi="Arial" w:eastAsia="微软雅黑"/>
          <w:color w:val="126BC5"/>
        </w:rPr>
        <w:t>决策接口权限</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"../../../ruoyi-modules/ruoyi-ai/src/main/java/com/nexus/ai/service/decision/DecisionApprovalService.java" \h </w:instrText>
      </w:r>
      <w:r>
        <w:fldChar w:fldCharType="separate"/>
      </w:r>
      <w:r>
        <w:rPr>
          <w:rFonts w:ascii="Arial" w:hAnsi="Arial" w:eastAsia="微软雅黑"/>
          <w:color w:val="126BC5"/>
        </w:rPr>
        <w:t>审批服务</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"../../../ruoyi-modules/ruoyi-ai/src/main/java/com/nexus/ai/service/decision/DecisionActionExecutionService.java" \h </w:instrText>
      </w:r>
      <w:r>
        <w:fldChar w:fldCharType="separate"/>
      </w:r>
      <w:r>
        <w:rPr>
          <w:rFonts w:ascii="Arial" w:hAnsi="Arial" w:eastAsia="微软雅黑"/>
          <w:color w:val="126BC5"/>
        </w:rPr>
        <w:t>执行服务</w:t>
      </w:r>
      <w:r>
        <w:rPr>
          <w:rFonts w:ascii="Arial" w:hAnsi="Arial" w:eastAsia="微软雅黑"/>
          <w:color w:val="126BC5"/>
        </w:rPr>
        <w:fldChar w:fldCharType="end"/>
      </w:r>
      <w:r>
        <w:rPr>
          <w:rFonts w:ascii="Arial" w:hAnsi="Arial" w:eastAsia="微软雅黑"/>
          <w:b w:val="0"/>
          <w:i w:val="0"/>
          <w:sz w:val="18"/>
        </w:rPr>
        <w:t>。</w:t>
      </w:r>
    </w:p>
    <w:p w14:paraId="468B3C14">
      <w:pPr>
        <w:pStyle w:val="16"/>
        <w:spacing w:after="120" w:line="288" w:lineRule="auto"/>
      </w:pPr>
      <w:r>
        <w:rPr>
          <w:rFonts w:ascii="Arial" w:hAnsi="Arial" w:eastAsia="微软雅黑"/>
          <w:b/>
          <w:i w:val="0"/>
          <w:sz w:val="18"/>
        </w:rPr>
        <w:t>[C12] 开源与测试：</w:t>
      </w:r>
      <w:r>
        <w:fldChar w:fldCharType="begin"/>
      </w:r>
      <w:r>
        <w:instrText xml:space="preserve"> HYPERLINK "../../../LICENSE" \h </w:instrText>
      </w:r>
      <w:r>
        <w:fldChar w:fldCharType="separate"/>
      </w:r>
      <w:r>
        <w:rPr>
          <w:rFonts w:ascii="Arial" w:hAnsi="Arial" w:eastAsia="微软雅黑"/>
          <w:color w:val="126BC5"/>
        </w:rPr>
        <w:t>LICENSE</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"../../CONTRIBUTING.md" \h </w:instrText>
      </w:r>
      <w:r>
        <w:fldChar w:fldCharType="separate"/>
      </w:r>
      <w:r>
        <w:rPr>
          <w:rFonts w:ascii="Arial" w:hAnsi="Arial" w:eastAsia="微软雅黑"/>
          <w:color w:val="126BC5"/>
        </w:rPr>
        <w:t>文档贡献规范</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"../../../ruoyi-modules/ruoyi-erp/src/test/java/com/nexus/erp/prd/schedule/PrdScheduleEngineTest.java" \h </w:instrText>
      </w:r>
      <w:r>
        <w:fldChar w:fldCharType="separate"/>
      </w:r>
      <w:r>
        <w:rPr>
          <w:rFonts w:ascii="Arial" w:hAnsi="Arial" w:eastAsia="微软雅黑"/>
          <w:color w:val="126BC5"/>
        </w:rPr>
        <w:t>排程测试</w:t>
      </w:r>
      <w:r>
        <w:rPr>
          <w:rFonts w:ascii="Arial" w:hAnsi="Arial" w:eastAsia="微软雅黑"/>
          <w:color w:val="126BC5"/>
        </w:rPr>
        <w:fldChar w:fldCharType="end"/>
      </w:r>
      <w:r>
        <w:rPr>
          <w:rFonts w:ascii="Arial" w:hAnsi="Arial" w:eastAsia="微软雅黑"/>
          <w:b w:val="0"/>
          <w:i w:val="0"/>
          <w:sz w:val="18"/>
        </w:rPr>
        <w:t>、</w:t>
      </w:r>
      <w:r>
        <w:fldChar w:fldCharType="begin"/>
      </w:r>
      <w:r>
        <w:instrText xml:space="preserve"> HYPERLINK "../../../ruoyi-modules/ruoyi-erp/src/test/java/com/nexus/erp/ai/adapter/ErpDecisionShortageSimulationTest.java" \h </w:instrText>
      </w:r>
      <w:r>
        <w:fldChar w:fldCharType="separate"/>
      </w:r>
      <w:r>
        <w:rPr>
          <w:rFonts w:ascii="Arial" w:hAnsi="Arial" w:eastAsia="微软雅黑"/>
          <w:color w:val="126BC5"/>
        </w:rPr>
        <w:t>缺料测试</w:t>
      </w:r>
      <w:r>
        <w:rPr>
          <w:rFonts w:ascii="Arial" w:hAnsi="Arial" w:eastAsia="微软雅黑"/>
          <w:color w:val="126BC5"/>
        </w:rPr>
        <w:fldChar w:fldCharType="end"/>
      </w:r>
      <w:r>
        <w:rPr>
          <w:rFonts w:ascii="Arial" w:hAnsi="Arial" w:eastAsia="微软雅黑"/>
          <w:b w:val="0"/>
          <w:i w:val="0"/>
          <w:sz w:val="18"/>
        </w:rPr>
        <w:t>。</w:t>
      </w:r>
    </w:p>
    <w:p w14:paraId="138A686F">
      <w:pPr>
        <w:pStyle w:val="16"/>
        <w:spacing w:after="120" w:line="288" w:lineRule="auto"/>
      </w:pPr>
      <w:r>
        <w:rPr>
          <w:rFonts w:ascii="Arial" w:hAnsi="Arial" w:eastAsia="微软雅黑"/>
          <w:b/>
          <w:i w:val="0"/>
          <w:sz w:val="18"/>
        </w:rPr>
        <w:t>[V01]</w:t>
      </w:r>
      <w:r>
        <w:rPr>
          <w:rFonts w:ascii="Arial" w:hAnsi="Arial" w:eastAsia="微软雅黑"/>
          <w:b w:val="0"/>
          <w:i w:val="0"/>
          <w:sz w:val="18"/>
        </w:rPr>
        <w:t xml:space="preserve"> </w:t>
      </w:r>
      <w:r>
        <w:fldChar w:fldCharType="begin"/>
      </w:r>
      <w:r>
        <w:instrText xml:space="preserve"> HYPERLINK "./2026-10-08-ai-Milvus%E6%8E%A5%E5%85%A5%E4%B8%8E%E7%9C%9F%E5%AE%9ERAG%E8%BF%90%E8%A1%8C%E9%AA%8C%E8%AF%81%E8%AE%B0%E5%BD%95.md" \h </w:instrText>
      </w:r>
      <w:r>
        <w:fldChar w:fldCharType="separate"/>
      </w:r>
      <w:r>
        <w:rPr>
          <w:rFonts w:ascii="Arial" w:hAnsi="Arial" w:eastAsia="微软雅黑"/>
          <w:color w:val="126BC5"/>
        </w:rPr>
        <w:t>2026-10-08 Milvus 接入与真实 RAG 运行验证记录</w:t>
      </w:r>
      <w:r>
        <w:rPr>
          <w:rFonts w:ascii="Arial" w:hAnsi="Arial" w:eastAsia="微软雅黑"/>
          <w:color w:val="126BC5"/>
        </w:rPr>
        <w:fldChar w:fldCharType="end"/>
      </w:r>
      <w:r>
        <w:rPr>
          <w:rFonts w:ascii="Arial" w:hAnsi="Arial" w:eastAsia="微软雅黑"/>
          <w:b w:val="0"/>
          <w:i w:val="0"/>
          <w:sz w:val="18"/>
        </w:rPr>
        <w:t>。</w:t>
      </w:r>
    </w:p>
    <w:p w14:paraId="6BC95162">
      <w:pPr>
        <w:pStyle w:val="16"/>
        <w:spacing w:after="120" w:line="288" w:lineRule="auto"/>
      </w:pPr>
      <w:r>
        <w:rPr>
          <w:rFonts w:ascii="Arial" w:hAnsi="Arial" w:eastAsia="微软雅黑"/>
          <w:b/>
          <w:i w:val="0"/>
          <w:sz w:val="18"/>
        </w:rPr>
        <w:t>[V02]</w:t>
      </w:r>
      <w:r>
        <w:rPr>
          <w:rFonts w:ascii="Arial" w:hAnsi="Arial" w:eastAsia="微软雅黑"/>
          <w:b w:val="0"/>
          <w:i w:val="0"/>
          <w:sz w:val="18"/>
        </w:rPr>
        <w:t xml:space="preserve"> </w:t>
      </w:r>
      <w:r>
        <w:fldChar w:fldCharType="begin"/>
      </w:r>
      <w:r>
        <w:instrText xml:space="preserve"> HYPERLINK "../full-flow/reports/2026-10-09-ai-%E4%B8%9A%E5%8A%A1%E5%8A%9F%E8%83%BD%E7%BA%BFPC%E9%97%AD%E7%8E%AF%E4%B8%8E%E5%85%B3%E6%9C%BA%E6%81%A2%E5%A4%8D%E9%AA%8C%E8%AF%81.md" \h </w:instrText>
      </w:r>
      <w:r>
        <w:fldChar w:fldCharType="separate"/>
      </w:r>
      <w:r>
        <w:rPr>
          <w:rFonts w:ascii="Arial" w:hAnsi="Arial" w:eastAsia="微软雅黑"/>
          <w:color w:val="126BC5"/>
        </w:rPr>
        <w:t>2026-10-09 业务功能线 PC 闭环与关机恢复验证</w:t>
      </w:r>
      <w:r>
        <w:rPr>
          <w:rFonts w:ascii="Arial" w:hAnsi="Arial" w:eastAsia="微软雅黑"/>
          <w:color w:val="126BC5"/>
        </w:rPr>
        <w:fldChar w:fldCharType="end"/>
      </w:r>
      <w:r>
        <w:rPr>
          <w:rFonts w:ascii="Arial" w:hAnsi="Arial" w:eastAsia="微软雅黑"/>
          <w:b w:val="0"/>
          <w:i w:val="0"/>
          <w:sz w:val="18"/>
        </w:rPr>
        <w:t>。</w:t>
      </w:r>
    </w:p>
    <w:p w14:paraId="3F28CD56">
      <w:r>
        <w:br w:type="page"/>
      </w:r>
    </w:p>
    <w:p w14:paraId="52B61D5D">
      <w:pPr>
        <w:pStyle w:val="3"/>
      </w:pPr>
      <w:bookmarkStart w:id="10" w:name="_Toc20736"/>
      <w:r>
        <w:t>附图：既有 Archify 系统总体架构</w:t>
      </w:r>
      <w:bookmarkEnd w:id="10"/>
    </w:p>
    <w:p w14:paraId="23190256">
      <w:r>
        <w:t>该图保留既有架构资料的详细关系，正文使用更适合 A4 阅读的简化阅读版。此处仅裁去浏览器工具栏和外侧留白，未改动原始 HTML/PNG。</w:t>
      </w:r>
    </w:p>
    <w:p w14:paraId="3E584569">
      <w:pPr>
        <w:keepNext/>
        <w:spacing w:before="120" w:after="60"/>
        <w:jc w:val="center"/>
      </w:pPr>
      <w:r>
        <w:drawing>
          <wp:inline distT="0" distB="0" distL="114300" distR="114300">
            <wp:extent cx="5615940" cy="5465445"/>
            <wp:effectExtent l="0" t="0" r="10160" b="8255"/>
            <wp:docPr id="5" name="Picture 5" descr="系统总体架构原图（局部裁边）。原图：doc/system/archify-nexus-erp-architecture-20261009-111634/nexus-erp-architecture-preview.png。详细节点可在 Word 放大查看或打开同目录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系统总体架构原图（局部裁边）。原图：doc/system/archify-nexus-erp-architecture-20261009-111634/nexus-erp-architecture-preview.png。详细节点可在 Word 放大查看或打开同目录 HTML。"/>
                    <pic:cNvPicPr>
                      <a:picLocks noChangeAspect="1"/>
                    </pic:cNvPicPr>
                  </pic:nvPicPr>
                  <pic:blipFill>
                    <a:blip r:embed="rId16"/>
                    <a:stretch>
                      <a:fillRect/>
                    </a:stretch>
                  </pic:blipFill>
                  <pic:spPr>
                    <a:xfrm>
                      <a:off x="0" y="0"/>
                      <a:ext cx="5616000" cy="5465571"/>
                    </a:xfrm>
                    <a:prstGeom prst="rect">
                      <a:avLst/>
                    </a:prstGeom>
                  </pic:spPr>
                </pic:pic>
              </a:graphicData>
            </a:graphic>
          </wp:inline>
        </w:drawing>
      </w:r>
    </w:p>
    <w:p w14:paraId="6D79F389">
      <w:pPr>
        <w:pStyle w:val="15"/>
        <w:keepNext w:val="0"/>
        <w:jc w:val="center"/>
      </w:pPr>
      <w:r>
        <w:t xml:space="preserve">图 </w:t>
      </w:r>
      <w:r>
        <w:fldChar w:fldCharType="begin"/>
      </w:r>
      <w:r>
        <w:instrText xml:space="preserve">SEQ Figure \* ARABIC</w:instrText>
      </w:r>
      <w:r>
        <w:fldChar w:fldCharType="separate"/>
      </w:r>
      <w:r>
        <w:t>4</w:t>
      </w:r>
      <w:r>
        <w:fldChar w:fldCharType="end"/>
      </w:r>
      <w:r>
        <w:t xml:space="preserve">  系统总体架构原图（局部裁边）</w:t>
      </w:r>
    </w:p>
    <w:p w14:paraId="66BC7E3B">
      <w:pPr>
        <w:pStyle w:val="15"/>
        <w:spacing w:after="200"/>
      </w:pPr>
      <w:r>
        <w:rPr>
          <w:rFonts w:ascii="Arial" w:hAnsi="Arial" w:eastAsia="微软雅黑"/>
          <w:color w:val="53687E"/>
          <w:sz w:val="16"/>
        </w:rPr>
        <w:t>原图：doc/system/archify-nexus-erp-architecture-20261009-111634/nexus-erp-architecture-preview.png。详细节点可在 Word 放大查看或打开同目录 HTML。</w:t>
      </w:r>
    </w:p>
    <w:p w14:paraId="663B8FBF">
      <w:r>
        <w:rPr>
          <w:rFonts w:ascii="Arial" w:hAnsi="Arial" w:eastAsia="微软雅黑"/>
          <w:color w:val="53687E"/>
          <w:sz w:val="18"/>
        </w:rPr>
        <w:t>使用边界：架构资料证明的是实现结构与源码关系，不证明生产部署、模型/向量服务在线、现场设备接入或业务链验收完成。</w:t>
      </w:r>
    </w:p>
    <w:sectPr>
      <w:headerReference r:id="rId7" w:type="first"/>
      <w:footerReference r:id="rId10" w:type="first"/>
      <w:headerReference r:id="rId5" w:type="default"/>
      <w:footerReference r:id="rId8" w:type="default"/>
      <w:headerReference r:id="rId6" w:type="even"/>
      <w:footerReference r:id="rId9" w:type="even"/>
      <w:pgSz w:w="11906" w:h="16838"/>
      <w:pgMar w:top="1020" w:right="1134" w:bottom="1020" w:left="1134" w:header="397"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E9FCD">
    <w:pPr>
      <w:pStyle w:val="24"/>
      <w:jc w:val="center"/>
    </w:pPr>
    <w:r>
      <w:rPr>
        <w:rFonts w:ascii="Arial" w:hAnsi="Arial" w:eastAsia="微软雅黑"/>
        <w:color w:val="53687E"/>
        <w:sz w:val="16"/>
      </w:rPr>
      <w:t xml:space="preserve">NEXUS-ERP  ·  可编辑审阅版    |    </w:t>
    </w:r>
    <w:r>
      <w:fldChar w:fldCharType="begin"/>
    </w:r>
    <w:r>
      <w:instrText xml:space="preserve">PAGE</w:instrText>
    </w:r>
    <w:r>
      <w:fldChar w:fldCharType="separate"/>
    </w:r>
    <w:r>
      <w:t>2</w:t>
    </w:r>
    <w:r>
      <w:fldChar w:fldCharType="end"/>
    </w:r>
    <w:r>
      <w:rPr>
        <w:rFonts w:ascii="Arial" w:hAnsi="Arial" w:eastAsia="微软雅黑"/>
        <w:color w:val="53687E"/>
        <w:sz w:val="16"/>
      </w:rPr>
      <w:t xml:space="preserve"> / </w:t>
    </w:r>
    <w:r>
      <w:fldChar w:fldCharType="begin"/>
    </w:r>
    <w:r>
      <w:instrText xml:space="preserve">NUMPAGES</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B58C9">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E24B">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2" w:lineRule="auto"/>
      </w:pPr>
      <w:r>
        <w:separator/>
      </w:r>
    </w:p>
  </w:footnote>
  <w:footnote w:type="continuationSeparator" w:id="1">
    <w:p>
      <w:pPr>
        <w:spacing w:before="0" w:after="0" w:line="30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4E2A6">
    <w:pPr>
      <w:pStyle w:val="25"/>
      <w:pBdr>
        <w:bottom w:val="single" w:color="C9D8E7" w:sz="4" w:space="7"/>
      </w:pBdr>
      <w:jc w:val="right"/>
    </w:pPr>
    <w:r>
      <w:rPr>
        <w:rFonts w:ascii="Arial" w:hAnsi="Arial" w:eastAsia="微软雅黑"/>
        <w:color w:val="53687E"/>
        <w:sz w:val="16"/>
      </w:rPr>
      <w:t>NEXUS-ERP  /  AI+ 工业软件作品介绍</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95651">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3F0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8656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00" w:line="302" w:lineRule="auto"/>
    </w:pPr>
    <w:rPr>
      <w:rFonts w:ascii="Arial" w:hAnsi="Arial" w:eastAsia="微软雅黑" w:cstheme="minorBidi"/>
      <w:color w:val="26364A"/>
      <w:sz w:val="21"/>
      <w:szCs w:val="22"/>
      <w:lang w:val="en-US" w:eastAsia="en-US" w:bidi="ar-SA"/>
    </w:rPr>
  </w:style>
  <w:style w:type="paragraph" w:styleId="3">
    <w:name w:val="heading 1"/>
    <w:basedOn w:val="1"/>
    <w:next w:val="1"/>
    <w:link w:val="139"/>
    <w:qFormat/>
    <w:uiPriority w:val="9"/>
    <w:pPr>
      <w:keepNext/>
      <w:keepLines/>
      <w:widowControl/>
      <w:spacing w:before="260" w:after="140" w:line="302" w:lineRule="auto"/>
      <w:outlineLvl w:val="0"/>
    </w:pPr>
    <w:rPr>
      <w:rFonts w:asciiTheme="majorHAnsi" w:hAnsiTheme="majorHAnsi" w:eastAsiaTheme="majorEastAsia" w:cstheme="majorBidi"/>
      <w:b/>
      <w:bCs/>
      <w:color w:val="153758"/>
      <w:sz w:val="32"/>
      <w:szCs w:val="28"/>
    </w:rPr>
  </w:style>
  <w:style w:type="paragraph" w:styleId="4">
    <w:name w:val="heading 2"/>
    <w:basedOn w:val="1"/>
    <w:next w:val="1"/>
    <w:link w:val="140"/>
    <w:unhideWhenUsed/>
    <w:qFormat/>
    <w:uiPriority w:val="9"/>
    <w:pPr>
      <w:keepNext/>
      <w:keepLines/>
      <w:widowControl/>
      <w:spacing w:before="260" w:after="140" w:line="302" w:lineRule="auto"/>
      <w:outlineLvl w:val="1"/>
    </w:pPr>
    <w:rPr>
      <w:rFonts w:asciiTheme="majorHAnsi" w:hAnsiTheme="majorHAnsi" w:eastAsiaTheme="majorEastAsia" w:cstheme="majorBidi"/>
      <w:b/>
      <w:bCs/>
      <w:color w:val="126BC5"/>
      <w:sz w:val="25"/>
      <w:szCs w:val="26"/>
    </w:rPr>
  </w:style>
  <w:style w:type="paragraph" w:styleId="5">
    <w:name w:val="heading 3"/>
    <w:basedOn w:val="1"/>
    <w:next w:val="1"/>
    <w:link w:val="141"/>
    <w:unhideWhenUsed/>
    <w:qFormat/>
    <w:uiPriority w:val="9"/>
    <w:pPr>
      <w:keepNext/>
      <w:keepLines/>
      <w:widowControl/>
      <w:spacing w:before="260" w:after="140" w:line="302" w:lineRule="auto"/>
      <w:outlineLvl w:val="2"/>
    </w:pPr>
    <w:rPr>
      <w:rFonts w:asciiTheme="majorHAnsi" w:hAnsiTheme="majorHAnsi" w:eastAsiaTheme="majorEastAsia" w:cstheme="majorBidi"/>
      <w:b/>
      <w:bCs/>
      <w:color w:val="126BC5"/>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widowControl/>
      <w:numPr>
        <w:ilvl w:val="0"/>
        <w:numId w:val="2"/>
      </w:numPr>
      <w:spacing w:after="100" w:line="302" w:lineRule="auto"/>
      <w:contextualSpacing/>
    </w:pPr>
    <w:rPr>
      <w:rFonts w:ascii="Arial" w:hAnsi="Arial" w:eastAsia="微软雅黑"/>
      <w:color w:val="26364A"/>
      <w:sz w:val="21"/>
    </w:rPr>
  </w:style>
  <w:style w:type="paragraph" w:styleId="15">
    <w:name w:val="caption"/>
    <w:basedOn w:val="1"/>
    <w:next w:val="1"/>
    <w:semiHidden/>
    <w:unhideWhenUsed/>
    <w:qFormat/>
    <w:uiPriority w:val="35"/>
    <w:pPr>
      <w:widowControl/>
      <w:spacing w:after="100" w:line="278" w:lineRule="auto"/>
    </w:pPr>
    <w:rPr>
      <w:rFonts w:ascii="Arial" w:hAnsi="Arial" w:eastAsia="微软雅黑"/>
      <w:bCs/>
      <w:color w:val="53687E"/>
      <w:sz w:val="17"/>
      <w:szCs w:val="18"/>
    </w:rPr>
  </w:style>
  <w:style w:type="paragraph" w:styleId="16">
    <w:name w:val="List Bullet"/>
    <w:basedOn w:val="1"/>
    <w:unhideWhenUsed/>
    <w:qFormat/>
    <w:uiPriority w:val="99"/>
    <w:pPr>
      <w:widowControl/>
      <w:numPr>
        <w:ilvl w:val="0"/>
        <w:numId w:val="3"/>
      </w:numPr>
      <w:spacing w:after="100" w:line="302" w:lineRule="auto"/>
      <w:contextualSpacing/>
    </w:pPr>
    <w:rPr>
      <w:rFonts w:ascii="Arial" w:hAnsi="Arial" w:eastAsia="微软雅黑"/>
      <w:color w:val="26364A"/>
      <w:sz w:val="21"/>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pPr>
      <w:widowControl/>
      <w:spacing w:after="100" w:line="302" w:lineRule="auto"/>
    </w:pPr>
    <w:rPr>
      <w:rFonts w:asciiTheme="majorHAnsi" w:hAnsiTheme="majorHAnsi" w:eastAsiaTheme="majorEastAsia" w:cstheme="majorBidi"/>
      <w:i/>
      <w:iCs/>
      <w:color w:val="53687E"/>
      <w:spacing w:val="15"/>
      <w:sz w:val="24"/>
      <w:szCs w:val="24"/>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widowControl/>
      <w:pBdr>
        <w:bottom w:val="single" w:color="4F81BD" w:themeColor="accent1" w:sz="8" w:space="4"/>
      </w:pBdr>
      <w:spacing w:after="100" w:line="302" w:lineRule="auto"/>
      <w:contextualSpacing/>
    </w:pPr>
    <w:rPr>
      <w:rFonts w:asciiTheme="majorHAnsi" w:hAnsiTheme="majorHAnsi" w:eastAsiaTheme="majorEastAsia" w:cstheme="majorBidi"/>
      <w:b/>
      <w:color w:val="153758"/>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王欢</dc:creator>
  <dc:description>2026-10-10 可编辑审阅版。依据当前作品介绍与既有 Archify 架构资料排版；不代表生产验收。</dc:description>
  <cp:keywords>AI+工业软件,生产排程,系统集成,ERP,MES,IoT,开源</cp:keywords>
  <cp:lastModifiedBy>晓风残叶1412164690</cp:lastModifiedBy>
  <dcterms:modified xsi:type="dcterms:W3CDTF">2026-10-10T02:27:35Z</dcterms:modified>
  <dc:subject>2026 上海开源软件应用创新大赛 · AI+ 工业软件赛道 · 作品介绍</dc:subject>
  <dc:title>Nexus-ERP：面向生产协同的开源 AI+ 工业软件平台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38FCEC7BA65A4B58B18E2103550F1624_12</vt:lpwstr>
  </property>
</Properties>
</file>