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Philosophy and Theology of the CTM Project</w:t>
      </w:r>
    </w:p>
    <w:p>
      <w:pPr>
        <w:pStyle w:val="Subtitle"/>
      </w:pPr>
      <w:r>
        <w:t>Systematic Exposition and Critical Analysis</w:t>
        <w:br/>
        <w:t>Based on the Russian Three-Volume Corpus</w:t>
      </w:r>
    </w:p>
    <w:p>
      <w:pPr>
        <w:spacing w:after="240"/>
      </w:pPr>
      <w:r>
        <w:t>Project: To Christians of the Third Millennium</w:t>
        <w:br/>
        <w:t>Project author: Hierodeacon Panteleimon (Adzhindzhal)</w:t>
        <w:br/>
        <w:t>Exposition and analysis prepared with ChatGPT</w:t>
      </w:r>
    </w:p>
    <w:p>
      <w:r>
        <w:rPr>
          <w:b/>
        </w:rPr>
        <w:t>Contents</w:t>
      </w:r>
    </w:p>
    <w:p>
      <w:pPr>
        <w:spacing w:after="40" w:line="240" w:lineRule="auto"/>
      </w:pPr>
      <w:hyperlink w:anchor="section_0">
        <w:r>
          <w:rPr>
            <w:sz w:val="21"/>
          </w:rPr>
          <w:t>Introduction</w:t>
        </w:r>
      </w:hyperlink>
    </w:p>
    <w:p>
      <w:pPr>
        <w:spacing w:after="40" w:line="240" w:lineRule="auto"/>
      </w:pPr>
      <w:hyperlink w:anchor="section_1">
        <w:r>
          <w:rPr>
            <w:sz w:val="21"/>
          </w:rPr>
          <w:t>1 The Initial Question about Christianity</w:t>
        </w:r>
      </w:hyperlink>
    </w:p>
    <w:p>
      <w:pPr>
        <w:spacing w:after="40" w:line="240" w:lineRule="auto"/>
      </w:pPr>
      <w:hyperlink w:anchor="section_2">
        <w:r>
          <w:rPr>
            <w:sz w:val="21"/>
          </w:rPr>
          <w:t>2 Reality and the Human Map</w:t>
        </w:r>
      </w:hyperlink>
    </w:p>
    <w:p>
      <w:pPr>
        <w:spacing w:after="40" w:line="240" w:lineRule="auto"/>
      </w:pPr>
      <w:hyperlink w:anchor="section_3">
        <w:r>
          <w:rPr>
            <w:sz w:val="21"/>
          </w:rPr>
          <w:t>3 Derivative Existence and a Response of One's Own</w:t>
        </w:r>
      </w:hyperlink>
    </w:p>
    <w:p>
      <w:pPr>
        <w:spacing w:after="40" w:line="240" w:lineRule="auto"/>
      </w:pPr>
      <w:hyperlink w:anchor="section_4">
        <w:r>
          <w:rPr>
            <w:sz w:val="21"/>
          </w:rPr>
          <w:t>4 Autonomy and Ontological Readdressing</w:t>
        </w:r>
      </w:hyperlink>
    </w:p>
    <w:p>
      <w:pPr>
        <w:spacing w:after="40" w:line="240" w:lineRule="auto"/>
      </w:pPr>
      <w:hyperlink w:anchor="section_5">
        <w:r>
          <w:rPr>
            <w:sz w:val="21"/>
          </w:rPr>
          <w:t>5 The Architecture of Human Response</w:t>
        </w:r>
      </w:hyperlink>
    </w:p>
    <w:p>
      <w:pPr>
        <w:spacing w:after="40" w:line="240" w:lineRule="auto"/>
      </w:pPr>
      <w:hyperlink w:anchor="section_6">
        <w:r>
          <w:rPr>
            <w:sz w:val="21"/>
          </w:rPr>
          <w:t>6 Personal Formation and Historical Action</w:t>
        </w:r>
      </w:hyperlink>
    </w:p>
    <w:p>
      <w:pPr>
        <w:spacing w:after="40" w:line="240" w:lineRule="auto"/>
      </w:pPr>
      <w:hyperlink w:anchor="section_7">
        <w:r>
          <w:rPr>
            <w:sz w:val="21"/>
          </w:rPr>
          <w:t>7 The Logos and the Possibility of Meaning</w:t>
        </w:r>
      </w:hyperlink>
    </w:p>
    <w:p>
      <w:pPr>
        <w:spacing w:after="40" w:line="240" w:lineRule="auto"/>
      </w:pPr>
      <w:hyperlink w:anchor="section_8">
        <w:r>
          <w:rPr>
            <w:sz w:val="21"/>
          </w:rPr>
          <w:t>8 The Image of God and the Fullness of Personhood</w:t>
        </w:r>
      </w:hyperlink>
    </w:p>
    <w:p>
      <w:pPr>
        <w:spacing w:after="40" w:line="240" w:lineRule="auto"/>
      </w:pPr>
      <w:hyperlink w:anchor="section_9">
        <w:r>
          <w:rPr>
            <w:sz w:val="21"/>
          </w:rPr>
          <w:t>9 Incarnation Cross and Resurrection</w:t>
        </w:r>
      </w:hyperlink>
    </w:p>
    <w:p>
      <w:pPr>
        <w:spacing w:after="40" w:line="240" w:lineRule="auto"/>
      </w:pPr>
      <w:hyperlink w:anchor="section_10">
        <w:r>
          <w:rPr>
            <w:sz w:val="21"/>
          </w:rPr>
          <w:t>10 Faith as Competence and the Language of God</w:t>
        </w:r>
      </w:hyperlink>
    </w:p>
    <w:p>
      <w:pPr>
        <w:spacing w:after="40" w:line="240" w:lineRule="auto"/>
      </w:pPr>
      <w:hyperlink w:anchor="section_11">
        <w:r>
          <w:rPr>
            <w:sz w:val="21"/>
          </w:rPr>
          <w:t>11 The Church as Event and Historical Form</w:t>
        </w:r>
      </w:hyperlink>
    </w:p>
    <w:p>
      <w:pPr>
        <w:spacing w:after="40" w:line="240" w:lineRule="auto"/>
      </w:pPr>
      <w:hyperlink w:anchor="section_12">
        <w:r>
          <w:rPr>
            <w:sz w:val="21"/>
          </w:rPr>
          <w:t>12 Eschatology and the Openness of History</w:t>
        </w:r>
      </w:hyperlink>
    </w:p>
    <w:p>
      <w:pPr>
        <w:spacing w:after="40" w:line="240" w:lineRule="auto"/>
      </w:pPr>
      <w:hyperlink w:anchor="section_13">
        <w:r>
          <w:rPr>
            <w:sz w:val="21"/>
          </w:rPr>
          <w:t>13 The Trinitarian Ground and Pneumatology</w:t>
        </w:r>
      </w:hyperlink>
    </w:p>
    <w:p>
      <w:pPr>
        <w:spacing w:after="40" w:line="240" w:lineRule="auto"/>
      </w:pPr>
      <w:hyperlink w:anchor="section_14">
        <w:r>
          <w:rPr>
            <w:sz w:val="21"/>
          </w:rPr>
          <w:t>14 Modernisation and Public Responsibility</w:t>
        </w:r>
      </w:hyperlink>
    </w:p>
    <w:p>
      <w:pPr>
        <w:spacing w:after="40" w:line="240" w:lineRule="auto"/>
      </w:pPr>
      <w:hyperlink w:anchor="section_15">
        <w:r>
          <w:rPr>
            <w:sz w:val="21"/>
          </w:rPr>
          <w:t>15 The Common Power and the Cost of Action</w:t>
        </w:r>
      </w:hyperlink>
    </w:p>
    <w:p>
      <w:pPr>
        <w:spacing w:after="40" w:line="240" w:lineRule="auto"/>
      </w:pPr>
      <w:hyperlink w:anchor="section_16">
        <w:r>
          <w:rPr>
            <w:sz w:val="21"/>
          </w:rPr>
          <w:t>16 The Methodology of CTM Analysis</w:t>
        </w:r>
      </w:hyperlink>
    </w:p>
    <w:p>
      <w:pPr>
        <w:spacing w:after="40" w:line="240" w:lineRule="auto"/>
      </w:pPr>
      <w:hyperlink w:anchor="section_17">
        <w:r>
          <w:rPr>
            <w:sz w:val="21"/>
          </w:rPr>
          <w:t>17 Philosophical Examination of the Central Arguments</w:t>
        </w:r>
      </w:hyperlink>
    </w:p>
    <w:p>
      <w:pPr>
        <w:spacing w:after="40" w:line="240" w:lineRule="auto"/>
      </w:pPr>
      <w:hyperlink w:anchor="section_18">
        <w:r>
          <w:rPr>
            <w:sz w:val="21"/>
          </w:rPr>
          <w:t>18 Theological Limits and the Development of Concepts</w:t>
        </w:r>
      </w:hyperlink>
    </w:p>
    <w:p>
      <w:pPr>
        <w:spacing w:after="40" w:line="240" w:lineRule="auto"/>
      </w:pPr>
      <w:hyperlink w:anchor="section_19">
        <w:r>
          <w:rPr>
            <w:sz w:val="21"/>
          </w:rPr>
          <w:t>19 The Project's Significance and a Programme of Verification</w:t>
        </w:r>
      </w:hyperlink>
    </w:p>
    <w:p>
      <w:pPr>
        <w:spacing w:after="120" w:line="240" w:lineRule="auto"/>
      </w:pPr>
      <w:hyperlink w:anchor="section_20">
        <w:r>
          <w:rPr>
            <w:sz w:val="21"/>
          </w:rPr>
          <w:t>Brief Glossary</w:t>
        </w:r>
      </w:hyperlink>
    </w:p>
    <w:p>
      <w:pPr>
        <w:spacing w:after="40" w:line="240" w:lineRule="auto"/>
      </w:pPr>
      <w:hyperlink w:anchor="section_21">
        <w:r>
          <w:rPr>
            <w:sz w:val="21"/>
          </w:rPr>
          <w:t>Sources and Navigation through the Corpus</w:t>
        </w:r>
      </w:hyperlink>
    </w:p>
    <w:p>
      <w:pPr>
        <w:spacing w:after="40" w:line="240" w:lineRule="auto"/>
      </w:pPr>
      <w:hyperlink w:anchor="section_22">
        <w:r>
          <w:rPr>
            <w:sz w:val="21"/>
          </w:rPr>
          <w:t>On the Revision of the Overview</w:t>
        </w:r>
      </w:hyperlink>
    </w:p>
    <w:p>
      <w:r>
        <w:br w:type="page"/>
      </w:r>
    </w:p>
    <w:p>
      <w:bookmarkStart w:id="0" w:name="section_0"/>
      <w:pPr>
        <w:pStyle w:val="Heading1"/>
      </w:pPr>
      <w:r>
        <w:t>Introduction</w:t>
      </w:r>
      <w:bookmarkEnd w:id="0"/>
    </w:p>
    <w:p>
      <w:r>
        <w:rPr>
          <w:b w:val="0"/>
        </w:rPr>
        <w:t>CTM investigates how a human being can become the actual author of their own life without having created themselves, the world, or the language through which they understand their existence. The project's Christian answer is that receiving one's being does not preclude a response of one's own. On the contrary, a relationship with God can make human authorship possible and sustainable without turning the human being into a sovereign first principle.</w:t>
      </w:r>
    </w:p>
    <w:p>
      <w:r>
        <w:rPr>
          <w:b w:val="0"/>
        </w:rPr>
        <w:t>An entire research programme grows out of this question. CTM first asks what the Church should do to form the human person. It then examines how a subject emerges at all, how their perception of reality is structured, and why they can be mistaken not only in particular judgements but also in the foundations of their life. Finally, the project proposes a method for analysing institutions and collectives: whom do they enable to see, initiate, object, correct decisions, and answer for the consequences?</w:t>
      </w:r>
    </w:p>
    <w:p>
      <w:r>
        <w:rPr>
          <w:b w:val="0"/>
        </w:rPr>
        <w:t>The philosophical and theological parts are substantively connected. Philosophy examines the conditions of human response and the limits of self-grounding. Theology unfolds this response as a relationship with the Triune God, opened through the incarnation, Cross, and resurrection of Christ. The methodology brings the inquiry back into concrete life: what human capacity does a practice actually produce when it describes itself as Christian, educational, governmental, or emancipatory?</w:t>
      </w:r>
    </w:p>
    <w:p>
      <w:r>
        <w:t>One of the project's significant achievements is to bring together three questions that are often considered separately: what sustains a person's life, whether they can become the author of their own response, and what social conditions make such a response possible. Its principal difficulty lies in demonstrating the transitions between these questions. The impossibility of absolute self-grounding still requires a separate argument leading to a personal God; a structural analogy with the Trinity requires examination; a powerful diagnosis of human practice does not constitute proof of salvation.</w:t>
      </w:r>
    </w:p>
    <w:p>
      <w:r>
        <w:rPr>
          <w:b w:val="0"/>
        </w:rPr>
        <w:t>The exposition below moves from the initial intuition to the philosophical apparatus, then to theology, social questions, and methodology. The critical part examines specific arguments, preserving the distinction between what the author asserts and how adequately the assertion is justified. Brief references in square brackets point to the volumes and sections listed at the end. The illustrative examples belong to this analysis and are not presented as cases studied by the author of CTM.</w:t>
      </w:r>
    </w:p>
    <w:p>
      <w:bookmarkStart w:id="1" w:name="section_1"/>
      <w:pPr>
        <w:pStyle w:val="Heading1"/>
      </w:pPr>
      <w:r>
        <w:t>1 The Initial Question about Christianity</w:t>
      </w:r>
      <w:bookmarkEnd w:id="1"/>
    </w:p>
    <w:p>
      <w:pPr>
        <w:pStyle w:val="Heading2"/>
      </w:pPr>
      <w:r>
        <w:t>What the loss of ontological initiative means</w:t>
      </w:r>
    </w:p>
    <w:p>
      <w:r>
        <w:rPr>
          <w:b w:val="0"/>
        </w:rPr>
        <w:t>CTM's initial diagnosis is not simply that Christians are insufficiently moral or that ecclesiastical institutions are poorly organised. The problem runs deeper: Christianity may preserve its rites, dogmatic formulations, and public visibility while ceasing to shape the world within which a person makes decisions. Political ideology then tells that person who the enemy is; the market tells them what counts as success; psychological comfort tells them what to avoid; their familiar social environment tells them what not to question. Christianity occupies the remaining space and sanctifies a trajectory already determined elsewhere.</w:t>
      </w:r>
    </w:p>
    <w:p>
      <w:r>
        <w:rPr>
          <w:b w:val="0"/>
        </w:rPr>
        <w:t>“Ontological initiative” means the capacity to proceed from one's own understanding of the human being, reality, and the ultimate purpose of life. It does not mean a monopoly on governing society. Christian initiative begins with a question: what ways of being human become possible through the Gospel? If the answer is confined to maintaining tradition, offering consolation, or regulating behaviour, Christianity's distinctive claim remains unexplained.</w:t>
      </w:r>
    </w:p>
    <w:p>
      <w:r>
        <w:rPr>
          <w:b w:val="0"/>
        </w:rPr>
        <w:t>CTM connects this claim with the fullness of humanity. Christ does not come to secure the human being's place as an obedient component of an existing order. A relationship with Christ should transform the person's capacity to see, understand, communicate, act, and remain themselves in the face of death. The project therefore approaches faith as a mode of being and ecclesial life as the space in which that mode of being takes shape. [I, introduction to “An Essay in the Applied Metaphysics of the Subject”; “The Starting Point: Once the Original”; “The Function of the Church”.]</w:t>
      </w:r>
    </w:p>
    <w:p>
      <w:pPr>
        <w:pStyle w:val="Heading2"/>
      </w:pPr>
      <w:r>
        <w:t>Why the question of the Church's function is theological</w:t>
      </w:r>
    </w:p>
    <w:p>
      <w:r>
        <w:rPr>
          <w:b w:val="0"/>
        </w:rPr>
        <w:t>CTM could mistakenly be read as proposing that the Church be assessed by the standards of a business: how many people attended, how many services were provided, and how satisfied the participants were. The author's question is different. If God the Logos is confessed as the principal acting Person in the Church's sacraments, what does this mean for human life? How does participation in a sacrament relate to the development of the human being's logos-bearing nature?</w:t>
      </w:r>
    </w:p>
    <w:p>
      <w:r>
        <w:t>The functional question belongs within theology. It requires tracing the connection between what is confessed and the fruits of ecclesial life. A person may know the correct formulas yet be unable to distinguish truth from their own fear. They may be a disciplined parishioner yet transfer responsibility for everything that happens to a spiritual director. They may speak of communion yet encounter only confirmation of their own picture of the world. These discrepancies are precisely what the inquiry examines.</w:t>
      </w:r>
    </w:p>
    <w:p>
      <w:r>
        <w:rPr>
          <w:b w:val="0"/>
        </w:rPr>
        <w:t>Observing human outcomes does not, however, give the researcher direct access to the action of grace. The method can establish that a particular arrangement of leadership blocks a response of one's own. It cannot use this finding to pass an exhaustive judgement on the mystery of the Church or a person's ultimate destiny. This limitation is formulated especially clearly in Volume III. [III, Part XIII; “In Search of Pneumatology”, §§16–17.]</w:t>
      </w:r>
    </w:p>
    <w:p>
      <w:bookmarkStart w:id="2" w:name="section_2"/>
      <w:pPr>
        <w:pStyle w:val="Heading1"/>
      </w:pPr>
      <w:r>
        <w:t>2 Reality and the Human Map</w:t>
      </w:r>
      <w:bookmarkEnd w:id="2"/>
    </w:p>
    <w:p>
      <w:pPr>
        <w:pStyle w:val="Heading2"/>
      </w:pPr>
      <w:r>
        <w:t>Reality precedes the human being</w:t>
      </w:r>
    </w:p>
    <w:p>
      <w:r>
        <w:rPr>
          <w:b w:val="0"/>
        </w:rPr>
        <w:t>CTM's first philosophical proposition is that the human being discovers themselves within an already existing reality. Their body, history, relationships, language, and possibilities are not originally their own creation. They enter a world that resists their wishes and can disprove their representations. This is the project's initial realism.</w:t>
      </w:r>
    </w:p>
    <w:p>
      <w:r>
        <w:rPr>
          <w:b w:val="0"/>
        </w:rPr>
        <w:t>Yet the independence of Reality does not imply that a person sees it directly and completely. Between reality and action stands the picture of the world that the person has acquired. Two people may know the same set of facts yet inhabit different worlds: one sees criticism as an opportunity for correction, the other as an attack on their right to exist. What differs is not simply an opinion about a fact, but the distribution of what is significant, dangerous, permissible, and possible.</w:t>
      </w:r>
    </w:p>
    <w:p>
      <w:r>
        <w:rPr>
          <w:b w:val="0"/>
        </w:rPr>
        <w:t>CTM therefore distinguishes Reality from the map. A map is necessary: meaningful action is impossible without selection, differentiation, and connection. Danger arises when the map declares itself the definitive whole and ceases to receive information about its own limitations. Error then becomes a way of life. The person defends not an isolated false judgement but an arrangement of the world that allows them to remain who they take themselves to be. [I, “Essay”, ch. 1; III, Part II.]</w:t>
      </w:r>
    </w:p>
    <w:p>
      <w:pPr>
        <w:pStyle w:val="Heading2"/>
      </w:pPr>
      <w:r>
        <w:t>Truth as a relationship and as verification</w:t>
      </w:r>
    </w:p>
    <w:p>
      <w:r>
        <w:rPr>
          <w:b w:val="0"/>
        </w:rPr>
        <w:t>Volume I describes truth through the acknowledgement of Reality. The distinction is between “I know that this happened” and “I am willing to build my subsequent life in the light of what happened”. A person may acknowledge defeat in conversation while continuing to make decisions as though no defeat had occurred. Knowledge has not yet become a ground for action.</w:t>
      </w:r>
    </w:p>
    <w:p>
      <w:r>
        <w:t>This broadens the question of truth without dispensing with the accuracy of statements. If the facts are wrong, willingness to live “according to truth” may mean no more than consistently following an error. On the interpretation proposed here, CTM therefore combines the verifiability of judgements with an existential willingness to accept their consequences. In Volume III, this combination is protected by the requirement to distinguish fact, interpretation, norm, project, and forecast.</w:t>
      </w:r>
    </w:p>
    <w:p>
      <w:r>
        <w:rPr>
          <w:b w:val="0"/>
        </w:rPr>
        <w:t>The concept of discrepancy information belongs here. This is information that reveals a gap between reality and the operative model, between the scale of a task and the capacities of an instrument, or between a declared function and its result. It does not always supply a ready-made solution. Sometimes its only reliable content is that the previous way of acting can no longer be considered justified.</w:t>
      </w:r>
    </w:p>
    <w:p>
      <w:pPr>
        <w:pStyle w:val="Heading2"/>
      </w:pPr>
      <w:r>
        <w:t>Metaphysics and operative ontology</w:t>
      </w:r>
    </w:p>
    <w:p>
      <w:r>
        <w:rPr>
          <w:b w:val="0"/>
        </w:rPr>
        <w:t>In CTM's vocabulary, metaphysics establishes ultimate presuppositions: what is ultimately real, where meaning comes from, and what grounds the binding force of truth. Operative ontology shows how these presuppositions are embodied in the subject's actual world: what the subject distinguishes, what actions they can perform, and to whom initiative belongs.</w:t>
      </w:r>
    </w:p>
    <w:p>
      <w:r>
        <w:rPr>
          <w:b w:val="0"/>
        </w:rPr>
        <w:t>For example, an organisation proclaims the value of the human being, but its reporting records only the number of operations performed. Its formally declared metaphysics diverges from the ontology it actually reproduces. In everyday action, the human being appears as a unit to be processed. Repeating the declaration is not enough to change this situation. Ways of seeing, deciding, evaluating, and taking responsibility must change.</w:t>
      </w:r>
    </w:p>
    <w:p>
      <w:r>
        <w:rPr>
          <w:b w:val="0"/>
        </w:rPr>
        <w:t>Applied metaphysics examines such connections. It makes presuppositions visible, tests their consequences, and opens them to revision. It does not promise to eliminate every presupposition once and for all: the researcher also works through a map. A mature method must therefore permit the correction of its own reconstruction. [I, “Essay”, introduction and ch. 5; III, §§112–114, 132–134.]</w:t>
      </w:r>
    </w:p>
    <w:p>
      <w:bookmarkStart w:id="3" w:name="section_3"/>
      <w:pPr>
        <w:pStyle w:val="Heading1"/>
      </w:pPr>
      <w:r>
        <w:t>3 Derivative Existence and a Response of One's Own</w:t>
      </w:r>
      <w:bookmarkEnd w:id="3"/>
    </w:p>
    <w:p>
      <w:pPr>
        <w:pStyle w:val="Heading2"/>
      </w:pPr>
      <w:r>
        <w:t>Three meanings of dependence</w:t>
      </w:r>
    </w:p>
    <w:p>
      <w:r>
        <w:rPr>
          <w:b w:val="0"/>
        </w:rPr>
        <w:t>The project's central question can be formulated as follows: how does a being whose existence has already been initiated become one who initiates? A person does not choose the initial conditions of their emergence. But it does not follow that their entire subsequent life must be understood exclusively as a continuation of external influences.</w:t>
      </w:r>
    </w:p>
    <w:p>
      <w:r>
        <w:rPr>
          <w:b w:val="0"/>
        </w:rPr>
        <w:t>Three relations must be distinguished here. The first is the received character of existence itself. Neither freedom, maturity, nor deification abolishes it. The second is the reproduction of others' attitudes without personally accepting and examining them. It is this lack of independence that the project seeks to overcome. The third is a response of one's own within the continuing received character of existence: the person accepts what is given without treating it as the exhaustive author of their next action.</w:t>
      </w:r>
    </w:p>
    <w:p>
      <w:r>
        <w:rPr>
          <w:b w:val="0"/>
        </w:rPr>
        <w:t>Accepting one's beginning does not mean approving the violence, injustice, or error that may belong to its history. Acceptance establishes the reality with which the person has to deal. Responsibility begins where they determine what now depends on their response. It is not a retrospective assumption of guilt for everything they did not choose. [II, “The Genesis of Subjecthood”, §§5.1–5.2; “The Ontogenesis of Subjecthood”, §§2–5.]</w:t>
      </w:r>
    </w:p>
    <w:p>
      <w:pPr>
        <w:pStyle w:val="Heading2"/>
      </w:pPr>
      <w:r>
        <w:t>Response precedes choice</w:t>
      </w:r>
    </w:p>
    <w:p>
      <w:r>
        <w:rPr>
          <w:b w:val="0"/>
        </w:rPr>
        <w:t>The usual model of freedom begins with a menu of possibilities: a person is free if they can choose between A and B. CTM redirects attention to the origin of the menu itself. Who determined that only A and B were possible? Who excluded other options? Can the person change the way the question is posed?</w:t>
      </w:r>
    </w:p>
    <w:p>
      <w:r>
        <w:rPr>
          <w:b w:val="0"/>
        </w:rPr>
        <w:t>A doctor choosing between two permitted procedures makes a real choice. But if neither procedure addresses the patient's condition, another capacity is required: to question the operative classification and secure its revision. This illustrates the difference between a choice within a given space and a response that changes the space of possibilities.</w:t>
      </w:r>
    </w:p>
    <w:p>
      <w:r>
        <w:rPr>
          <w:b w:val="0"/>
        </w:rPr>
        <w:t>Response does not mean arbitrary novelty. An unusual act may be accidental, while repeating a known solution may be a responsible action of one's own. What matters is authorship of one's relation to the situation, acceptance of consequences, and the capacity for correction. A person responds not because they invented everything from nothing, but because they have appropriated the decision as their own and remain its responsible bearer.</w:t>
      </w:r>
    </w:p>
    <w:p>
      <w:pPr>
        <w:pStyle w:val="Heading2"/>
      </w:pPr>
      <w:r>
        <w:t>Subjecthood is not equivalent to virtue</w:t>
      </w:r>
    </w:p>
    <w:p>
      <w:r>
        <w:rPr>
          <w:b w:val="0"/>
        </w:rPr>
        <w:t>Volumes II–III distinguish subjecthood from the moral truth of a response. A person can independently initiate a destructive project. They may be intelligent, consistent, enterprising, and responsible in a limited sense while directing those capacities against others. The strength of authorship does not certify the rightness of its ground.</w:t>
      </w:r>
    </w:p>
    <w:p>
      <w:r>
        <w:t>This distinction is also necessary for understanding the image of God. The possibility of responding does not automatically disappear when a response is false; otherwise responsibility for evil would become unintelligible. It is necessary to distinguish the possession of a capacity, its actual realisation, and the quality of its direction. At the same time, several formulations in Volume I use “subjecthood” in a stricter, normatively charged sense, as an already truthful relationship to Reality. This is a significant shift of emphasis, to which the critical part will return. [III, §§11–13, 125; II, “The Ontogenesis of Subjecthood”, §15.]</w:t>
      </w:r>
    </w:p>
    <w:p>
      <w:bookmarkStart w:id="4" w:name="section_4"/>
      <w:pPr>
        <w:pStyle w:val="Heading1"/>
      </w:pPr>
      <w:r>
        <w:t>4 Autonomy and Ontological Readdressing</w:t>
      </w:r>
      <w:bookmarkEnd w:id="4"/>
    </w:p>
    <w:p>
      <w:pPr>
        <w:pStyle w:val="Heading2"/>
      </w:pPr>
      <w:r>
        <w:t>Why a person needs independence</w:t>
      </w:r>
    </w:p>
    <w:p>
      <w:r>
        <w:rPr>
          <w:b w:val="0"/>
        </w:rPr>
        <w:t>In Volume I, the subject's formation passes through foundation, self-determination, the decolonisation of the person, and the development of autonomy. Foundation denotes the adoption of one's own position; decolonisation means liberation from attitudes that effectively think and decide on one's behalf. Autonomy enables the person to maintain a position under pressure and construct their own project of the future.</w:t>
      </w:r>
    </w:p>
    <w:p>
      <w:r>
        <w:rPr>
          <w:b w:val="0"/>
        </w:rPr>
        <w:t>This stage cannot be replaced by an external command to “renounce yourself”. If a person cannot yet answer for themselves, renouncing independence may consolidate their dependence on another person or institution. That is why CTM persistently distinguishes Christian readdressing from totalitarian submission.</w:t>
      </w:r>
    </w:p>
    <w:p>
      <w:r>
        <w:rPr>
          <w:b w:val="0"/>
        </w:rPr>
        <w:t>However, Volume I takes independence to a radical limit: the subject must attempt to sustain a universal claim through their own powers and discover the impossibility of self-grounding. One cannot honestly recount this text while asserting that the requirement to pass through autonomy was entirely invented by a commentator. It is explicitly present in the “Essay” and in the model of ontological therapy. The question concerns the precise meaning of this autonomy. [I, “Essay”, ch. 2, §§2, 7, 9–11; “The Church as Infrastructure”, points 4–7.]</w:t>
      </w:r>
    </w:p>
    <w:p>
      <w:pPr>
        <w:pStyle w:val="Heading2"/>
      </w:pPr>
      <w:r>
        <w:t>The limit of self-grounding</w:t>
      </w:r>
    </w:p>
    <w:p>
      <w:r>
        <w:rPr>
          <w:b w:val="0"/>
        </w:rPr>
        <w:t>A person can author a project but cannot make themselves the cause of their own existence, abolish finitude, or guarantee the ultimate meaning of all the consequences. Expanding a project increases responsibility while revealing the disproportion between its claim and the powers available.</w:t>
      </w:r>
    </w:p>
    <w:p>
      <w:r>
        <w:rPr>
          <w:b w:val="0"/>
        </w:rPr>
        <w:t>This argument has a strong core: practical independence is not metaphysical self-sufficiency. Dependence on conditions does not imply that a person does not act; the reality of their action does not imply that they depend on nothing. CTM attempts to hold both sides together.</w:t>
      </w:r>
    </w:p>
    <w:p>
      <w:r>
        <w:rPr>
          <w:b w:val="0"/>
        </w:rPr>
        <w:t>Volume I's stronger proposition—that every subject must undergo an actual attempt at universal self-grounding—requires a separate justification. We may ask why a person cannot accept finitude and responsibility from the outset, without claiming absolute independence. Indeed, “The Genesis of Subjecthood” in Volume II begins with a hermeneutics of received existence and responsibility. A coherent reading of the corpus must therefore distinguish the necessary development of independence from a possible radical testing of its limit.</w:t>
      </w:r>
    </w:p>
    <w:p>
      <w:pPr>
        <w:pStyle w:val="Heading2"/>
      </w:pPr>
      <w:r>
        <w:t>What is readdressed</w:t>
      </w:r>
    </w:p>
    <w:p>
      <w:r>
        <w:rPr>
          <w:b w:val="0"/>
        </w:rPr>
        <w:t>Ontological readdressing means a change in the ultimate ground of life. The person ceases to treat their own preservation, desire, or historical success as an absolute criterion. Yet the decision remains their decision. They neither transfer responsibility to someone else nor acquire the right to justify any action by appealing to a higher will.</w:t>
      </w:r>
    </w:p>
    <w:p>
      <w:r>
        <w:rPr>
          <w:b w:val="0"/>
        </w:rPr>
        <w:t>In the Christian perspective, the addressee is God, revealed in Christ. Yet God's name may conceal an entirely different dependence. If the actual ultimate ground is a leader's infallibility, an institution's prestige, or a national victory, religious language does not by itself establish that life has been readdressed to God.</w:t>
      </w:r>
    </w:p>
    <w:p>
      <w:r>
        <w:rPr>
          <w:b w:val="0"/>
        </w:rPr>
        <w:t>The practical test concerns the possibility of correction: can the person acknowledge that their interpretation of God's will was mistaken? Do they retain responsibility for their own understanding? Can they acknowledge the reality of another person when that person obstructs their project? Readdressing that excludes such questions risks reproducing precisely the colonisation it should overcome.</w:t>
      </w:r>
    </w:p>
    <w:p>
      <w:bookmarkStart w:id="5" w:name="section_5"/>
      <w:pPr>
        <w:pStyle w:val="Heading1"/>
      </w:pPr>
      <w:r>
        <w:t>5 The Architecture of Human Response</w:t>
      </w:r>
      <w:bookmarkEnd w:id="5"/>
    </w:p>
    <w:p>
      <w:pPr>
        <w:pStyle w:val="Heading2"/>
      </w:pPr>
      <w:r>
        <w:t>Dynamic Iconic Space</w:t>
      </w:r>
    </w:p>
    <w:p>
      <w:r>
        <w:rPr>
          <w:b w:val="0"/>
        </w:rPr>
        <w:t>DIS is the way the world is present to a subject. It includes not only information about objects but also connections, significance, scale, time, threats, expectations, and images of what is possible. “Iconic” here is not reducible to a picture or an ecclesiastical icon: it concerns the representation of reality through which the subject orients themselves and acts.</w:t>
      </w:r>
    </w:p>
    <w:p>
      <w:r>
        <w:rPr>
          <w:b w:val="0"/>
        </w:rPr>
        <w:t>The quality of DIS is not determined by the quantity of knowledge alone. One can know many details without seeing the whole; think on vast historical scales without discerning a concrete person; or maintain a clear picture of the present while overlooking delayed consequences. What matters, therefore, is scope, resolution, connectedness, depth, dynamism, openness, and the ability to sustain a contradiction without hastily eliminating one of its sides.</w:t>
      </w:r>
    </w:p>
    <w:p>
      <w:r>
        <w:rPr>
          <w:b w:val="0"/>
        </w:rPr>
        <w:t>A person who treats a state budget as the ruler's personal purse is not simply mistaken about particular figures. The object itself, causality, and responsibility are represented differently. A change in DIS means that the budget becomes visible as a distributed system of obligations, revenues, expenditure, and future consequences. [II, “The Quality of Ontology”, §§1–3; III, §22 and Part IV.]</w:t>
      </w:r>
    </w:p>
    <w:p>
      <w:pPr>
        <w:pStyle w:val="Heading2"/>
      </w:pPr>
      <w:r>
        <w:t>Operating System</w:t>
      </w:r>
    </w:p>
    <w:p>
      <w:r>
        <w:rPr>
          <w:b w:val="0"/>
        </w:rPr>
        <w:t>OS is the set of ways of working with reality. CTM distinguishes receptive-interpretive, projective-executive, and reflexive-corrective circuits: how the subject receives and understands information; how they plan and carry out action; and how they assess consequences and correct themselves.</w:t>
      </w:r>
    </w:p>
    <w:p>
      <w:r>
        <w:rPr>
          <w:b w:val="0"/>
        </w:rPr>
        <w:t>A person may see a problem without possessing an operation that enables them to solve it. An organisation may gather reliable information but lack a procedure for changing a decision after receiving it. The reverse situation is also possible: a procedure formally exists but is never activated in a particular class of situations. These cases require different explanations and different changes.</w:t>
      </w:r>
    </w:p>
    <w:p>
      <w:r>
        <w:rPr>
          <w:b w:val="0"/>
        </w:rPr>
        <w:t>OS is not a hidden second subject inside the person. It is an analytical designation for the operations available to and used by them. Likewise, DIS does not “make decisions”: it is the whole person who sees, decides, and acts.</w:t>
      </w:r>
    </w:p>
    <w:p>
      <w:pPr>
        <w:pStyle w:val="Heading2"/>
      </w:pPr>
      <w:r>
        <w:t>Subjecthood and the Scenario Book</w:t>
      </w:r>
    </w:p>
    <w:p>
      <w:r>
        <w:rPr>
          <w:b w:val="0"/>
        </w:rPr>
        <w:t>The third dimension answers the question: who is the actual author of the response? Who has initiative and the right to object, correct, and stop? To whom do consequences return? In a complex system, these powers may be distributed. The absence of a single centre does not in itself mean the absence of subjecthood; one must determine whether the distributed functions form a connected circuit.</w:t>
      </w:r>
    </w:p>
    <w:p>
      <w:r>
        <w:rPr>
          <w:b w:val="0"/>
        </w:rPr>
        <w:t>The formula “DIS × OS × subjecthood” expresses the interdependence of these dimensions. It is not a calculation with known units and coefficients. A rich picture of the world does not ensure the capacity to act; developed operations do not ensure authorship of one's own; strong initiative does not compensate for blindness.</w:t>
      </w:r>
    </w:p>
    <w:p>
      <w:r>
        <w:rPr>
          <w:b w:val="0"/>
        </w:rPr>
        <w:t>The Scenario Book denotes stable rules connecting these dimensions in a particular situation. For example, an institution knows how to revise decisions but recognises any public criticism as a threat. The available operation of correction is then systematically blocked specifically in situations of criticism. To demonstrate the existence of such a rule, one episode is insufficient: comparable cases or independent corroboration are required. [III, §22a, §§113a, 118a.]</w:t>
      </w:r>
    </w:p>
    <w:p>
      <w:pPr>
        <w:pStyle w:val="Heading2"/>
      </w:pPr>
      <w:r>
        <w:t>The quality of ontology and ontological competence</w:t>
      </w:r>
    </w:p>
    <w:p>
      <w:r>
        <w:rPr>
          <w:b w:val="0"/>
        </w:rPr>
        <w:t>The quality of ontology characterises the organisation of the subject's operative world. Ontological competence is the subject's capacity to orient themselves within that world, recognise the limitations of their own map, coordinate the necessary knowledge and ways of acting, withstand discrepancy, and produce a response.</w:t>
      </w:r>
    </w:p>
    <w:p>
      <w:r>
        <w:rPr>
          <w:b w:val="0"/>
        </w:rPr>
        <w:t>This distinction protects the project against intellectualism. An extensive theory does not guarantee the capacity to act, and clear understanding does not guarantee implementation of a project. Competence includes a relationship to one's own limits: finding a specialist, acknowledging insufficient data, or stopping an inapplicable method is sometimes more important than offering another explanation. Groundedness and the ordering of values run through the entire architecture: for what purpose are capacities used, and what is sacrificed when goods conflict? [II, “The Quality of Ontology”, §§4–9; III, §§32–36.]</w:t>
      </w:r>
    </w:p>
    <w:p>
      <w:bookmarkStart w:id="6" w:name="section_6"/>
      <w:pPr>
        <w:pStyle w:val="Heading1"/>
      </w:pPr>
      <w:r>
        <w:t>6 Personal Formation and Historical Action</w:t>
      </w:r>
      <w:bookmarkEnd w:id="6"/>
    </w:p>
    <w:p>
      <w:pPr>
        <w:pStyle w:val="Heading2"/>
      </w:pPr>
      <w:r>
        <w:t>From accepting one's beginning to a voice of one's own</w:t>
      </w:r>
    </w:p>
    <w:p>
      <w:r>
        <w:rPr>
          <w:b w:val="0"/>
        </w:rPr>
        <w:t>“The Genesis of Subjecthood” examines the conditions under which a response emerges; “The Ontogenesis of Subjecthood” examines its development in a person's life. These are different questions. Establishing that received being is compatible with authorship does not yet explain how a particular person learns to respond, maintain identity, and enter into relationships.</w:t>
      </w:r>
    </w:p>
    <w:p>
      <w:r>
        <w:rPr>
          <w:b w:val="0"/>
        </w:rPr>
        <w:t>The starting point is the presumption of Reality's determinate meaningfulness: the distinction between correspondence and non-correspondence exists and can be discovered. On the human side, receptivity to freedom and the possibility of going beyond what has already been realised are necessary. Yet a “taste for freedom” can itself become arbitrariness. It must be connected with acceptance of reality, a hermeneutics of responsibility, orientation towards the maximal Ground, and readiness for verification.</w:t>
      </w:r>
    </w:p>
    <w:p>
      <w:r>
        <w:t>Self-acceptance in this process does not mean complacency. A person accepts the bearer of their history in order to become able to continue and change it. Identity emerges as continuity of response: while changing, a person can acknowledge an earlier act as their own, correct its consequences, and avoid attributing the past to a stranger they supposedly once were.</w:t>
      </w:r>
    </w:p>
    <w:p>
      <w:r>
        <w:t>Ontic subjecthood—the capacity to act and answer within a concrete world—forms the necessary basis of subsequent levels. One cannot leap over it directly into a universal mission. If a person speaks in the name of humanity's destiny but systematically evades simple obligations, the scale of their declaration indicates nothing in itself about the quality of their subjecthood. [II, “The Genesis of Subjecthood”; “The Ontogenesis of Subjecthood”, §§1–9.]</w:t>
      </w:r>
    </w:p>
    <w:p>
      <w:pPr>
        <w:pStyle w:val="Heading2"/>
      </w:pPr>
      <w:r>
        <w:t>Breakthrough and crystallisation</w:t>
      </w:r>
    </w:p>
    <w:p>
      <w:r>
        <w:rPr>
          <w:b w:val="0"/>
        </w:rPr>
        <w:t>An ontological breakthrough occurs when what is questioned is not an individual task but the structure of the world within which tasks were distinguished. Such an experience expands what is possible without certifying truth. An intense experience, an unusual idea, or the destruction of an earlier identity may open a new horizon while also leading to false certainty.</w:t>
      </w:r>
    </w:p>
    <w:p>
      <w:r>
        <w:rPr>
          <w:b w:val="0"/>
        </w:rPr>
        <w:t>A breakthrough must therefore be followed by verification and crystallisation: the new distinction must acquire a stable form, language, practice, and capacity for transmission. Premature crystallisation is dangerous because it turns the first successful interpretation into an infallible system. The absence of crystallisation also has a cost: the experience remains a flash that does not change the next action.</w:t>
      </w:r>
    </w:p>
    <w:p>
      <w:r>
        <w:rPr>
          <w:b w:val="0"/>
        </w:rPr>
        <w:t>A generative transition goes further. The subject not only appropriates an existing form but creates new ways of recognition and action that others can acquire. Assessing such a transition requires specifying its scale. A solution new to one person is not necessarily new to a profession; a historically new institution does not necessarily open a new principle of human existence. [II, “The Ontogenesis of Subjecthood”, §§10–14; III, Part III.]</w:t>
      </w:r>
    </w:p>
    <w:p>
      <w:pPr>
        <w:pStyle w:val="Heading2"/>
      </w:pPr>
      <w:r>
        <w:t>Two independent capacities</w:t>
      </w:r>
    </w:p>
    <w:p>
      <w:r>
        <w:rPr>
          <w:b w:val="0"/>
        </w:rPr>
        <w:t>CTM distinguishes ontological competence from socio-ontic projectuality. The former enables the recognition of a project's grounds, limitations, and human meaning. The latter enables the creation of organisations, law, and economic and administrative forms through which the project enters history.</w:t>
      </w:r>
    </w:p>
    <w:p>
      <w:r>
        <w:rPr>
          <w:b w:val="0"/>
        </w:rPr>
        <w:t>An insightful thinker may lack the ability to organise collective action. An effective organiser may implement a profoundly mistaken picture of the world. Historical power is therefore not sufficient evidence of truth, and sound understanding is not a sufficient condition for a historical result.</w:t>
      </w:r>
    </w:p>
    <w:p>
      <w:r>
        <w:rPr>
          <w:b w:val="0"/>
        </w:rPr>
        <w:t>Messianic identity means understanding one's own life as a vocation and mission. It does not guarantee a good direction: a nation, class, or state can also be elevated to the position of an absolute addressee. In the Christian version, the person accepts being sent without appropriating the role of ultimate saviour. Their concrete project remains human, limited, and corrigible. [II, “The Ontogenesis of Subjecthood”, §§15–18; “Eschatological Subjecthood”, §§5–8.]</w:t>
      </w:r>
    </w:p>
    <w:p>
      <w:bookmarkStart w:id="7" w:name="section_7"/>
      <w:pPr>
        <w:pStyle w:val="Heading1"/>
      </w:pPr>
      <w:r>
        <w:t>7 The Logos and the Possibility of Meaning</w:t>
      </w:r>
      <w:bookmarkEnd w:id="7"/>
    </w:p>
    <w:p>
      <w:pPr>
        <w:pStyle w:val="Heading2"/>
      </w:pPr>
      <w:r>
        <w:t>Why connectedness is not enough</w:t>
      </w:r>
    </w:p>
    <w:p>
      <w:r>
        <w:rPr>
          <w:b w:val="0"/>
        </w:rPr>
        <w:t>CTM distinguishes the existence of a connection from a meaningful encounter. People may constantly exchange messages, trade, and perform roles without recognising one another as independent bearers of a response. Connectedness as such allows manipulation and domination.</w:t>
      </w:r>
    </w:p>
    <w:p>
      <w:r>
        <w:rPr>
          <w:b w:val="0"/>
        </w:rPr>
        <w:t>Volume I expresses this through the distinction between closed and grounded relationality. A closed relationship attempts to find its ultimate ground solely in its participants; each risks making themselves the final measure of the other. A grounded relationship presupposes that neither participant has the right to define the other definitively, because both relate to a Ground that exceeds them.</w:t>
      </w:r>
    </w:p>
    <w:p>
      <w:r>
        <w:rPr>
          <w:b w:val="0"/>
        </w:rPr>
        <w:t>In this construction, the Logos fulfils two connected roles. Philosophically, He denotes the ultimate determinacy of meaning that makes it possible to distinguish truth from falsehood and adequacy from arbitrariness. Theologically, the Logos is the Son of God who became human. These registers must remain connected without substituting the first for the second. Christ is not exhausted by a principle of logical coherence. [I, “Essay”, chs. 4–6; “Towards an Ontology of the Logos”; III, §§9–12.]</w:t>
      </w:r>
    </w:p>
    <w:p>
      <w:pPr>
        <w:pStyle w:val="Heading2"/>
      </w:pPr>
      <w:r>
        <w:t>Methodological monotheism</w:t>
      </w:r>
    </w:p>
    <w:p>
      <w:r>
        <w:rPr>
          <w:b w:val="0"/>
        </w:rPr>
        <w:t>A person has many real attachments and obligations: family, profession, people, state, and their own body. CTM does not require their elimination. Methodological monotheism means that partial grounds must find their place and measure in relation to the maximal Ground. None of them may demand the whole person without being subjected to examination.</w:t>
      </w:r>
    </w:p>
    <w:p>
      <w:r>
        <w:rPr>
          <w:b w:val="0"/>
        </w:rPr>
        <w:t>This principle has a practical meaning. If the state demands the sacrifice of truth for the state's benefit, the question arises of its right to make that demand. If a family requires injustice towards an outsider, closeness alone does not cancel what is right. If an ecclesiastical organisation demands the defence of its reputation against an acknowledged fact, the institution risks occupying the place of the Ground it should serve.</w:t>
      </w:r>
    </w:p>
    <w:p>
      <w:r>
        <w:rPr>
          <w:b w:val="0"/>
        </w:rPr>
        <w:t>Yet the principle of a single ultimate ground is not equivalent to the full confession of the Trinity. In Volume II, the author explicitly limits its status to a structure of orientation. It may prepare a theological inquiry but does not replace it. A strong analysis must show at what stage specifically Christian content is introduced. [II, “The Genesis of Subjecthood”, §5.3.]</w:t>
      </w:r>
    </w:p>
    <w:p>
      <w:pPr>
        <w:pStyle w:val="Heading2"/>
      </w:pPr>
      <w:r>
        <w:t>Idolatry as an error of grounding</w:t>
      </w:r>
    </w:p>
    <w:p>
      <w:r>
        <w:rPr>
          <w:b w:val="0"/>
        </w:rPr>
        <w:t>In CTM, an idol is not merely a cultic image. Idolatry arises when a finite object, model, or institution acquires the status of ultimate Reality. The person begins to protect it against every test and to subordinate other people to it.</w:t>
      </w:r>
    </w:p>
    <w:p>
      <w:r>
        <w:rPr>
          <w:b w:val="0"/>
        </w:rPr>
        <w:t>This makes it possible to criticise idolatry within religiosity itself. Correctly naming the object of worship does not guarantee a right relationship. A person may say “God” while meaning the absolute confirmation of their own group. They may venerate truth while actually defending their own infallibility. Logocentricity is therefore determined by what a person acts from, not simply by the vocabulary of their self-description.</w:t>
      </w:r>
    </w:p>
    <w:p>
      <w:r>
        <w:rPr>
          <w:b w:val="0"/>
        </w:rPr>
        <w:t>Logofugality, correspondingly, means withdrawal from such verification and from connection with the Ground. It may be highly organised and technologically effective. The ordering of meaning is not identical with moral truth: a false project can also create discipline and stable procedures. Here the distinctions of the later volumes refine the sharper oppositions of the early philosophical part.</w:t>
      </w:r>
    </w:p>
    <w:p>
      <w:bookmarkStart w:id="8" w:name="section_8"/>
      <w:pPr>
        <w:pStyle w:val="Heading1"/>
      </w:pPr>
      <w:r>
        <w:t>8 The Image of God and the Fullness of Personhood</w:t>
      </w:r>
      <w:bookmarkEnd w:id="8"/>
    </w:p>
    <w:p>
      <w:pPr>
        <w:pStyle w:val="Heading2"/>
      </w:pPr>
      <w:r>
        <w:t>Individuality and irreplaceability</w:t>
      </w:r>
    </w:p>
    <w:p>
      <w:r>
        <w:rPr>
          <w:b w:val="0"/>
        </w:rPr>
        <w:t>A person's biographical uniqueness does not in itself disclose what CTM seeks in personhood. A combination of causes can also be unique. The project asks a different question: why does this particular person have the right to a response of their own, and why can they not be replaced by a functionally equivalent performer?</w:t>
      </w:r>
    </w:p>
    <w:p>
      <w:r>
        <w:rPr>
          <w:b w:val="0"/>
        </w:rPr>
        <w:t>The theological answer is developed through the image of God and likeness. Image denotes the possibility of personal response given to the human being; likeness denotes its unfolding towards the fullness of relationship with God. This is a working distinction within the architecture of response, not an exhaustive definition of every meaning of image and likeness in the Christian tradition. The pneumatology essay explicitly limits its subject in this way.</w:t>
      </w:r>
    </w:p>
    <w:p>
      <w:r>
        <w:rPr>
          <w:b w:val="0"/>
        </w:rPr>
        <w:t>Human development does not create dignity out of nothing or make a less competent person less worthy of care. A crucial implication of CTM's eschatological part is that the value of a concrete person cannot be measured by their current productivity. The vocation to communion with God precedes assessment of the actual success of their response. This is particularly significant for understanding a child, a sick person, someone dependent on others, or a person with disabilities. This last application is an inference of the present analysis from the distinction between gift and actualisation, not a separate developed theory in the corpus. [III, §11; “In Search of Pneumatology”, §2; II, “Eschatological Subjecthood”, §§11–14.]</w:t>
      </w:r>
    </w:p>
    <w:p>
      <w:pPr>
        <w:pStyle w:val="Heading2"/>
      </w:pPr>
      <w:r>
        <w:t>Deification and the preservation of the human</w:t>
      </w:r>
    </w:p>
    <w:p>
      <w:r>
        <w:rPr>
          <w:b w:val="0"/>
        </w:rPr>
        <w:t>Within CTM's logic, deification means participation in God's life while preserving the distinction between Creator and creature. The human being neither becomes their own source nor disappears into an impersonal whole. On the contrary, the fullness of communion requires the preservation of the one who communes.</w:t>
      </w:r>
    </w:p>
    <w:p>
      <w:r>
        <w:rPr>
          <w:b w:val="0"/>
        </w:rPr>
        <w:t>Renouncing autonomous self-grounding is therefore not equivalent to renouncing personhood. The claim to be an absolute source is relinquished, while name, history, response, and responsibility remain. This is the fundamental difference between participation and absorption.</w:t>
      </w:r>
    </w:p>
    <w:p>
      <w:r>
        <w:rPr>
          <w:b w:val="0"/>
        </w:rPr>
        <w:t>The formula “Christ bin”, which runs through Volume I, expresses the radical character of Christian self-determination: Christianity must become a way of existing rather than an external relationship to a revered model. It must be read through participation in Christ, not as a human appropriation of the unique hypostatic status of the incarnate Son. Volume II supports precisely this distinction: God enters the ontic sphere in Christ immediately and hypostatically; the human historical response is derivative and mediated. [I, “Towards an Ontology of the Logos”; “Faith as Competence”; II, “Eschatological Subjecthood”, §§6, 13.]</w:t>
      </w:r>
    </w:p>
    <w:p>
      <w:pPr>
        <w:pStyle w:val="Heading2"/>
      </w:pPr>
      <w:r>
        <w:t>Absolute significance without absolute being</w:t>
      </w:r>
    </w:p>
    <w:p>
      <w:r>
        <w:t>Volume II distinguishes God's absoluteness from the person's absolute significance for God. The human being is finite and created. But this finitude does not mean that the person is replaceable or may be sacrificed to an impersonal totality as expendable material.</w:t>
      </w:r>
    </w:p>
    <w:p>
      <w:r>
        <w:rPr>
          <w:b w:val="0"/>
        </w:rPr>
        <w:t>The Christian promise of eternal life concerns the concrete person, not merely the preservation of information about them, their social contribution, or a general human type. The question of personhood therefore acquires eschatological depth: what enables this very person to preserve their identity in definitive communion with God?</w:t>
      </w:r>
    </w:p>
    <w:p>
      <w:r>
        <w:t>Within its Christian presuppositions, CTM here offers a theological grounding of irreplaceability. But the assertion that no other philosophical ground for irreplaceability is possible would be a separate, broader thesis. Showing the strength of the Christian solution is not enough to establish it: competing arguments must be considered. [II, “Eschatological Subjecthood”, §§11–12.]</w:t>
      </w:r>
    </w:p>
    <w:p>
      <w:bookmarkStart w:id="9" w:name="section_9"/>
      <w:pPr>
        <w:pStyle w:val="Heading1"/>
      </w:pPr>
      <w:r>
        <w:t>9 Incarnation Cross and Resurrection</w:t>
      </w:r>
      <w:bookmarkEnd w:id="9"/>
    </w:p>
    <w:p>
      <w:pPr>
        <w:pStyle w:val="Heading2"/>
      </w:pPr>
      <w:r>
        <w:t>God's initiative</w:t>
      </w:r>
    </w:p>
    <w:p>
      <w:r>
        <w:rPr>
          <w:b w:val="0"/>
        </w:rPr>
        <w:t>Presenting CTM solely as a ladder of human effort would substantially distort it. The person tests their grounds, suffers collapse, readdresses their life—and seemingly reaches God through their own effort. Volume II states the opposite clearly: the human movement towards God is grounded in God's prior movement towards the human being.</w:t>
      </w:r>
    </w:p>
    <w:p>
      <w:r>
        <w:rPr>
          <w:b w:val="0"/>
        </w:rPr>
        <w:t>The incarnation means that the Logos enters created reality, assuming human nature, body, and history. The Ground does not merely confront the human being with a demand from outside. In Christ, it becomes a participant in human vulnerability. The project's theology therefore cannot be exhausted by a universal technique for navigating between maps.</w:t>
      </w:r>
    </w:p>
    <w:p>
      <w:r>
        <w:rPr>
          <w:b w:val="0"/>
        </w:rPr>
        <w:t>This also limits a negative attitude towards the ontic. If the Son assumes body and history, the world's concreteness is not merely an obstacle to ascent towards meaning. It becomes a place of encounter and response. Work, bodily care, and the just ordering of relationships acquire significance as forms of historical embodiment, although none of them becomes the Kingdom of God itself. [II, “Eschatological Subjecthood”, §§6, 13–14.]</w:t>
      </w:r>
    </w:p>
    <w:p>
      <w:pPr>
        <w:pStyle w:val="Heading2"/>
      </w:pPr>
      <w:r>
        <w:t>The Cross as a test of the ground</w:t>
      </w:r>
    </w:p>
    <w:p>
      <w:r>
        <w:t>The Cross occupies a central place in CTM because it separates fidelity to truth from a guarantee of one's own success. If a person regards as true only what preserves their strength, prestige, and safety, they continue to treat themselves as their ultimate ground. The practice of the Cross means the possibility of relinquishing this condition.</w:t>
      </w:r>
    </w:p>
    <w:p>
      <w:r>
        <w:rPr>
          <w:b w:val="0"/>
        </w:rPr>
        <w:t>Yet not every sacrifice becomes Christian. A person can die for a false project, under someone else's coercion, or for their own grandiosity. The magnitude of the loss does not prove the truth of its addressee. Christian discernment requires examining the relationship to truth, the other's freedom, responsibility, and Christ Himself.</w:t>
      </w:r>
    </w:p>
    <w:p>
      <w:r>
        <w:rPr>
          <w:b w:val="0"/>
        </w:rPr>
        <w:t>The practice of the Cross must therefore not be turned into a demand to expose oneself constantly to danger or to allow an institution to dispose of another person's suffering. In the terms of later CTM, whoever demands a cost must justify their right to demand it; voluntary ascetic discipline is not identical with the external dispossession of subjecthood. A theological formula does not dispense with this examination.</w:t>
      </w:r>
    </w:p>
    <w:p>
      <w:r>
        <w:rPr>
          <w:b w:val="0"/>
        </w:rPr>
        <w:t>Volume II gives the Cross an additional interpretation: God permits the actual consequences of human judgement upon Himself without recognising that judgement as true. Human freedom is so serious that its false response becomes a historical event. This theological reading by the author reveals the cost of relationship, but does not mean that a human verdict acquires power over God's ultimate truth. [I, “Faith as Competence”; II, “The Ontogenesis of Subjecthood”, §22; “Eschatological Subjecthood”, §13.]</w:t>
      </w:r>
    </w:p>
    <w:p>
      <w:pPr>
        <w:pStyle w:val="Heading2"/>
      </w:pPr>
      <w:r>
        <w:t>Why the argument is incomplete without the resurrection</w:t>
      </w:r>
    </w:p>
    <w:p>
      <w:r>
        <w:rPr>
          <w:b w:val="0"/>
        </w:rPr>
        <w:t>Stopping at the Cross as honesty in the face of defeat would yield a philosophy of dignity in catastrophe. CTM's Christian meaning is broader. The resurrection means that death and historical judgement do not constitute the final horizon of the human nature assumed by the Logos.</w:t>
      </w:r>
    </w:p>
    <w:p>
      <w:r>
        <w:rPr>
          <w:b w:val="0"/>
        </w:rPr>
        <w:t>Faith does not verbally turn defeat into victory. It relates the historical event to a promised fullness whose source is in God. The human capacity to withstand crisis neither produces the resurrection nor proves it empirically. The resurrection enters the project as the content of the Christian proclamation and the ground of hope.</w:t>
      </w:r>
    </w:p>
    <w:p>
      <w:r>
        <w:rPr>
          <w:b w:val="0"/>
        </w:rPr>
        <w:t>This distinction avoids two reductions. The first turns Christianity into heroic psychology: endure everything, and thereby save yourself. The second turns hope into a denial of consequences: since God will prevail, human error is insignificant. CTM requires both the reality of historical cost and openness to a horizon not exhausted by history.</w:t>
      </w:r>
    </w:p>
    <w:p>
      <w:bookmarkStart w:id="10" w:name="section_10"/>
      <w:pPr>
        <w:pStyle w:val="Heading1"/>
      </w:pPr>
      <w:r>
        <w:t>10 Faith as Competence and the Language of God</w:t>
      </w:r>
      <w:bookmarkEnd w:id="10"/>
    </w:p>
    <w:p>
      <w:pPr>
        <w:pStyle w:val="Heading2"/>
      </w:pPr>
      <w:r>
        <w:t>From conviction to the capacity to live</w:t>
      </w:r>
    </w:p>
    <w:p>
      <w:r>
        <w:rPr>
          <w:b w:val="0"/>
        </w:rPr>
        <w:t>In CTM, faith has psychological, social, and intellectual manifestations but is not exhausted by them. Experience, belonging, and conviction may be present in very different religious and ideological systems. The specifically Christian question concerns the source of life and the relationship to the future.</w:t>
      </w:r>
    </w:p>
    <w:p>
      <w:r>
        <w:rPr>
          <w:b w:val="0"/>
        </w:rPr>
        <w:t>Competence denotes a stable capacity to act where knowledge and instructions provide no ready-made solution. A person may know much about forgiveness and be unable to forgive; understand the necessity of truth and conceal it when threatened with loss. Between the content of consciousness and a way of existing there remains a transition that cannot be accomplished through a definition alone.</w:t>
      </w:r>
    </w:p>
    <w:p>
      <w:r>
        <w:rPr>
          <w:b w:val="0"/>
        </w:rPr>
        <w:t>Faith as competence is the capacity to maintain orientation towards God and truth under changing conditions, accept responsibility, examine one's own understanding, and renew one's response. It does not guarantee the rightness of every decision or make the believer omniscient. Its maturity includes the capacity to acknowledge error without destroying the relationship to the Ground itself. [I, “On the Nature of Faith”; “Faith as Competence”; III, Part XIII.]</w:t>
      </w:r>
    </w:p>
    <w:p>
      <w:pPr>
        <w:pStyle w:val="Heading2"/>
      </w:pPr>
      <w:r>
        <w:t>God's silence and the competitive world</w:t>
      </w:r>
    </w:p>
    <w:p>
      <w:r>
        <w:rPr>
          <w:b w:val="0"/>
        </w:rPr>
        <w:t>“The Language of God” in Volume I poses a painful question: how can confession of the God of Love be reconciled with the reality of suffering and the experience of His silence? This is not simply a chapter about sacred language or the logical structure of creation. It examines the discrepancy between the intervention a person expects and the transformation of the person themselves towards which Christianity is directed.</w:t>
      </w:r>
    </w:p>
    <w:p>
      <w:r>
        <w:rPr>
          <w:b w:val="0"/>
        </w:rPr>
        <w:t>Competitive ontology understands being through the struggle for preservation, superiority, and control. In such a world, even God may be conceived as the strongest participant, expected to secure victory for one's own side. Solidaric ontology presupposes another kind of relationship: the fullness of one should not be realised through the destruction of another. Humility here involves refusing to appropriate the centre of being, while purposiveness involves readiness to enter genuinely into a different relationship to life.</w:t>
      </w:r>
    </w:p>
    <w:p>
      <w:r>
        <w:rPr>
          <w:b w:val="0"/>
        </w:rPr>
        <w:t>This reading explains why Christianity is not obliged to confirm every human expectation of power. It does not, however, resolve every question of theodicy. The fact that coercive intervention may suppress freedom does not yet explain every instance of suffering, especially the suffering of those unable to accept it meaningfully. The chapter should therefore be read as an interpretation of the Christian way of responding, not presented as a completed proof that everything that happens is justified. [I, “The Language of God”.]</w:t>
      </w:r>
    </w:p>
    <w:p>
      <w:pPr>
        <w:pStyle w:val="Heading2"/>
      </w:pPr>
      <w:r>
        <w:t>Repentance and ascetic practice</w:t>
      </w:r>
    </w:p>
    <w:p>
      <w:r>
        <w:rPr>
          <w:b w:val="0"/>
        </w:rPr>
        <w:t>In CTM, repentance concerns the grounds of perception and action. A person not only regrets a transgression but examines what understanding of themselves and the world made it possible. If they still regard another person as a means to their own reassurance, an isolated apology may leave the recurrent structure of the relationship unchanged.</w:t>
      </w:r>
    </w:p>
    <w:p>
      <w:r>
        <w:rPr>
          <w:b w:val="0"/>
        </w:rPr>
        <w:t>Ontological asceticism denotes the discipline of relinquishing unsustainable elements of one's own map. This is a difficult capacity: a mistaken construction may sustain dignity, belonging, and familiar security. Relinquishing it requires not only an argument but also readiness to live differently.</w:t>
      </w:r>
    </w:p>
    <w:p>
      <w:r>
        <w:rPr>
          <w:b w:val="0"/>
        </w:rPr>
        <w:t>Constant examination does not, however, mean chronic psychological destabilisation. Stable habits, skills, and forms of life can support a response. What matters is their openness to correction, not the compulsory destruction of stability in every act. Here the later method permits a more careful reading of Volume I's language of continuous rupture.</w:t>
      </w:r>
    </w:p>
    <w:p>
      <w:bookmarkStart w:id="11" w:name="section_11"/>
      <w:pPr>
        <w:pStyle w:val="Heading1"/>
      </w:pPr>
      <w:r>
        <w:t>11 The Church as Event and Historical Form</w:t>
      </w:r>
      <w:bookmarkEnd w:id="11"/>
    </w:p>
    <w:p>
      <w:pPr>
        <w:pStyle w:val="Heading2"/>
      </w:pPr>
      <w:r>
        <w:t>Communion rather than mutual confirmation</w:t>
      </w:r>
    </w:p>
    <w:p>
      <w:r>
        <w:t>Ontological communication begins where encountering the other can not only provide new information but also change the grounds of a person’s understanding. This requires recognising the interlocutor’s independent reality, which cannot be reduced to their place in one’s own picture of the world. The other’s response may disclose something that this map cannot accommodate.</w:t>
      </w:r>
    </w:p>
    <w:p>
      <w:r>
        <w:rPr>
          <w:b w:val="0"/>
        </w:rPr>
        <w:t>For CTM, this is essential in relation to both God and other human beings. Communion is not reducible to intensity of experience or agreement. Even conflict can become an event of encounter if its participants permit their grounds to be examined. Conversely, unanimity may result from the systematic exclusion of dissenters.</w:t>
      </w:r>
    </w:p>
    <w:p>
      <w:r>
        <w:rPr>
          <w:b w:val="0"/>
        </w:rPr>
        <w:t>The Church is considered as the space in which such communication should acquire a stable historical form. The theological meaning of the assembly and the Eucharist is connected with participation in the life of the Kingdom and the experience of communion not exhausted by the rules of the competitive world. Conversation does not replace the sacrament: the question concerns the human form of participation in God's action. [I, “The Starting Point: Once the Original”; “Essay”, chs. 6–7; II, “Eschatological Subjecthood”, §§9–10.]</w:t>
      </w:r>
    </w:p>
    <w:p>
      <w:pPr>
        <w:pStyle w:val="Heading2"/>
      </w:pPr>
      <w:r>
        <w:t>Why infrastructure is needed</w:t>
      </w:r>
    </w:p>
    <w:p>
      <w:r>
        <w:rPr>
          <w:b w:val="0"/>
        </w:rPr>
        <w:t>An individual event of encounter may prove impossible to transmit or reproduce. Historical form—worship, teaching, community, discipline, memory, and guidance—creates conditions in which a new person can enter the experience and develop a response of their own.</w:t>
      </w:r>
    </w:p>
    <w:p>
      <w:r>
        <w:rPr>
          <w:b w:val="0"/>
        </w:rPr>
        <w:t>The word “infrastructure” must therefore not imply that the Church is merely a service organisation. It isolates one aspect of the Church's historical existence: what makes the formation, support, verification, and reproduction of eschatological subjecthood possible. This is a functional perspective within a theological understanding, not an exhaustive dogmatic definition.</w:t>
      </w:r>
    </w:p>
    <w:p>
      <w:r>
        <w:rPr>
          <w:b w:val="0"/>
        </w:rPr>
        <w:t>An ecclesial form may fulfil its function, be in the process of acquiring it, compensate for the absence of a result, simulate that result, or produce the opposite effect. For example, guidance intended to teach discernment may consolidate an inability to decide without a guide. Such a diagnosis requires concrete evidence about practice; a critical tone alone is insufficient. [III, Part XIII; “In Search of Pneumatology”, §16.]</w:t>
      </w:r>
    </w:p>
    <w:p>
      <w:pPr>
        <w:pStyle w:val="Heading2"/>
      </w:pPr>
      <w:r>
        <w:t>Obedience and responsibility</w:t>
      </w:r>
    </w:p>
    <w:p>
      <w:r>
        <w:rPr>
          <w:b w:val="0"/>
        </w:rPr>
        <w:t>CTM makes it possible to put a rigorous question to obedience: does it enable a fuller personal response, or transfer authorship of the person's life to someone else? Outwardly similar actions may have different meanings. Voluntary acceptance of discipline can expand freedom; coercive suppression of objections can diminish it.</w:t>
      </w:r>
    </w:p>
    <w:p>
      <w:r>
        <w:rPr>
          <w:b w:val="0"/>
        </w:rPr>
        <w:t>The distinction cannot be established from the word “obedience” or the fact of restriction alone. One must determine whether verification, responsibility, the possibility of identifying a discrepancy, and recognition of the limits of the guide's authority are preserved. An institution cannot declare itself the ultimate addressee of readdressing and appropriate God's action.</w:t>
      </w:r>
    </w:p>
    <w:p>
      <w:r>
        <w:t>One of CTM's central ecclesiological questions can therefore be formulated as follows: does ecclesial life produce people able to answer God themselves? Posing the question in this way does not require the rejection of the institution. It requires the institution to demonstrate its fidelity to the purpose for which it exists.</w:t>
      </w:r>
    </w:p>
    <w:p>
      <w:bookmarkStart w:id="12" w:name="section_12"/>
      <w:pPr>
        <w:pStyle w:val="Heading1"/>
      </w:pPr>
      <w:r>
        <w:t>12 Eschatology and the Openness of History</w:t>
      </w:r>
      <w:bookmarkEnd w:id="12"/>
    </w:p>
    <w:p>
      <w:pPr>
        <w:pStyle w:val="Heading2"/>
      </w:pPr>
      <w:r>
        <w:t>The future as a ground of present action</w:t>
      </w:r>
    </w:p>
    <w:p>
      <w:r>
        <w:rPr>
          <w:b w:val="0"/>
        </w:rPr>
        <w:t>A person acts not only under the influence of the past. They relate the present to what does not yet exist: raising a child, founding an institution, keeping a promise. The future is present in action as a horizon, not as an already existing object.</w:t>
      </w:r>
    </w:p>
    <w:p>
      <w:r>
        <w:rPr>
          <w:b w:val="0"/>
        </w:rPr>
        <w:t>Eschatological subjecthood in CTM unfolds this structure in relation to ultimate fullness. It is not reducible to a forecast of final events. A person can assess the existing order from the perspective of what human existence is called to become. Historical success therefore does not automatically acquire the status of ultimate truth.</w:t>
      </w:r>
    </w:p>
    <w:p>
      <w:r>
        <w:rPr>
          <w:b w:val="0"/>
        </w:rPr>
        <w:t>The eschatological horizon performs a metaprojective function: it opens a space of possible models without dictating a single political or economic programme. Between the Ground and a concrete institution stand human interpretation, choice, resources, risk, and responsibility. Attributing unconditional divine authority to one's project means eliminating precisely these transitions. [II, “Eschatological Subjecthood”, §§1–8.]</w:t>
      </w:r>
    </w:p>
    <w:p>
      <w:pPr>
        <w:pStyle w:val="Heading2"/>
      </w:pPr>
      <w:r>
        <w:t>Openness and false completion</w:t>
      </w:r>
    </w:p>
    <w:p>
      <w:r>
        <w:rPr>
          <w:b w:val="0"/>
        </w:rPr>
        <w:t>Utopianism attempts to produce ultimate fullness by historical means. Apocalyptic paralysis, conversely, abandons action because it expects the end. Messianic narcissism assigns a person the role of indispensable saviour; eschatological inflation declares every event the final battle.</w:t>
      </w:r>
    </w:p>
    <w:p>
      <w:r>
        <w:rPr>
          <w:b w:val="0"/>
        </w:rPr>
        <w:t>The common defect of these modes is the loss of the distinction between the ultimate horizon and a finite historical form. CTM preserves the right to act decisively without declaring one's action final. Corrigibility is not the absence of conviction; the limitations of a project do not cancel the obligation to carry it out if it is justified.</w:t>
      </w:r>
    </w:p>
    <w:p>
      <w:r>
        <w:rPr>
          <w:b w:val="0"/>
        </w:rPr>
        <w:t>History tests more than the quality of execution. Reality's resistance may reveal an error in the model itself or in the ordering of values. Fidelity to the Ground therefore sometimes requires changing a project originally understood as an expression of that fidelity.</w:t>
      </w:r>
    </w:p>
    <w:p>
      <w:pPr>
        <w:pStyle w:val="Heading2"/>
      </w:pPr>
      <w:r>
        <w:t>The eschaton is not an endless discussion</w:t>
      </w:r>
    </w:p>
    <w:p>
      <w:r>
        <w:rPr>
          <w:b w:val="0"/>
        </w:rPr>
        <w:t>In historical action, openness means the possibility of correction and refusal to sacralise finite forms. Yet in CTM the final eschaton is not reducible to eternal incompleteness. It includes the resurrection of the body, the transfiguration of creation, the Kingdom of God, and the fullness of communion.</w:t>
      </w:r>
    </w:p>
    <w:p>
      <w:r>
        <w:rPr>
          <w:b w:val="0"/>
        </w:rPr>
        <w:t>The formula of eternal ontological communication means participation in God's life with the preservation of the person and the distinction between Creator and creature. It does not mean an endless exchange of information. What rises is not merely the capacity to think: the person enters fullness in the entirety of created being.</w:t>
      </w:r>
    </w:p>
    <w:p>
      <w:r>
        <w:rPr>
          <w:b w:val="0"/>
        </w:rPr>
        <w:t>An overview that ends everything with the single word “openness” therefore loses the positive content of Christian hope. CTM joins the historical incompleteness of human constructions with the promise of a fullness the human being cannot produce through their own powers. [II, “Eschatological Subjecthood”, §§11–15.]</w:t>
      </w:r>
    </w:p>
    <w:p>
      <w:bookmarkStart w:id="13" w:name="section_13"/>
      <w:pPr>
        <w:pStyle w:val="Heading1"/>
      </w:pPr>
      <w:r>
        <w:t>13 The Trinitarian Ground and Pneumatology</w:t>
      </w:r>
      <w:bookmarkEnd w:id="13"/>
    </w:p>
    <w:p>
      <w:pPr>
        <w:pStyle w:val="Heading2"/>
      </w:pPr>
      <w:r>
        <w:t>Why grace is not an additional module</w:t>
      </w:r>
    </w:p>
    <w:p>
      <w:r>
        <w:rPr>
          <w:b w:val="0"/>
        </w:rPr>
        <w:t>“In Search of Pneumatology” begins with a lacuna acknowledged by the author. The architecture of human response had already been developed, but the place of the Holy Spirit and grace had received no dedicated explanation. The solution is not to add a fourth element to DIS, OS, and subjecthood, but to read the entire architecture theologically.</w:t>
      </w:r>
    </w:p>
    <w:p>
      <w:r>
        <w:rPr>
          <w:b w:val="0"/>
        </w:rPr>
        <w:t>The argument here proceeds in one direction. The Trinity is not deduced from the fact that the anthropological model happens to have three dimensions. The project already proceeds from the Christian confession and examines whether independently introduced distinctions permit a more precise description of one aspect of the image of God.</w:t>
      </w:r>
    </w:p>
    <w:p>
      <w:r>
        <w:rPr>
          <w:b w:val="0"/>
        </w:rPr>
        <w:t>This is a fundamental limitation. An anthropological scheme does not prove a dogma; a dogmatic confession does not automatically make every proposed anthropological analogy true. The correspondence must demonstrate explanatory power and withstand negative verification. [III, “In Search of Pneumatology”, §§1–4.]</w:t>
      </w:r>
    </w:p>
    <w:p>
      <w:pPr>
        <w:pStyle w:val="Heading2"/>
      </w:pPr>
      <w:r>
        <w:t>Three correspondences and their asymmetry</w:t>
      </w:r>
    </w:p>
    <w:p>
      <w:r>
        <w:rPr>
          <w:b w:val="0"/>
        </w:rPr>
        <w:t>Subjecthood is correlated primarily with the paternal principle of beginning, authorship, and responsibility. The human being is not without beginning but can be a real derivative beginning of a response. This is not a degree of divinity; it distinguishes the received capacity from one's own performance of the act.</w:t>
      </w:r>
    </w:p>
    <w:p>
      <w:r>
        <w:rPr>
          <w:b w:val="0"/>
        </w:rPr>
        <w:t>OS is correlated primarily with the filial, logos-related principle of differentiation and operation. The world is not absolutely undifferentiated chaos, and a human response can possess determinate meaning. Yet the logos-related dimension is broader than OS: it concerns both the determinacy of Reality itself and the structure of its presence.</w:t>
      </w:r>
    </w:p>
    <w:p>
      <w:r>
        <w:rPr>
          <w:b w:val="0"/>
        </w:rPr>
        <w:t>DIS is partially correlated with the pneumatological dimension through the structure of presence. Truth must not only be named correctly but become living and significant for the person, affect them, and become capable of changing their way of life. Intense presence does not, however, certify truth: fear, an idol, or a false picture can also occupy consciousness completely.</w:t>
      </w:r>
    </w:p>
    <w:p>
      <w:r>
        <w:rPr>
          <w:b w:val="0"/>
        </w:rPr>
        <w:t>These correspondences are deliberately asymmetrical. The pneumatological dimension runs through the entire architecture: openness, the enlivening of the relationship to truth, healing, and the passage from knowledge to actual response. It is not confined to DIS. Likewise, subjecthood is not the Father's exclusive sphere of action, nor are operations the Son's exclusive sphere. The action of the Trinity is one. [Ibid., §§3–15.]</w:t>
      </w:r>
    </w:p>
    <w:p>
      <w:pPr>
        <w:pStyle w:val="Heading2"/>
      </w:pPr>
      <w:r>
        <w:t>Grace and the reality of human authorship</w:t>
      </w:r>
    </w:p>
    <w:p>
      <w:r>
        <w:rPr>
          <w:b w:val="0"/>
        </w:rPr>
        <w:t>The principal theological claim is that God's action should not be conceived as a competitor to human action. If grace heals human nature, the result is a fuller human capacity to respond, not the disappearance of the author of the response.</w:t>
      </w:r>
    </w:p>
    <w:p>
      <w:r>
        <w:rPr>
          <w:b w:val="0"/>
        </w:rPr>
        <w:t>This formulates a principle of compatibility, however, rather than an exhaustive theory of synergy. How do divine action and human causality relate in a concrete free act? Where are natural capacity, healing by grace, and personal acceptance distinguished? The author leaves these questions open. One may therefore neither declare grace absent from CTM nor consider the problem fully resolved.</w:t>
      </w:r>
    </w:p>
    <w:p>
      <w:r>
        <w:rPr>
          <w:b w:val="0"/>
        </w:rPr>
        <w:t>There is also a strict limit on applying the method. High competence cannot diagnose the action of the Holy Spirit. Initiative cannot establish that a particular beginning is a normative image of the Father. The capacity for logical operation cannot measure a person's relationship to the Son. Analysis reconstructs human architecture; theology interprets its possible correspondences; an assertion about a particular act of God does not follow automatically from either. [Ibid., §§17–19.]</w:t>
      </w:r>
    </w:p>
    <w:p>
      <w:bookmarkStart w:id="14" w:name="section_14"/>
      <w:pPr>
        <w:pStyle w:val="Heading1"/>
      </w:pPr>
      <w:r>
        <w:t>14 Modernisation and Public Responsibility</w:t>
      </w:r>
      <w:bookmarkEnd w:id="14"/>
    </w:p>
    <w:p>
      <w:pPr>
        <w:pStyle w:val="Heading2"/>
      </w:pPr>
      <w:r>
        <w:t>The First Ontology</w:t>
      </w:r>
    </w:p>
    <w:p>
      <w:r>
        <w:rPr>
          <w:b w:val="0"/>
        </w:rPr>
        <w:t>The First Ontology organises the human world around immediate relationships: family, neighbour, home, land, concrete obligation, a visible opponent, and personal danger. Within this radius it can be highly precise. A person knows to whom they are obligated, who broke a promise, and whom they must protect.</w:t>
      </w:r>
    </w:p>
    <w:p>
      <w:r>
        <w:rPr>
          <w:b w:val="0"/>
        </w:rPr>
        <w:t>It cannot simply be regarded as a primitive stage. It preserves what complex institutions often lose: the concreteness of another person and the immediate seriousness of responsibility. Yet it does not guarantee justice. Closeness can become a ground for excluding outsiders, and personal loyalty a justification for violence.</w:t>
      </w:r>
    </w:p>
    <w:p>
      <w:r>
        <w:rPr>
          <w:b w:val="0"/>
        </w:rPr>
        <w:t>Its limit becomes apparent where one must answer to strangers, those absent, or those not yet born. Demography, the budget, infrastructure, and ecological consequences are not given as a single person or object. They are distributed across time, space, and causal connections. [II, “Modernisation”; III, §§50–51.]</w:t>
      </w:r>
    </w:p>
    <w:p>
      <w:pPr>
        <w:pStyle w:val="Heading2"/>
      </w:pPr>
      <w:r>
        <w:t>The Second and Derivative Ontologies</w:t>
      </w:r>
    </w:p>
    <w:p>
      <w:r>
        <w:rPr>
          <w:b w:val="0"/>
        </w:rPr>
        <w:t>The Second Ontology makes distributed Reality accessible through public functions, roles, and institutions. A person learns to distinguish an office from its holder, personal property from public resources, sympathy from duty, and belonging from competence.</w:t>
      </w:r>
    </w:p>
    <w:p>
      <w:r>
        <w:rPr>
          <w:b w:val="0"/>
        </w:rPr>
        <w:t>It expands the radius of responsibility without having to destroy immediate human relationships. If an officeholder uses their powers as a family resource, the Second Ontology collapses into the First. If an institution sees only a function in a person and overlooks their unique situation, the reverse reduction occurs.</w:t>
      </w:r>
    </w:p>
    <w:p>
      <w:r>
        <w:rPr>
          <w:b w:val="0"/>
        </w:rPr>
        <w:t>Derivative Ontologies are specialised architectures of science, law, administration, professions, and technologies. “Derivative” here does not mean a defective lack of independence. Specialisation increases resolution. The problem arises when a local language claims to describe the human being exhaustively.</w:t>
      </w:r>
    </w:p>
    <w:p>
      <w:r>
        <w:rPr>
          <w:b w:val="0"/>
        </w:rPr>
        <w:t>Interontological translation is required, for example, when medical, legal, and family perspectives meet. It translates not only words but the conditions of actual meaning. The same word, “responsibility”, may denote different operations and requirements. Simply transferring a term without reconstructing those conditions produces aberration: an unfamiliar structure is interpreted through the nearest familiar category. [III, §§52–68.]</w:t>
      </w:r>
    </w:p>
    <w:p>
      <w:pPr>
        <w:pStyle w:val="Heading2"/>
      </w:pPr>
      <w:r>
        <w:t>Why new institutions do not yet amount to modernisation</w:t>
      </w:r>
    </w:p>
    <w:p>
      <w:r>
        <w:rPr>
          <w:b w:val="0"/>
        </w:rPr>
        <w:t>In CTM, modernisation arises through the encounter between increasingly complex social ontologies and the developing human capacity to appropriate them. If social complexity grows faster than subjectual capacity, institutions emerge that people use according to the logic of a different activity.</w:t>
      </w:r>
    </w:p>
    <w:p>
      <w:r>
        <w:rPr>
          <w:b w:val="0"/>
        </w:rPr>
        <w:t>One can create a court that remains a system of personal patronage; a university that produces educational certificates instead of independent thought; or digital administration that does not allow decisions to be corrected. In these cases, technological novelty does not demonstrate a change in the architecture of response.</w:t>
      </w:r>
    </w:p>
    <w:p>
      <w:r>
        <w:rPr>
          <w:b w:val="0"/>
        </w:rPr>
        <w:t>Volume III distinguishes three axes of modernisation. The horizontal concerns scale and transitions between the First, Second, and specialised ontologies. The vertical concerns the distribution of subjectual powers. The eschatological concerns openness to the ultimate Ground and refusal to regard a historically created form as final. The horizontal axis of this model is not identical with the horizontal vector in the methodology: these are different analytical distinctions.</w:t>
      </w:r>
    </w:p>
    <w:p>
      <w:r>
        <w:rPr>
          <w:b w:val="0"/>
        </w:rPr>
        <w:t>A strong criterion of modernisation is the capacity to reproduce people able to sustain increasing complexity without losing a response of their own. It supplements economic and technological indicators rather than rendering them unnecessary. Without resources, training, and infrastructure, the demand for subjecthood may remain a moral appeal. [II, “Modernisation”; III, §54.]</w:t>
      </w:r>
    </w:p>
    <w:p>
      <w:bookmarkStart w:id="15" w:name="section_15"/>
      <w:pPr>
        <w:pStyle w:val="Heading1"/>
      </w:pPr>
      <w:r>
        <w:t>15 The Common Power and the Cost of Action</w:t>
      </w:r>
      <w:bookmarkEnd w:id="15"/>
    </w:p>
    <w:p>
      <w:pPr>
        <w:pStyle w:val="Heading2"/>
      </w:pPr>
      <w:r>
        <w:t>When a plurality becomes a subject</w:t>
      </w:r>
    </w:p>
    <w:p>
      <w:r>
        <w:rPr>
          <w:b w:val="0"/>
        </w:rPr>
        <w:t>Shared emotion, identity, or mobilisation does not yet prove the existence of a collective subject. It is necessary to establish whether recognition, initiative, decision, action, consequences, and correction form a reproducible circuit.</w:t>
      </w:r>
    </w:p>
    <w:p>
      <w:r>
        <w:rPr>
          <w:b w:val="0"/>
        </w:rPr>
        <w:t>Subject topography shows where powers are located and who bears them. Subject topology shows how they are connected. An expert may understand everything but have no route to a decision; a leader may make decisions without receiving reliable information; an executor may bear the consequences without the right to stop a mistaken action. Each participant acts rationally at the local level, while the system as a whole cannot respond.</w:t>
      </w:r>
    </w:p>
    <w:p>
      <w:r>
        <w:rPr>
          <w:b w:val="0"/>
        </w:rPr>
        <w:t>Actual collective subjecthood is also tested by changes of generations and participants. If a response is possible only thanks to an exceptional leader or an extraordinary threat, it is real but has not yet acquired a stable institutional form. Living time transforms experience into a new capacity; dead time reproduces a form that gradually loses its connection with the task. [III, Parts VI and VIII.]</w:t>
      </w:r>
    </w:p>
    <w:p>
      <w:pPr>
        <w:pStyle w:val="Heading2"/>
      </w:pPr>
      <w:r>
        <w:t>The reality of the common does not justify every demand</w:t>
      </w:r>
    </w:p>
    <w:p>
      <w:r>
        <w:rPr>
          <w:b w:val="0"/>
        </w:rPr>
        <w:t>The state, public memory, and a people's future may be real objects. But their reality does not imply that anyone speaking in their name is entitled to demand any sacrifice.</w:t>
      </w:r>
    </w:p>
    <w:p>
      <w:r>
        <w:rPr>
          <w:b w:val="0"/>
        </w:rPr>
        <w:t>CTM separates several tests: whether the common exists; how it is represented; whether trust in its representative is justified; whether that representative has the right to make this particular demand; and how the responsibility of a concrete person is located. This separation prevents the transition from “this matters to everyone” to “you must pay any price”.</w:t>
      </w:r>
    </w:p>
    <w:p>
      <w:r>
        <w:rPr>
          <w:b w:val="0"/>
        </w:rPr>
        <w:t>Ontological creditworthiness is the justified expectation of a connection among promise, action, verification, and responsibility. Ontological solvency is the capacity actually to accept the cost of one's own authorship. These concepts differ: one can inspire trust through past results without being ready to pay for a new decision; one can be ready for sacrifice without having sufficient grounds for trusting the project.</w:t>
      </w:r>
    </w:p>
    <w:p>
      <w:r>
        <w:rPr>
          <w:b w:val="0"/>
        </w:rPr>
        <w:t>Ontological capital denotes an accumulated capacity for credible initiative and cooperation. It can be reproduced or spent. A past victory, the holiness of a founder, or a scientific achievement does not grant successors unlimited credit. Default by a representative of the common does not mean the disappearance of the common itself. [III, §§78–85.]</w:t>
      </w:r>
    </w:p>
    <w:p>
      <w:pPr>
        <w:pStyle w:val="Heading2"/>
      </w:pPr>
      <w:r>
        <w:t>Subjecthood and power</w:t>
      </w:r>
    </w:p>
    <w:p>
      <w:r>
        <w:rPr>
          <w:b w:val="0"/>
        </w:rPr>
        <w:t>Power can expand the space for a response of one's own but is not identical with subjecthood. A person may hold office while executing someone else's scenario. They may lack formal status while determining the permissible questions, instruments, and decisions.</w:t>
      </w:r>
    </w:p>
    <w:p>
      <w:r>
        <w:rPr>
          <w:b w:val="0"/>
        </w:rPr>
        <w:t>The question “who signed?” must therefore be supplemented: who shaped the options, who could object, who could stop the process, who receives the result, and who accepts the consequences? Cost makes visible what the system's self-description conceals.</w:t>
      </w:r>
    </w:p>
    <w:p>
      <w:r>
        <w:rPr>
          <w:b w:val="0"/>
        </w:rPr>
        <w:t>This analysis has normative force but does not replace examination of the circumstances. Unequal distribution of costs may result from exploitation, voluntary commitment, differences in resources, or a functional division of labour. Establishing which interpretation is correct is a separate task. The method requires a strong alternative, not an automatic accusatory conclusion.</w:t>
      </w:r>
    </w:p>
    <w:p>
      <w:bookmarkStart w:id="16" w:name="section_16"/>
      <w:pPr>
        <w:pStyle w:val="Heading1"/>
      </w:pPr>
      <w:r>
        <w:t>16 The Methodology of CTM Analysis</w:t>
      </w:r>
      <w:bookmarkEnd w:id="16"/>
    </w:p>
    <w:p>
      <w:pPr>
        <w:pStyle w:val="Heading2"/>
      </w:pPr>
      <w:r>
        <w:t>What is analysed</w:t>
      </w:r>
    </w:p>
    <w:p>
      <w:r>
        <w:rPr>
          <w:b w:val="0"/>
        </w:rPr>
        <w:t>CTM analysis is defined as the vector analysis of subjecthood. Its subject matter is change in the level, direction, bearer, and distribution of human response. It asks not only how effectively a system operates, but also what kind of person participation in it produces.</w:t>
      </w:r>
    </w:p>
    <w:p>
      <w:r>
        <w:rPr>
          <w:b w:val="0"/>
        </w:rPr>
        <w:t>The levels are distinguished as ontic, ontological, and eschatological. Direction may be ascending, horizontal, or descending. Dynamic mode, correspondence to the declared function, time, scale, cost, and the distribution of powers are considered separately. No overall assessment can be derived from a single parameter.</w:t>
      </w:r>
    </w:p>
    <w:p>
      <w:r>
        <w:rPr>
          <w:b w:val="0"/>
        </w:rPr>
        <w:t>For example, centralisation may temporarily restore disrupted connectedness and make action possible, then turn into a mechanism for continually appropriating initiative. Distributing decisions may broaden participation or leave the system with no one responsible for the whole. Form alone does not determine the vector. [III, Part IX; §§125–128.]</w:t>
      </w:r>
    </w:p>
    <w:p>
      <w:pPr>
        <w:pStyle w:val="Heading2"/>
      </w:pPr>
      <w:r>
        <w:t>Modes of correspondence</w:t>
      </w:r>
    </w:p>
    <w:p>
      <w:r>
        <w:rPr>
          <w:b w:val="0"/>
        </w:rPr>
        <w:t>An authentic mode means that the practice actually performs its declared function. A projective mode means that it is directed towards a result not yet attained; a declaration about the future is not presented as an existing achievement. A compensatory mode sustains the possibility of continuing to exist under a deficit without fully removing it. A simulative mode reproduces the signs that a function has been fulfilled without the corresponding result. An inversional mode produces an effect opposite to the declared purpose.</w:t>
      </w:r>
    </w:p>
    <w:p>
      <w:r>
        <w:rPr>
          <w:b w:val="0"/>
        </w:rPr>
        <w:t>These distinctions require context. Temporary compensation may be necessary and honestly acknowledged. Danger arises when it replaces correction and is presented as a solution to the problem. Likewise, not every failure is simulation: ordinary error, insufficient resources, and an unfinished project must be examined.</w:t>
      </w:r>
    </w:p>
    <w:p>
      <w:r>
        <w:rPr>
          <w:b w:val="0"/>
        </w:rPr>
        <w:t>An educational practice that develops independent thought performs its function authentically. A practice still creating the necessary conditions and openly acknowledging its limitations may be projective. A system that declares independence its aim but persistently punishes independent questioning gives grounds for investigating an inversional mode. These are teaching illustrations, not ready-made diagnoses of particular institutions.</w:t>
      </w:r>
    </w:p>
    <w:p>
      <w:pPr>
        <w:pStyle w:val="Heading2"/>
      </w:pPr>
      <w:r>
        <w:t>The sequence of inquiry</w:t>
      </w:r>
    </w:p>
    <w:p>
      <w:r>
        <w:rPr>
          <w:b w:val="0"/>
        </w:rPr>
        <w:t>Applicability is checked first: is the CTM apparatus needed here at all? For establishing a date or measuring a physical quantity it is usually excessive. The object is then bounded by period, participants, function, and scale. Separate episodes cannot be combined without evidence into a single entity called “a people” or “the Church”.</w:t>
      </w:r>
    </w:p>
    <w:p>
      <w:r>
        <w:rPr>
          <w:b w:val="0"/>
        </w:rPr>
        <w:t>Next, preceding reality, the participants' map, available operations, and the actual distribution of powers are reconstructed. Words, perception of the possible, and action are compared. Topography and topology are constructed; where sufficient evidence exists, the Scenario Book is reconstructed.</w:t>
      </w:r>
    </w:p>
    <w:p>
      <w:r>
        <w:rPr>
          <w:b w:val="0"/>
        </w:rPr>
        <w:t>The compatibility of contexts is then checked. Does the evidence concern the same object, time, level, subject position, and scale? Two true premises may fail to yield a true combined conclusion if they concern different configurations. The presence of a competent specialist does not prove the organisation's competence until the route from that specialist's knowledge to a decision has been demonstrated.</w:t>
      </w:r>
    </w:p>
    <w:p>
      <w:r>
        <w:rPr>
          <w:b w:val="0"/>
        </w:rPr>
        <w:t>Only then are the vector, mode of correspondence, and distribution of cost established. A strong alternative reconstruction and a negative test are mandatory: what observation would require the conclusion to change? Another researcher must be able to reconstruct the provenance of a claim and challenge a specific transition. [III, §§109–135.]</w:t>
      </w:r>
    </w:p>
    <w:p>
      <w:pPr>
        <w:pStyle w:val="Heading2"/>
      </w:pPr>
      <w:r>
        <w:t>What fail-closed blocking means</w:t>
      </w:r>
    </w:p>
    <w:p>
      <w:r>
        <w:rPr>
          <w:b w:val="0"/>
        </w:rPr>
        <w:t>The fail-closed principle prohibits treating a necessary connection as established merely because it is plausible. The absence of evidence for a connection does not prove its absence. An admissible outcome may consist in uncertainty, competing explanations, or acknowledgement that the method is inapplicable.</w:t>
      </w:r>
    </w:p>
    <w:p>
      <w:r>
        <w:rPr>
          <w:b w:val="0"/>
        </w:rPr>
        <w:t>This requirement applies to CTM itself. If its categories do not increase the inquiry's resolution, their application should cease. The strength of this position is the possibility of distinguishing a method from an elegant retrospective interpretation. But its actual productivity must appear in studies where alternatives can genuinely change the result.</w:t>
      </w:r>
    </w:p>
    <w:p>
      <w:r>
        <w:rPr>
          <w:b w:val="0"/>
        </w:rPr>
        <w:t>CTM design begins after diagnosis. It changes the architecture of what is possible: channels of information, rights of initiative, conditions for correction and stopping, and the connection between decisions and consequences. The appeal to “be responsible” is insufficient if the system's arrangement systematically makes a response impossible. [III, §§130–140.]</w:t>
      </w:r>
    </w:p>
    <w:p>
      <w:bookmarkStart w:id="17" w:name="section_17"/>
      <w:pPr>
        <w:pStyle w:val="Heading1"/>
      </w:pPr>
      <w:r>
        <w:t>17 Philosophical Examination of the Central Arguments</w:t>
      </w:r>
      <w:bookmarkEnd w:id="17"/>
    </w:p>
    <w:p>
      <w:pPr>
        <w:pStyle w:val="Heading2"/>
      </w:pPr>
      <w:r>
        <w:t>What the distinction between map and Reality establishes</w:t>
      </w:r>
    </w:p>
    <w:p>
      <w:r>
        <w:rPr>
          <w:b w:val="0"/>
        </w:rPr>
        <w:t>The argument for realism can be reconstructed as follows. Error is meaningful only if a distinction exists between a representation and what it represents. The possibility of correction presupposes constraints not arbitrarily established by the current map. Reality therefore cannot be identified without remainder with its existing description.</w:t>
      </w:r>
    </w:p>
    <w:p>
      <w:r>
        <w:rPr>
          <w:b w:val="0"/>
        </w:rPr>
        <w:t>This argument supports minimal realism and the requirement of correction. By itself, however, it does not yet prove that Reality as a whole has a personal ground or a single ultimate meaning. The transition from independent constraint to the Logos requires additional premises.</w:t>
      </w:r>
    </w:p>
    <w:p>
      <w:r>
        <w:t>One significant objection does not deny all reality. It asks: why cannot acknowledgement of the fallibility of maps coexist with limited, revisable criteria without a single maximal Ground? CTM's answer appeals to the regress of criteria and the danger of absolutising the partial. Completing the argument requires showing why this regress demands a specifically personal ground, and how human recourse to it avoids turning one's own image of God into another map protected against verification.</w:t>
      </w:r>
    </w:p>
    <w:p>
      <w:pPr>
        <w:pStyle w:val="Heading2"/>
      </w:pPr>
      <w:r>
        <w:t>Has human authorship been demonstrated</w:t>
      </w:r>
    </w:p>
    <w:p>
      <w:r>
        <w:rPr>
          <w:b w:val="0"/>
        </w:rPr>
        <w:t>Distinguishing the received character of existence from authorship of a response removes a false alternative: either a person creates themselves or does not act at all. This is a strong conceptual result. A response can be one's own without being an absolute first principle.</w:t>
      </w:r>
    </w:p>
    <w:p>
      <w:r>
        <w:rPr>
          <w:b w:val="0"/>
        </w:rPr>
        <w:t>Yet a proponent of exhaustive determinism will ask why the very process of accepting responsibility is not the result of preceding causes. Describing the subject as an author does not yet resolve the metaphysical problem of causality. Dependence on causes must also be distinguished from reducing the meaning of an action to those causes: explaining the origin of a belief is not equivalent to evaluating its truth.</w:t>
      </w:r>
    </w:p>
    <w:p>
      <w:r>
        <w:rPr>
          <w:b w:val="0"/>
        </w:rPr>
        <w:t>CTM supplies a language in which human response can be investigated without being erased from the description. The theological part proposes its ground in the image of God and grace. But an exhaustive theory of the compatibility of human causality, natural conditions, and divine action remains open. The author himself acknowledges this boundary in the pneumatology essay.</w:t>
      </w:r>
    </w:p>
    <w:p>
      <w:pPr>
        <w:pStyle w:val="Heading2"/>
      </w:pPr>
      <w:r>
        <w:t>Does communion require a single personal Ground</w:t>
      </w:r>
    </w:p>
    <w:p>
      <w:r>
        <w:rPr>
          <w:b w:val="0"/>
        </w:rPr>
        <w:t>Volume I's argument links the absence of a common ground with mutual colonisation: if each participant makes themselves the ultimate measure, the other becomes a means. In the Christian solution, the shared Ground limits each participant's claims and opens participation.</w:t>
      </w:r>
    </w:p>
    <w:p>
      <w:r>
        <w:rPr>
          <w:b w:val="0"/>
        </w:rPr>
        <w:t>The conditional part of the argument is convincing: if one participant appropriates the final right to define the other, mutual recognition is undermined. The stronger part—that every relationship lacking an explicitly accepted transcendent ground inevitably becomes colonisation—requires further demonstration. The possibility of mutual limitation, corrigible norms, and recognition of the other without complete metaphysical agreement must be considered.</w:t>
      </w:r>
    </w:p>
    <w:p>
      <w:r>
        <w:rPr>
          <w:b w:val="0"/>
        </w:rPr>
        <w:t>Furthermore, jointly confessing a common ground does not guarantee renunciation of domination. Later CTM itself offers an answer to this objection: the operative architecture must be examined instead of being satisfied with a declaration. The methodology thereby refines the social application of the early metaphysical thesis.</w:t>
      </w:r>
    </w:p>
    <w:p>
      <w:pPr>
        <w:pStyle w:val="Heading2"/>
      </w:pPr>
      <w:r>
        <w:t>The uniqueness of the Christian answer</w:t>
      </w:r>
    </w:p>
    <w:p>
      <w:r>
        <w:rPr>
          <w:b w:val="0"/>
        </w:rPr>
        <w:t>Philosophical analysis can show the limit of self-grounding, raise the question of the source of normativity, and investigate the conditions for preserving personhood. Christian confession answers these questions through the Trinity and the event of Christ. But the existence of a coherent Christian answer does not automatically prove the impossibility of every alternative.</w:t>
      </w:r>
    </w:p>
    <w:p>
      <w:r>
        <w:rPr>
          <w:b w:val="0"/>
        </w:rPr>
        <w:t>Proving uniqueness requires explicitly establishing criteria, reconstructing the strongest alternatives, and showing at what necessary point each encounters an irremediable failure. Volume I declares a narrowing of possible addressees to one, but a sequence of assertions does not replace a complete comparative argument.</w:t>
      </w:r>
    </w:p>
    <w:p>
      <w:r>
        <w:rPr>
          <w:b w:val="0"/>
        </w:rPr>
        <w:t>This does not imply that philosophy cannot contribute to justifying the Christian answer or that the choice is arbitrary. The precise conclusion is narrower: in the transitions examined, philosophical arguments, existential acceptance, and the content of Revelation must be distinguished. Declaring them unrelated in advance is as careless as declaring them mutually deducible.</w:t>
      </w:r>
    </w:p>
    <w:p>
      <w:bookmarkStart w:id="18" w:name="section_18"/>
      <w:pPr>
        <w:pStyle w:val="Heading1"/>
      </w:pPr>
      <w:r>
        <w:t>18 Theological Limits and the Development of Concepts</w:t>
      </w:r>
      <w:bookmarkEnd w:id="18"/>
    </w:p>
    <w:p>
      <w:pPr>
        <w:pStyle w:val="Heading2"/>
      </w:pPr>
      <w:r>
        <w:t>How to read differences between the volumes</w:t>
      </w:r>
    </w:p>
    <w:p>
      <w:r>
        <w:rPr>
          <w:b w:val="0"/>
        </w:rPr>
        <w:t>CTM is a developing corpus. In Volume I, subjecthood often means a truthful position, and ontic action is sharply opposed to ontological action. Volume II introduces necessary ontic subjecthood and distinguishes the strength of a historical project from the quality of its ground. Volume III explicitly prohibits inferring moral truth from the mere ability to initiate.</w:t>
      </w:r>
    </w:p>
    <w:p>
      <w:r>
        <w:rPr>
          <w:b w:val="0"/>
        </w:rPr>
        <w:t>These differences cannot simply be erased in an exposition. A harmonising reconstruction can be proposed: the early text describes the ultimate norm of subjecthood, while the later texts describe its analytically distinguishable capacities and forms. But this is an interpretation and should be identified as such. It does not abolish the literal tension between the formulations.</w:t>
      </w:r>
    </w:p>
    <w:p>
      <w:r>
        <w:rPr>
          <w:b w:val="0"/>
        </w:rPr>
        <w:t>Similarly, autonomy sometimes means the practical capacity to maintain one's own position and sometimes the claim to be the source of one's own being. The former is necessary for response; the latter is criticised. When both meanings are designated by one word without a transition, the argument begins to look like a demand to construct and abolish the same thing simultaneously. An accessible analysis must continually clarify what is being asserted.</w:t>
      </w:r>
    </w:p>
    <w:p>
      <w:pPr>
        <w:pStyle w:val="Heading2"/>
      </w:pPr>
      <w:r>
        <w:t>The ontic entropy and stability</w:t>
      </w:r>
    </w:p>
    <w:p>
      <w:r>
        <w:rPr>
          <w:b w:val="0"/>
        </w:rPr>
        <w:t>The complete Russian Volume I does indeed contain a formula about ontic action reproducing entropy. It cannot be attributed solely to a reviewer's error. At the same time, Volumes II–III provide means of limiting its application: ontic embodiment is necessary, institutions can preserve memory and correction, and stabilisation is not identical with freezing.</w:t>
      </w:r>
    </w:p>
    <w:p>
      <w:r>
        <w:rPr>
          <w:b w:val="0"/>
        </w:rPr>
        <w:t>In social and philosophical analysis, “entropy” denotes the loss of connection, meaning, original purpose, and the capacity for renewal. Without specifically defining measurable quantities, it is not physical proof of the inevitable degradation of all human systems. Thermodynamic vocabulary cannot by itself establish a moral or historical assessment.</w:t>
      </w:r>
    </w:p>
    <w:p>
      <w:r>
        <w:rPr>
          <w:b w:val="0"/>
        </w:rPr>
        <w:t>A strong CTM proposition is that a successful form can begin reproducing itself instead of fulfilling its purpose. It does not follow that every repetition is harmful. Care, teaching, the rhythm of worship, and reliable procedures may sustain subjecthood precisely through stability. The problem begins when the possibility of verification and renewal is closed.</w:t>
      </w:r>
    </w:p>
    <w:p>
      <w:pPr>
        <w:pStyle w:val="Heading2"/>
      </w:pPr>
      <w:r>
        <w:t>The limits of scientific and cultural illustrations</w:t>
      </w:r>
    </w:p>
    <w:p>
      <w:r>
        <w:rPr>
          <w:b w:val="0"/>
        </w:rPr>
        <w:t>Volume I contains an information-filtering table with a final coefficient of 10⁻¹⁷. Its philosophical motivation is clear: the human map is selective. But a numerical claim about a fraction of all objective Reality requires a defined denominator, units of measurement, and compatible conditions of calculation at every stage. Multiplying heterogeneous estimates does not provide these. The number should therefore not be used as a demonstrated measure of human limitation or as scientific confirmation of the doctrine of the Fall.</w:t>
      </w:r>
    </w:p>
    <w:p>
      <w:r>
        <w:rPr>
          <w:b w:val="0"/>
        </w:rPr>
        <w:t>Similar caution is needed regarding cultural generalisations in “The Language of God”, including the categorical claim that depression is impossible in a highland social environment. Observing a particular way of experiencing tragedy does not establish the absence of a condition across an entire population or prove its exclusively cultural origin. An accessible exposition can preserve the philosophical question about the capacity to respond to calamity without converting the author's generalisation into an established fact.</w:t>
      </w:r>
    </w:p>
    <w:p>
      <w:r>
        <w:rPr>
          <w:b w:val="0"/>
        </w:rPr>
        <w:t>These observations do not refute CTM's architecture. They separate its arguments from illustrations requiring independent examination. The project's own principle—not to permit an undemonstrated transition—makes precisely this distinction necessary.</w:t>
      </w:r>
    </w:p>
    <w:p>
      <w:pPr>
        <w:pStyle w:val="Heading2"/>
      </w:pPr>
      <w:r>
        <w:t>Kenosis and the protection of the person</w:t>
      </w:r>
    </w:p>
    <w:p>
      <w:r>
        <w:rPr>
          <w:b w:val="0"/>
        </w:rPr>
        <w:t>The theological demand for self-giving is easily distorted if used to justify another person's power. It is therefore insufficient to say that authentic readdressing preserves the person: one must show how this is distinguished in ecclesial practice. The right to identify a discrepancy, the limits of a guide's competence, and the connection between decision and responsibility become tests of the declared purpose rather than external concessions.</w:t>
      </w:r>
    </w:p>
    <w:p>
      <w:r>
        <w:rPr>
          <w:b w:val="0"/>
        </w:rPr>
        <w:t>At the same time, life in grace cannot be reduced to a set of observable administrative indicators. A person may remain deeply faithful in conditions of weakness, illness, and the absence of public achievement. Functional examination concerns historical architecture and its accessible fruits; it does not become a measure of holiness.</w:t>
      </w:r>
    </w:p>
    <w:p>
      <w:pPr>
        <w:pStyle w:val="Heading2"/>
      </w:pPr>
      <w:r>
        <w:t>Testing the Trinitarian analogy</w:t>
      </w:r>
    </w:p>
    <w:p>
      <w:r>
        <w:rPr>
          <w:b w:val="0"/>
        </w:rPr>
        <w:t>The pneumatology essay proposes its own negative test: the correspondence must not rest solely on verbal similarity; exchanging the elements should reduce explanatory power; original definitions must not be changed to suit the scheme; and the Persons of the Trinity must not be turned into functions.</w:t>
      </w:r>
    </w:p>
    <w:p>
      <w:r>
        <w:rPr>
          <w:b w:val="0"/>
        </w:rPr>
        <w:t>These are serious constraints, but the internal coherence of an analogy does not yet demonstrate its uniqueness. It is necessary to determine what it explains beyond the original anthropological description and why an alternative theological correlation would explain less well. The deliberate asymmetry of DIS, OS, and subjecthood makes the construction more substantial than a simple matching of triads. A definitive assessment requires dedicated theological discussion.</w:t>
      </w:r>
    </w:p>
    <w:p>
      <w:bookmarkStart w:id="19" w:name="section_19"/>
      <w:pPr>
        <w:pStyle w:val="Heading1"/>
      </w:pPr>
      <w:r>
        <w:t>19 The Project's Significance and a Programme of Verification</w:t>
      </w:r>
      <w:bookmarkEnd w:id="19"/>
    </w:p>
    <w:p>
      <w:pPr>
        <w:pStyle w:val="Heading2"/>
      </w:pPr>
      <w:r>
        <w:t>What constitutes its distinctive contribution</w:t>
      </w:r>
    </w:p>
    <w:p>
      <w:r>
        <w:rPr>
          <w:b w:val="0"/>
        </w:rPr>
        <w:t>CTM connects an anthropology of response, Christian eschatology, and the analysis of operative institutions. Its substance lies in this connection, not in the number of new terms. Concepts become useful when they reveal a specific gap: knowledge fails to reach a decision, initiative is separated from cost, ecclesial guidance reproduces dependence, or historical success is mistaken for ultimate truth.</w:t>
      </w:r>
    </w:p>
    <w:p>
      <w:r>
        <w:rPr>
          <w:b w:val="0"/>
        </w:rPr>
        <w:t>Particularly productive distinctions include received existence and authorship, map and Reality, competence and projectuality, declared and produced effects, and creditworthiness and solvency. They allow disputes to be formulated more precisely and some claims to become testable.</w:t>
      </w:r>
    </w:p>
    <w:p>
      <w:r>
        <w:rPr>
          <w:b w:val="0"/>
        </w:rPr>
        <w:t>Theologically significant is the transition from a general affirmation of human dignity to the question of a capacity for response that is one's own, irreplaceable, and eschatologically open. Christ is not added to a completed philosophy as religious decoration: incarnation, Cross, and resurrection determine the ultimate content of the human vocation. At the same time, the methodology can investigate particular human architectures without requiring the researcher to accept the entire theology beforehand.</w:t>
      </w:r>
    </w:p>
    <w:p>
      <w:pPr>
        <w:pStyle w:val="Heading2"/>
      </w:pPr>
      <w:r>
        <w:t>How to compare CTM with other philosophies</w:t>
      </w:r>
    </w:p>
    <w:p>
      <w:r>
        <w:rPr>
          <w:b w:val="0"/>
        </w:rPr>
        <w:t>Comparison should begin with questions: how do givenness and freedom relate; how does the other become accessible without being reduced to an object; what makes a norm binding; how do distributed collectives act? This identifies real points of conversation with phenomenology, the philosophy of dialogue, theories of action, and social ontology.</w:t>
      </w:r>
    </w:p>
    <w:p>
      <w:r>
        <w:rPr>
          <w:b w:val="0"/>
        </w:rPr>
        <w:t>Yet sharing the words “being”, “decision”, or “dialogue” does not establish the origin of an argument, still less the superiority of one system over another. To claim that CTM overcomes a limitation of Heidegger, Buber, Barth, or another tradition requires symmetrical reconstruction of the relevant texts. Here such comparisons constitute a programme for a separate inquiry, not an established result.</w:t>
      </w:r>
    </w:p>
    <w:p>
      <w:r>
        <w:rPr>
          <w:b w:val="0"/>
        </w:rPr>
        <w:t>The same applies to biography. An authorial remark connects the emergence of the term “ontological tension” with the experience of 1993. This is important evidence about the genesis of an intuition, but neither a proof of universality nor an obstacle to it. Universality is tested by whether the argument survives transfer to other situations, including everyday life, care, education, and gradual institutional development.</w:t>
      </w:r>
    </w:p>
    <w:p>
      <w:pPr>
        <w:pStyle w:val="Heading2"/>
      </w:pPr>
      <w:r>
        <w:t>What studies would actually test the method</w:t>
      </w:r>
    </w:p>
    <w:p>
      <w:r>
        <w:rPr>
          <w:b w:val="0"/>
        </w:rPr>
        <w:t>The first test is independent analysis of one bounded case by several researchers. They should establish the evidence corpus, period, and function in advance, then compare reconstructions of the map, operations, powers, and vector. What matters is not only the proportion of agreement but also the possibility of locating the precise reason for disagreement.</w:t>
      </w:r>
    </w:p>
    <w:p>
      <w:r>
        <w:rPr>
          <w:b w:val="0"/>
        </w:rPr>
        <w:t>The second test is comparison with a simpler explanation. If a failure is fully explained by a shortage of resources, CTM must show what analysis of subjectual architecture adds. If it adds nothing substantial, a more elaborate vocabulary is unjustified.</w:t>
      </w:r>
    </w:p>
    <w:p>
      <w:r>
        <w:rPr>
          <w:b w:val="0"/>
        </w:rPr>
        <w:t>The third test is prospective research. Before the next event, researchers should formulate the expected signs of response and the conditions that would require revision of the hypothesis. This helps distinguish explanatory power from an ability to describe any outcome retrospectively.</w:t>
      </w:r>
    </w:p>
    <w:p>
      <w:r>
        <w:rPr>
          <w:b w:val="0"/>
        </w:rPr>
        <w:t>The fourth test is application to ecclesial or educational practice involving a real change in its organisation. For example, opening a channel for correction should be assessed not by the existence of a document, but by whether decisions change after significant information arrives. The historical result must not be presented as a measurement of God's action.</w:t>
      </w:r>
    </w:p>
    <w:p>
      <w:pPr>
        <w:pStyle w:val="Heading2"/>
      </w:pPr>
      <w:r>
        <w:t>The central conclusion</w:t>
      </w:r>
    </w:p>
    <w:p>
      <w:r>
        <w:t>CTM’s central thesis can be reconstructed as follows: the human being receives being but is called to respond in their own right; a response of one's own requires distinguishing Reality from one's map, accepting consequences, and remaining open to correction; Christianity discloses the ultimate ground of this response in the Triune God and its purpose in eternal communion; historical forms are to be assessed by whether they make such a response possible.</w:t>
      </w:r>
    </w:p>
    <w:p>
      <w:r>
        <w:rPr>
          <w:b w:val="0"/>
        </w:rPr>
        <w:t>This is a coherent and substantial research position. Its strength does not require declaring every metaphysical transition already proven, the theory of synergy complete, or the entire method empirically confirmed. On the contrary, CTM's own requirement to preserve Reality's right to change the map provides an appropriate standard for further work on the project itself.</w:t>
      </w:r>
    </w:p>
    <w:p>
      <w:bookmarkStart w:id="20" w:name="section_20"/>
      <w:pPr>
        <w:pStyle w:val="Heading1"/>
      </w:pPr>
      <w:r>
        <w:t>Brief Glossary</w:t>
      </w:r>
      <w:bookmarkEnd w:id="20"/>
    </w:p>
    <w:p>
      <w:pPr>
        <w:spacing w:after="120"/>
      </w:pPr>
      <w:r>
        <w:rPr>
          <w:b w:val="0"/>
        </w:rPr>
        <w:t>This glossary is intended to assist the reading of this analysis. It does not replace the author's register and preserves the principal distinctions of the later volumes.</w:t>
      </w:r>
    </w:p>
    <w:p>
      <w:pPr>
        <w:spacing w:after="120"/>
      </w:pPr>
      <w:r>
        <w:rPr>
          <w:b w:val="0"/>
        </w:rPr>
      </w:r>
      <w:r>
        <w:rPr>
          <w:b/>
        </w:rPr>
        <w:t>Reality.</w:t>
      </w:r>
      <w:r>
        <w:rPr>
          <w:b w:val="0"/>
        </w:rPr>
        <w:t xml:space="preserve"> The reality preceding human response, not exhausted by its existing map. The researcher's access to it is also mediated and requires verification.</w:t>
      </w:r>
    </w:p>
    <w:p>
      <w:pPr>
        <w:spacing w:after="120"/>
      </w:pPr>
      <w:r>
        <w:rPr>
          <w:b w:val="0"/>
        </w:rPr>
      </w:r>
      <w:r>
        <w:rPr>
          <w:b/>
        </w:rPr>
        <w:t>Map of Reality.</w:t>
      </w:r>
      <w:r>
        <w:rPr>
          <w:b w:val="0"/>
        </w:rPr>
        <w:t xml:space="preserve"> An acquired configuration of distinctions, connections, significances, and possibilities. Necessary for action but not identical with its object.</w:t>
      </w:r>
    </w:p>
    <w:p>
      <w:pPr>
        <w:spacing w:after="120"/>
      </w:pPr>
      <w:r>
        <w:rPr>
          <w:b w:val="0"/>
        </w:rPr>
      </w:r>
      <w:r>
        <w:rPr>
          <w:b/>
        </w:rPr>
        <w:t>Metaphysics.</w:t>
      </w:r>
      <w:r>
        <w:rPr>
          <w:b w:val="0"/>
        </w:rPr>
        <w:t xml:space="preserve"> Presuppositions concerning reality, meaning, and the ultimate ground. Applied metaphysics investigates how they organise life and withstand its testing.</w:t>
      </w:r>
    </w:p>
    <w:p>
      <w:pPr>
        <w:spacing w:after="120"/>
      </w:pPr>
      <w:r>
        <w:rPr>
          <w:b w:val="0"/>
        </w:rPr>
      </w:r>
      <w:r>
        <w:rPr>
          <w:b/>
        </w:rPr>
        <w:t>Operative ontology.</w:t>
      </w:r>
      <w:r>
        <w:rPr>
          <w:b w:val="0"/>
        </w:rPr>
        <w:t xml:space="preserve"> The architecture of reality accessible to the subject, within which something appears as existing, significant, possible, and requiring a response.</w:t>
      </w:r>
    </w:p>
    <w:p>
      <w:pPr>
        <w:spacing w:after="120"/>
      </w:pPr>
      <w:r>
        <w:rPr>
          <w:b w:val="0"/>
        </w:rPr>
      </w:r>
      <w:r>
        <w:rPr>
          <w:b/>
        </w:rPr>
        <w:t>DIS.</w:t>
      </w:r>
      <w:r>
        <w:rPr>
          <w:b w:val="0"/>
        </w:rPr>
        <w:t xml:space="preserve"> Dynamic Iconic Space—the way Reality is present to the subject, including content, connections, significance, scale, and temporal horizon.</w:t>
      </w:r>
    </w:p>
    <w:p>
      <w:pPr>
        <w:spacing w:after="120"/>
      </w:pPr>
      <w:r>
        <w:rPr>
          <w:b w:val="0"/>
        </w:rPr>
      </w:r>
      <w:r>
        <w:rPr>
          <w:b/>
        </w:rPr>
        <w:t>OS.</w:t>
      </w:r>
      <w:r>
        <w:rPr>
          <w:b w:val="0"/>
        </w:rPr>
        <w:t xml:space="preserve"> Operating System—available ways of perceiving and interpreting, planning and executing, reflecting and correcting.</w:t>
      </w:r>
    </w:p>
    <w:p>
      <w:pPr>
        <w:spacing w:after="120"/>
      </w:pPr>
      <w:r>
        <w:rPr>
          <w:b w:val="0"/>
        </w:rPr>
      </w:r>
      <w:r>
        <w:rPr>
          <w:b/>
        </w:rPr>
        <w:t>Subjecthood.</w:t>
      </w:r>
      <w:r>
        <w:rPr>
          <w:b w:val="0"/>
        </w:rPr>
        <w:t xml:space="preserve"> The capacity to be the actual author of a response and connect it with consequences and correction. In early formulations, the term additionally carries a requirement for the truth of the position.</w:t>
      </w:r>
    </w:p>
    <w:p>
      <w:pPr>
        <w:spacing w:after="120"/>
      </w:pPr>
      <w:r>
        <w:rPr>
          <w:b w:val="0"/>
        </w:rPr>
      </w:r>
      <w:r>
        <w:rPr>
          <w:b/>
        </w:rPr>
        <w:t>The derivative character of existence.</w:t>
      </w:r>
      <w:r>
        <w:rPr>
          <w:b w:val="0"/>
        </w:rPr>
        <w:t xml:space="preserve"> The received character of being and initial conditions. It is not abolished by freedom and is not equivalent to the absence of authorship.</w:t>
      </w:r>
    </w:p>
    <w:p>
      <w:pPr>
        <w:spacing w:after="120"/>
      </w:pPr>
      <w:r>
        <w:rPr>
          <w:b w:val="0"/>
        </w:rPr>
      </w:r>
      <w:r>
        <w:rPr>
          <w:b/>
        </w:rPr>
        <w:t>Derivative mode.</w:t>
      </w:r>
      <w:r>
        <w:rPr>
          <w:b w:val="0"/>
        </w:rPr>
        <w:t xml:space="preserve"> In its critical usage, reproduction of others' determinations without a responsible relationship of one's own. It must not be confused with creatureliness or the functional derivation of professional ontologies.</w:t>
      </w:r>
    </w:p>
    <w:p>
      <w:pPr>
        <w:spacing w:after="120"/>
      </w:pPr>
      <w:r>
        <w:rPr>
          <w:b w:val="0"/>
        </w:rPr>
      </w:r>
      <w:r>
        <w:rPr>
          <w:b/>
        </w:rPr>
        <w:t>Foundation.</w:t>
      </w:r>
      <w:r>
        <w:rPr>
          <w:b w:val="0"/>
        </w:rPr>
        <w:t xml:space="preserve"> Establishing a ground and one's own position of response. Volume I distinguishes the initial departure from the derivative mode from the actualisation of a subject position.</w:t>
      </w:r>
    </w:p>
    <w:p>
      <w:pPr>
        <w:spacing w:after="120"/>
      </w:pPr>
      <w:r>
        <w:rPr>
          <w:b w:val="0"/>
        </w:rPr>
      </w:r>
      <w:r>
        <w:rPr>
          <w:b/>
        </w:rPr>
        <w:t>Ontological autonomy.</w:t>
      </w:r>
      <w:r>
        <w:rPr>
          <w:b w:val="0"/>
        </w:rPr>
        <w:t xml:space="preserve"> Contextually different meanings: independence and projectuality, or a claim to self-grounding. The first should not automatically be identified with the second.</w:t>
      </w:r>
    </w:p>
    <w:p>
      <w:pPr>
        <w:spacing w:after="120"/>
      </w:pPr>
      <w:r>
        <w:rPr>
          <w:b w:val="0"/>
        </w:rPr>
      </w:r>
      <w:r>
        <w:rPr>
          <w:b/>
        </w:rPr>
        <w:t>Ontological tension.</w:t>
      </w:r>
      <w:r>
        <w:rPr>
          <w:b w:val="0"/>
        </w:rPr>
        <w:t xml:space="preserve"> Sustained discrepancy between Reality and an operative model or its grounds. Not identical with psychological stress; in the early text it is linked to the testing of autonomy at its limit.</w:t>
      </w:r>
    </w:p>
    <w:p>
      <w:pPr>
        <w:spacing w:after="120"/>
      </w:pPr>
      <w:r>
        <w:rPr>
          <w:b w:val="0"/>
        </w:rPr>
      </w:r>
      <w:r>
        <w:rPr>
          <w:b/>
        </w:rPr>
        <w:t>Discrepancy information.</w:t>
      </w:r>
      <w:r>
        <w:rPr>
          <w:b w:val="0"/>
        </w:rPr>
        <w:t xml:space="preserve"> Information revealing the inadequacy of a map, instrument, model, or architecture of response. A possible preliminary signal still requires interpretation and verification.</w:t>
      </w:r>
    </w:p>
    <w:p>
      <w:pPr>
        <w:spacing w:after="120"/>
      </w:pPr>
      <w:r>
        <w:rPr>
          <w:b w:val="0"/>
        </w:rPr>
      </w:r>
      <w:r>
        <w:rPr>
          <w:b/>
        </w:rPr>
        <w:t>Ontological readdressing.</w:t>
      </w:r>
      <w:r>
        <w:rPr>
          <w:b w:val="0"/>
        </w:rPr>
        <w:t xml:space="preserve"> Ceasing to treat one's own self or another derivative ground as the ultimate source and measure of life while preserving one's own response and responsibility.</w:t>
      </w:r>
    </w:p>
    <w:p>
      <w:pPr>
        <w:spacing w:after="120"/>
      </w:pPr>
      <w:r>
        <w:rPr>
          <w:b w:val="0"/>
        </w:rPr>
      </w:r>
      <w:r>
        <w:rPr>
          <w:b/>
        </w:rPr>
        <w:t>Methodological monotheism.</w:t>
      </w:r>
      <w:r>
        <w:rPr>
          <w:b w:val="0"/>
        </w:rPr>
        <w:t xml:space="preserve"> The requirement to relate partial grounds to a single maximal Ground. A structural principle of orientation that does not replace a full theological confession.</w:t>
      </w:r>
    </w:p>
    <w:p>
      <w:pPr>
        <w:spacing w:after="120"/>
      </w:pPr>
      <w:r>
        <w:rPr>
          <w:b w:val="0"/>
        </w:rPr>
      </w:r>
      <w:r>
        <w:rPr>
          <w:b/>
        </w:rPr>
        <w:t>Logocentricity.</w:t>
      </w:r>
      <w:r>
        <w:rPr>
          <w:b w:val="0"/>
        </w:rPr>
        <w:t xml:space="preserve"> Orientation of life towards the Logos as Ground, limiting the absolutisation of one's own project and permitting verification.</w:t>
      </w:r>
    </w:p>
    <w:p>
      <w:pPr>
        <w:spacing w:after="120"/>
      </w:pPr>
      <w:r>
        <w:rPr>
          <w:b w:val="0"/>
        </w:rPr>
      </w:r>
      <w:r>
        <w:rPr>
          <w:b/>
        </w:rPr>
        <w:t>Logofugality.</w:t>
      </w:r>
      <w:r>
        <w:rPr>
          <w:b w:val="0"/>
        </w:rPr>
        <w:t xml:space="preserve"> An orientation in which the derivative occupies the place of the ultimate ground, while connection with truth and the possibility of verification are subordinated to the construction's self-preservation.</w:t>
      </w:r>
    </w:p>
    <w:p>
      <w:pPr>
        <w:spacing w:after="120"/>
      </w:pPr>
      <w:r>
        <w:rPr>
          <w:b w:val="0"/>
        </w:rPr>
      </w:r>
      <w:r>
        <w:rPr>
          <w:b/>
        </w:rPr>
        <w:t>Quality of ontology.</w:t>
      </w:r>
      <w:r>
        <w:rPr>
          <w:b w:val="0"/>
        </w:rPr>
        <w:t xml:space="preserve"> A multidimensional characteristic of DIS, OS, and subjecthood, considered together with groundedness and the ordering of values. Not reducible to success alone or a single test in crisis.</w:t>
      </w:r>
    </w:p>
    <w:p>
      <w:pPr>
        <w:spacing w:after="120"/>
      </w:pPr>
      <w:r>
        <w:rPr>
          <w:b w:val="0"/>
        </w:rPr>
      </w:r>
      <w:r>
        <w:rPr>
          <w:b/>
        </w:rPr>
        <w:t>Ontological competence.</w:t>
      </w:r>
      <w:r>
        <w:rPr>
          <w:b w:val="0"/>
        </w:rPr>
        <w:t xml:space="preserve"> The capacity to distinguish grounds, scales, and limits, work with one's own map, withstand discrepancy, and give a response. Its transformation into a historical project requires additional capacities and conditions.</w:t>
      </w:r>
    </w:p>
    <w:p>
      <w:pPr>
        <w:spacing w:after="120"/>
      </w:pPr>
      <w:r>
        <w:rPr>
          <w:b w:val="0"/>
        </w:rPr>
      </w:r>
      <w:r>
        <w:rPr>
          <w:b/>
        </w:rPr>
        <w:t>Ontological asceticism.</w:t>
      </w:r>
      <w:r>
        <w:rPr>
          <w:b w:val="0"/>
        </w:rPr>
        <w:t xml:space="preserve"> Disciplined readiness to relinquish unsustainable elements of one's own ontology.</w:t>
      </w:r>
    </w:p>
    <w:p>
      <w:pPr>
        <w:spacing w:after="120"/>
      </w:pPr>
      <w:r>
        <w:rPr>
          <w:b w:val="0"/>
        </w:rPr>
      </w:r>
      <w:r>
        <w:rPr>
          <w:b/>
        </w:rPr>
        <w:t>Ontological etherification.</w:t>
      </w:r>
      <w:r>
        <w:rPr>
          <w:b w:val="0"/>
        </w:rPr>
        <w:t xml:space="preserve"> In Volume I, a transition to a more capacious horizon capable of sustaining greater complexity. It does not mean withdrawal from concrete reality.</w:t>
      </w:r>
    </w:p>
    <w:p>
      <w:pPr>
        <w:spacing w:after="120"/>
      </w:pPr>
      <w:r>
        <w:rPr>
          <w:b w:val="0"/>
        </w:rPr>
      </w:r>
      <w:r>
        <w:rPr>
          <w:b/>
        </w:rPr>
        <w:t>Scenario Book.</w:t>
      </w:r>
      <w:r>
        <w:rPr>
          <w:b w:val="0"/>
        </w:rPr>
        <w:t xml:space="preserve"> Stable rules for the situational linkage of DIS, OS, and subjectual powers. It makes a response available without making its actual occurrence inevitable.</w:t>
      </w:r>
    </w:p>
    <w:p>
      <w:pPr>
        <w:spacing w:after="120"/>
      </w:pPr>
      <w:r>
        <w:rPr>
          <w:b w:val="0"/>
        </w:rPr>
      </w:r>
      <w:r>
        <w:rPr>
          <w:b/>
        </w:rPr>
        <w:t>Crystallisation.</w:t>
      </w:r>
      <w:r>
        <w:rPr>
          <w:b w:val="0"/>
        </w:rPr>
        <w:t xml:space="preserve"> The acquisition by a new understanding of a stable and reproducible form. It may support development or prematurely close off verification.</w:t>
      </w:r>
    </w:p>
    <w:p>
      <w:pPr>
        <w:spacing w:after="120"/>
      </w:pPr>
      <w:r>
        <w:rPr>
          <w:b w:val="0"/>
        </w:rPr>
      </w:r>
      <w:r>
        <w:rPr>
          <w:b/>
        </w:rPr>
        <w:t>Generativity.</w:t>
      </w:r>
      <w:r>
        <w:rPr>
          <w:b w:val="0"/>
        </w:rPr>
        <w:t xml:space="preserve"> The capacity to create new architectures of possible response. Requires specification of the scale of novelty and its bearer.</w:t>
      </w:r>
    </w:p>
    <w:p>
      <w:pPr>
        <w:spacing w:after="120"/>
      </w:pPr>
      <w:r>
        <w:rPr>
          <w:b w:val="0"/>
        </w:rPr>
      </w:r>
      <w:r>
        <w:rPr>
          <w:b/>
        </w:rPr>
        <w:t>Ontological communication.</w:t>
      </w:r>
      <w:r>
        <w:rPr>
          <w:b w:val="0"/>
        </w:rPr>
        <w:t xml:space="preserve"> An encounter in which a participant's grounds and map can be questioned by the reality of the other, rather than merely supplemented with information.</w:t>
      </w:r>
    </w:p>
    <w:p>
      <w:pPr>
        <w:spacing w:after="120"/>
      </w:pPr>
      <w:r>
        <w:rPr>
          <w:b w:val="0"/>
        </w:rPr>
      </w:r>
      <w:r>
        <w:rPr>
          <w:b/>
        </w:rPr>
        <w:t>Socio-ontic projectuality.</w:t>
      </w:r>
      <w:r>
        <w:rPr>
          <w:b w:val="0"/>
        </w:rPr>
        <w:t xml:space="preserve"> The capacity to embody a vision in social structures, resources, and actions. It does not certify the truth of the project's ground.</w:t>
      </w:r>
    </w:p>
    <w:p>
      <w:pPr>
        <w:spacing w:after="120"/>
      </w:pPr>
      <w:r>
        <w:rPr>
          <w:b w:val="0"/>
        </w:rPr>
      </w:r>
      <w:r>
        <w:rPr>
          <w:b/>
        </w:rPr>
        <w:t>Messianic identity.</w:t>
      </w:r>
      <w:r>
        <w:rPr>
          <w:b w:val="0"/>
        </w:rPr>
        <w:t xml:space="preserve"> Understanding one's own life as vocation and mission. In Christian usage, accepting being sent; the form of mission itself may also serve a false ground.</w:t>
      </w:r>
    </w:p>
    <w:p>
      <w:pPr>
        <w:spacing w:after="120"/>
      </w:pPr>
      <w:r>
        <w:rPr>
          <w:b w:val="0"/>
        </w:rPr>
      </w:r>
      <w:r>
        <w:rPr>
          <w:b/>
        </w:rPr>
        <w:t>Eschatological subjecthood.</w:t>
      </w:r>
      <w:r>
        <w:rPr>
          <w:b w:val="0"/>
        </w:rPr>
        <w:t xml:space="preserve"> Orientation of human response towards ultimate fullness not exhausted by a historical form, and towards definitive communion with God.</w:t>
      </w:r>
    </w:p>
    <w:p>
      <w:pPr>
        <w:spacing w:after="120"/>
      </w:pPr>
      <w:r>
        <w:rPr>
          <w:b w:val="0"/>
        </w:rPr>
      </w:r>
      <w:r>
        <w:rPr>
          <w:b/>
        </w:rPr>
        <w:t>Faith as competence.</w:t>
      </w:r>
      <w:r>
        <w:rPr>
          <w:b w:val="0"/>
        </w:rPr>
        <w:t xml:space="preserve"> The capacity to live from a relationship with God, maintaining a responsible orientation towards truth amid uncertainty, loss of guarantees, and the need for correction.</w:t>
      </w:r>
    </w:p>
    <w:p>
      <w:pPr>
        <w:spacing w:after="120"/>
      </w:pPr>
      <w:r>
        <w:rPr>
          <w:b w:val="0"/>
        </w:rPr>
      </w:r>
      <w:r>
        <w:rPr>
          <w:b/>
        </w:rPr>
        <w:t>Practice of the Cross.</w:t>
      </w:r>
      <w:r>
        <w:rPr>
          <w:b w:val="0"/>
        </w:rPr>
        <w:t xml:space="preserve"> Refusal to make self-preservation and success the final criterion of truth. Not identical with every suffering, every sacrifice, or submission to another's demand.</w:t>
      </w:r>
    </w:p>
    <w:p>
      <w:pPr>
        <w:spacing w:after="120"/>
      </w:pPr>
      <w:r>
        <w:rPr>
          <w:b w:val="0"/>
        </w:rPr>
      </w:r>
      <w:r>
        <w:rPr>
          <w:b/>
        </w:rPr>
        <w:t>First Ontology.</w:t>
      </w:r>
      <w:r>
        <w:rPr>
          <w:b w:val="0"/>
        </w:rPr>
        <w:t xml:space="preserve"> The organisation of visibility and responsibility within immediate, concrete relationships.</w:t>
      </w:r>
    </w:p>
    <w:p>
      <w:pPr>
        <w:spacing w:after="120"/>
      </w:pPr>
      <w:r>
        <w:rPr>
          <w:b w:val="0"/>
        </w:rPr>
      </w:r>
      <w:r>
        <w:rPr>
          <w:b/>
        </w:rPr>
        <w:t>Second Ontology.</w:t>
      </w:r>
      <w:r>
        <w:rPr>
          <w:b w:val="0"/>
        </w:rPr>
        <w:t xml:space="preserve"> Extension of responsibility to distributed Reality through public functions and institutions.</w:t>
      </w:r>
    </w:p>
    <w:p>
      <w:pPr>
        <w:spacing w:after="120"/>
      </w:pPr>
      <w:r>
        <w:rPr>
          <w:b w:val="0"/>
        </w:rPr>
      </w:r>
      <w:r>
        <w:rPr>
          <w:b/>
        </w:rPr>
        <w:t>Derivative Ontologies.</w:t>
      </w:r>
      <w:r>
        <w:rPr>
          <w:b w:val="0"/>
        </w:rPr>
        <w:t xml:space="preserve"> Specialised architectures of differentiation and action, such as scientific or legal ones. Derivativeness here is not an accusation of lacking independence.</w:t>
      </w:r>
    </w:p>
    <w:p>
      <w:pPr>
        <w:spacing w:after="120"/>
      </w:pPr>
      <w:r>
        <w:rPr>
          <w:b w:val="0"/>
        </w:rPr>
      </w:r>
      <w:r>
        <w:rPr>
          <w:b/>
        </w:rPr>
        <w:t>Subjectual capacity.</w:t>
      </w:r>
      <w:r>
        <w:rPr>
          <w:b w:val="0"/>
        </w:rPr>
        <w:t xml:space="preserve"> The capacity to sustain different ontologies, roles, and scales without losing connectedness or a response of one's own.</w:t>
      </w:r>
    </w:p>
    <w:p>
      <w:pPr>
        <w:spacing w:after="120"/>
      </w:pPr>
      <w:r>
        <w:rPr>
          <w:b w:val="0"/>
        </w:rPr>
      </w:r>
      <w:r>
        <w:rPr>
          <w:b/>
        </w:rPr>
        <w:t>Subject topography.</w:t>
      </w:r>
      <w:r>
        <w:rPr>
          <w:b w:val="0"/>
        </w:rPr>
        <w:t xml:space="preserve"> The location of powers and their actual bearers.</w:t>
      </w:r>
    </w:p>
    <w:p>
      <w:pPr>
        <w:spacing w:after="120"/>
      </w:pPr>
      <w:r>
        <w:rPr>
          <w:b w:val="0"/>
        </w:rPr>
      </w:r>
      <w:r>
        <w:rPr>
          <w:b/>
        </w:rPr>
        <w:t>Subject topology.</w:t>
      </w:r>
      <w:r>
        <w:rPr>
          <w:b w:val="0"/>
        </w:rPr>
        <w:t xml:space="preserve"> Connections among recognition, decision, action, consequences, correction, and memory.</w:t>
      </w:r>
    </w:p>
    <w:p>
      <w:pPr>
        <w:spacing w:after="120"/>
      </w:pPr>
      <w:r>
        <w:rPr>
          <w:b w:val="0"/>
        </w:rPr>
      </w:r>
      <w:r>
        <w:rPr>
          <w:b/>
        </w:rPr>
        <w:t>Ontological creditworthiness.</w:t>
      </w:r>
      <w:r>
        <w:rPr>
          <w:b w:val="0"/>
        </w:rPr>
        <w:t xml:space="preserve"> The justified expectation of connectedness among promise, action, outcome, and responsibility.</w:t>
      </w:r>
    </w:p>
    <w:p>
      <w:pPr>
        <w:spacing w:after="120"/>
      </w:pPr>
      <w:r>
        <w:rPr>
          <w:b w:val="0"/>
        </w:rPr>
      </w:r>
      <w:r>
        <w:rPr>
          <w:b/>
        </w:rPr>
        <w:t>Ontological solvency.</w:t>
      </w:r>
      <w:r>
        <w:rPr>
          <w:b w:val="0"/>
        </w:rPr>
        <w:t xml:space="preserve"> The capacity to accept the actual cost and consequences of one's authorship.</w:t>
      </w:r>
    </w:p>
    <w:p>
      <w:pPr>
        <w:spacing w:after="120"/>
      </w:pPr>
      <w:r>
        <w:rPr>
          <w:b w:val="0"/>
        </w:rPr>
      </w:r>
      <w:r>
        <w:rPr>
          <w:b/>
        </w:rPr>
        <w:t>Ontological capital and budget.</w:t>
      </w:r>
      <w:r>
        <w:rPr>
          <w:b w:val="0"/>
        </w:rPr>
        <w:t xml:space="preserve"> An accumulated capacity for credible initiative and cooperation; the regime of its production, distribution, expenditure, and reproduction.</w:t>
      </w:r>
    </w:p>
    <w:p>
      <w:pPr>
        <w:spacing w:after="120"/>
      </w:pPr>
      <w:r>
        <w:rPr>
          <w:b w:val="0"/>
        </w:rPr>
      </w:r>
      <w:r>
        <w:rPr>
          <w:b/>
        </w:rPr>
        <w:t>Vector profile.</w:t>
      </w:r>
      <w:r>
        <w:rPr>
          <w:b w:val="0"/>
        </w:rPr>
        <w:t xml:space="preserve"> A multidimensional description of changes in subjecthood, specifying level, direction, bearers, time, scale, mode of correspondence, and cost.</w:t>
      </w:r>
    </w:p>
    <w:p>
      <w:pPr>
        <w:spacing w:after="120"/>
      </w:pPr>
      <w:r>
        <w:rPr>
          <w:b w:val="0"/>
        </w:rPr>
      </w:r>
      <w:r>
        <w:rPr>
          <w:b/>
        </w:rPr>
        <w:t>Fail-closed.</w:t>
      </w:r>
      <w:r>
        <w:rPr>
          <w:b w:val="0"/>
        </w:rPr>
        <w:t xml:space="preserve"> Blocking a necessary analytical transition when it has not been demonstrated. It does not turn the absence of evidence into evidence of the contrary.</w:t>
      </w:r>
    </w:p>
    <w:p>
      <w:pPr>
        <w:spacing w:after="120"/>
      </w:pPr>
      <w:r>
        <w:rPr>
          <w:b w:val="0"/>
        </w:rPr>
      </w:r>
      <w:r>
        <w:rPr>
          <w:b/>
        </w:rPr>
        <w:t>Trinitarian correspondence.</w:t>
      </w:r>
      <w:r>
        <w:rPr>
          <w:b w:val="0"/>
        </w:rPr>
        <w:t xml:space="preserve"> A limited theological correlation of principles of human architecture with aspects of the Trinity's single action. It does not distribute human functions among three independent divine causes.</w:t>
      </w:r>
    </w:p>
    <w:p>
      <w:bookmarkStart w:id="21" w:name="section_21"/>
      <w:pPr>
        <w:pStyle w:val="Heading1"/>
      </w:pPr>
      <w:r>
        <w:t>Sources and Navigation through the Corpus</w:t>
      </w:r>
      <w:bookmarkEnd w:id="21"/>
    </w:p>
    <w:p>
      <w:r>
        <w:rPr>
          <w:b w:val="0"/>
        </w:rPr>
      </w:r>
      <w:r>
        <w:rPr>
          <w:b/>
        </w:rPr>
        <w:t>I.</w:t>
      </w:r>
      <w:r>
        <w:rPr>
          <w:b w:val="0"/>
        </w:rPr>
        <w:t xml:space="preserve"> Hierodeacon Panteleimon (Adzhindzhal). “To Christians of the Third Millennium: Reflections of an Abkhaz Exile”. The complete Russian edition containing “An Essay in the Applied Metaphysics of the Subject”, the theological cycle, and appendices. In this edition's contents, the “Essay” begins on p. 5; “The Starting Point: Once the Original” on p. 39; “On the Nature of Faith” on p. 50; “Towards a Metaphysics of the Person” on p. 64; “The Language of God” on p. 77; “The Function of the Church” on p. 85; “Towards an Ontology of the Logos” on p. 99; “Faith as Competence” on p. 119; and “The Church as Infrastructure for the Formation of Personal Eschatology” on p. 135. Section titles are preferred within the analysis because DOCX pagination depends on rendering.</w:t>
      </w:r>
    </w:p>
    <w:p>
      <w:r>
        <w:rPr>
          <w:b w:val="0"/>
        </w:rPr>
      </w:r>
      <w:r>
        <w:rPr>
          <w:b/>
        </w:rPr>
        <w:t>II.</w:t>
      </w:r>
      <w:r>
        <w:rPr>
          <w:b w:val="0"/>
        </w:rPr>
        <w:t xml:space="preserve"> “To Christians of the Third Millennium: The Architecture of Subjecthood”. The Russian text containing the studies “The Genesis of Subjecthood”, “The Quality of Ontology”, “The Ontogenesis of Subjecthood”, “Eschatological Subjecthood”, and “Modernisation: The First Applied Use of CTM”. References identify the studies and their internal sections.</w:t>
      </w:r>
    </w:p>
    <w:p>
      <w:r>
        <w:rPr>
          <w:b w:val="0"/>
        </w:rPr>
      </w:r>
      <w:r>
        <w:rPr>
          <w:b/>
        </w:rPr>
        <w:t>III.</w:t>
      </w:r>
      <w:r>
        <w:rPr>
          <w:b w:val="0"/>
        </w:rPr>
        <w:t xml:space="preserve"> “To Christians of the Third Millennium: The Methodology of CTM Analysis”. A Russian PDF of 107 pages. In the methodological part: operative ontology—Part II; genesis and the generative transition—III; First, Second, and Derivative Ontologies—IV; interaction of ontologies—V; communication and collective subjecthood—VI; the common, creditworthiness, and legitimacy—VII; subjectual architecture—VIII; vector analysis—IX; procedure—X; design—XI; limits of the method—XII; return to the question of the Church—XIII.</w:t>
      </w:r>
    </w:p>
    <w:p>
      <w:r>
        <w:rPr>
          <w:b w:val="0"/>
        </w:rPr>
      </w:r>
      <w:r>
        <w:rPr>
          <w:b/>
        </w:rPr>
        <w:t>Pneumatological study.</w:t>
      </w:r>
      <w:r>
        <w:rPr>
          <w:b w:val="0"/>
        </w:rPr>
        <w:t xml:space="preserve"> “In Search of Pneumatology: From the Pneumatological Lacuna to the Trinitarian Architecture of Subjecthood”, the second text of Volume III, pp. 92–107. The numbering §§1–19 belongs to this separate essay and is not to be confused with the numbering of the methodological part.</w:t>
      </w:r>
    </w:p>
    <w:p>
      <w:r>
        <w:rPr>
          <w:b w:val="0"/>
        </w:rPr>
      </w:r>
      <w:r>
        <w:rPr>
          <w:b/>
        </w:rPr>
        <w:t>Editorial basis.</w:t>
      </w:r>
      <w:r>
        <w:rPr>
          <w:b w:val="0"/>
        </w:rPr>
        <w:t xml:space="preserve"> “An Overview of Adzhindzhal's Philosophy”, version 4, 25 pages. Its effective overall sequence—initial question, philosophical grounds, theology, architecture, method, criticism, and glossary—has been used. The attributions and substantive conclusions of this analysis rest on the Russian CTM corpus, not on the authority of the overview.</w:t>
      </w:r>
    </w:p>
    <w:p>
      <w:bookmarkStart w:id="22" w:name="section_22"/>
      <w:pPr>
        <w:pStyle w:val="Heading1"/>
        <w:pageBreakBefore/>
      </w:pPr>
      <w:r>
        <w:t>On the Revision of the Overview</w:t>
      </w:r>
      <w:bookmarkEnd w:id="22"/>
    </w:p>
    <w:p>
      <w:r>
        <w:rPr>
          <w:b w:val="0"/>
        </w:rPr>
        <w:t>In this edition, the philosophical part of Volume I has been examined in its complete Russian text; the earlier designation of the entire part as unverified has been withdrawn. The source of the author's remark about 1993 has been located in the chapter on the subject, alongside the exposition of ontological tension. The meanings of autonomy and the actual differences between early and later uses of subjecthood and the ontic have been examined separately.</w:t>
      </w:r>
    </w:p>
    <w:p>
      <w:r>
        <w:rPr>
          <w:b w:val="0"/>
        </w:rPr>
        <w:t>The theological exposition restores the content of “The Language of God”, expands Christology and eschatology, and distinguishes historical openness from the definitive fullness of communion. Pneumatology is presented with its own limitations. The methodological part adds cost, the common, legitimacy, topography and topology, the strong alternative, and conditions for a negative result.</w:t>
      </w:r>
    </w:p>
    <w:p>
      <w:r>
        <w:rPr>
          <w:b w:val="0"/>
        </w:rPr>
        <w:t>Criticism addresses specific transitions, not the author's origins or a lack of external recognition. Comparisons with other thinkers are identified as possible inquiries; evaluative superlatives are not used in place of argument. The glossary is consistent with these distinctions and has the status of a brief reader's aid.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eastAsia="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erif" w:hAnsi="Liberation Serif" w:eastAsia="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erif" w:hAnsi="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erif" w:hAnsi="Liberation Serif" w:eastAsia="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and Theology of the CTM Project</dc:title>
  <dc:subject>Systematic exposition and critical analysis of three volumes</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