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Philosophie und Theologie des CDJ-Projekts</w:t>
      </w:r>
    </w:p>
    <w:p>
      <w:pPr>
        <w:pStyle w:val="Subtitle"/>
      </w:pPr>
      <w:r>
        <w:t>Systematische Darstellung und kritische Analyse</w:t>
        <w:br/>
        <w:t>Auf Grundlage des russischen dreibändigen Korpus</w:t>
      </w:r>
    </w:p>
    <w:p>
      <w:pPr>
        <w:spacing w:after="240"/>
      </w:pPr>
      <w:r>
        <w:t>Projekt: An die Christen des dritten Jahrtausends</w:t>
        <w:br/>
        <w:t>Projektautor: Hierodiakon Panteleimon (Adzhindzhal)</w:t>
        <w:br/>
        <w:t>Darstellung und Analyse erstellt mit ChatGPT</w:t>
      </w:r>
    </w:p>
    <w:p>
      <w:r>
        <w:rPr>
          <w:b/>
        </w:rPr>
        <w:t>Inhalt</w:t>
      </w:r>
    </w:p>
    <w:p>
      <w:pPr>
        <w:spacing w:after="40" w:line="240" w:lineRule="auto"/>
      </w:pPr>
      <w:hyperlink w:anchor="section_0">
        <w:r>
          <w:rPr>
            <w:sz w:val="21"/>
          </w:rPr>
          <w:t>Einleitung</w:t>
        </w:r>
      </w:hyperlink>
    </w:p>
    <w:p>
      <w:pPr>
        <w:spacing w:after="40" w:line="240" w:lineRule="auto"/>
      </w:pPr>
      <w:hyperlink w:anchor="section_1">
        <w:r>
          <w:rPr>
            <w:sz w:val="21"/>
          </w:rPr>
          <w:t>1 Die Ausgangsfrage nach dem Christentum</w:t>
        </w:r>
      </w:hyperlink>
    </w:p>
    <w:p>
      <w:pPr>
        <w:spacing w:after="40" w:line="240" w:lineRule="auto"/>
      </w:pPr>
      <w:hyperlink w:anchor="section_2">
        <w:r>
          <w:rPr>
            <w:sz w:val="21"/>
          </w:rPr>
          <w:t>2 Realität und menschliche Karte</w:t>
        </w:r>
      </w:hyperlink>
    </w:p>
    <w:p>
      <w:pPr>
        <w:spacing w:after="40" w:line="240" w:lineRule="auto"/>
      </w:pPr>
      <w:hyperlink w:anchor="section_3">
        <w:r>
          <w:rPr>
            <w:sz w:val="21"/>
          </w:rPr>
          <w:t>3 Abgeleitetheit und eigene Antwort</w:t>
        </w:r>
      </w:hyperlink>
    </w:p>
    <w:p>
      <w:pPr>
        <w:spacing w:after="40" w:line="240" w:lineRule="auto"/>
      </w:pPr>
      <w:hyperlink w:anchor="section_4">
        <w:r>
          <w:rPr>
            <w:sz w:val="21"/>
          </w:rPr>
          <w:t>4 Autonomie und ontologische Umadressierung</w:t>
        </w:r>
      </w:hyperlink>
    </w:p>
    <w:p>
      <w:pPr>
        <w:spacing w:after="40" w:line="240" w:lineRule="auto"/>
      </w:pPr>
      <w:hyperlink w:anchor="section_5">
        <w:r>
          <w:rPr>
            <w:sz w:val="21"/>
          </w:rPr>
          <w:t>5 Die Architektur menschlicher Antwort</w:t>
        </w:r>
      </w:hyperlink>
    </w:p>
    <w:p>
      <w:pPr>
        <w:spacing w:after="40" w:line="240" w:lineRule="auto"/>
      </w:pPr>
      <w:hyperlink w:anchor="section_6">
        <w:r>
          <w:rPr>
            <w:sz w:val="21"/>
          </w:rPr>
          <w:t>6 Personwerdung und geschichtliches Handeln</w:t>
        </w:r>
      </w:hyperlink>
    </w:p>
    <w:p>
      <w:pPr>
        <w:spacing w:after="40" w:line="240" w:lineRule="auto"/>
      </w:pPr>
      <w:hyperlink w:anchor="section_7">
        <w:r>
          <w:rPr>
            <w:sz w:val="21"/>
          </w:rPr>
          <w:t>7 Der Logos und die Möglichkeit von Sinn</w:t>
        </w:r>
      </w:hyperlink>
    </w:p>
    <w:p>
      <w:pPr>
        <w:spacing w:after="40" w:line="240" w:lineRule="auto"/>
      </w:pPr>
      <w:hyperlink w:anchor="section_8">
        <w:r>
          <w:rPr>
            <w:sz w:val="21"/>
          </w:rPr>
          <w:t>8 Gottebenbildlichkeit und Fülle der Person</w:t>
        </w:r>
      </w:hyperlink>
    </w:p>
    <w:p>
      <w:pPr>
        <w:spacing w:after="40" w:line="240" w:lineRule="auto"/>
      </w:pPr>
      <w:hyperlink w:anchor="section_9">
        <w:r>
          <w:rPr>
            <w:sz w:val="21"/>
          </w:rPr>
          <w:t>9 Menschwerdung, Kreuz und Auferstehung</w:t>
        </w:r>
      </w:hyperlink>
    </w:p>
    <w:p>
      <w:pPr>
        <w:spacing w:after="40" w:line="240" w:lineRule="auto"/>
      </w:pPr>
      <w:hyperlink w:anchor="section_10">
        <w:r>
          <w:rPr>
            <w:sz w:val="21"/>
          </w:rPr>
          <w:t>10 Glaube als Kompetenz und die Sprache Gottes</w:t>
        </w:r>
      </w:hyperlink>
    </w:p>
    <w:p>
      <w:pPr>
        <w:spacing w:after="40" w:line="240" w:lineRule="auto"/>
      </w:pPr>
      <w:hyperlink w:anchor="section_11">
        <w:r>
          <w:rPr>
            <w:sz w:val="21"/>
          </w:rPr>
          <w:t>11 Die Kirche als Ereignis und geschichtliche Form</w:t>
        </w:r>
      </w:hyperlink>
    </w:p>
    <w:p>
      <w:pPr>
        <w:spacing w:after="40" w:line="240" w:lineRule="auto"/>
      </w:pPr>
      <w:hyperlink w:anchor="section_12">
        <w:r>
          <w:rPr>
            <w:sz w:val="21"/>
          </w:rPr>
          <w:t>12 Eschatologie und Offenheit der Geschichte</w:t>
        </w:r>
      </w:hyperlink>
    </w:p>
    <w:p>
      <w:pPr>
        <w:spacing w:after="40" w:line="240" w:lineRule="auto"/>
      </w:pPr>
      <w:hyperlink w:anchor="section_13">
        <w:r>
          <w:rPr>
            <w:sz w:val="21"/>
          </w:rPr>
          <w:t>13 Trinitarischer Grund und Pneumatologie</w:t>
        </w:r>
      </w:hyperlink>
    </w:p>
    <w:p>
      <w:pPr>
        <w:spacing w:after="40" w:line="240" w:lineRule="auto"/>
      </w:pPr>
      <w:hyperlink w:anchor="section_14">
        <w:r>
          <w:rPr>
            <w:sz w:val="21"/>
          </w:rPr>
          <w:t>14 Modernisierung und gesellschaftliche Verantwortung</w:t>
        </w:r>
      </w:hyperlink>
    </w:p>
    <w:p>
      <w:pPr>
        <w:spacing w:after="40" w:line="240" w:lineRule="auto"/>
      </w:pPr>
      <w:hyperlink w:anchor="section_15">
        <w:r>
          <w:rPr>
            <w:sz w:val="21"/>
          </w:rPr>
          <w:t>15 Das Gemeinsame, Macht und der Preis des Handelns</w:t>
        </w:r>
      </w:hyperlink>
    </w:p>
    <w:p>
      <w:pPr>
        <w:spacing w:after="40" w:line="240" w:lineRule="auto"/>
      </w:pPr>
      <w:hyperlink w:anchor="section_16">
        <w:r>
          <w:rPr>
            <w:sz w:val="21"/>
          </w:rPr>
          <w:t>16 Methodologie der CDJ-Analyse</w:t>
        </w:r>
      </w:hyperlink>
    </w:p>
    <w:p>
      <w:pPr>
        <w:spacing w:after="40" w:line="240" w:lineRule="auto"/>
      </w:pPr>
      <w:hyperlink w:anchor="section_17">
        <w:r>
          <w:rPr>
            <w:sz w:val="21"/>
          </w:rPr>
          <w:t>17 Philosophische Prüfung der zentralen Argumente</w:t>
        </w:r>
      </w:hyperlink>
    </w:p>
    <w:p>
      <w:pPr>
        <w:spacing w:after="40" w:line="240" w:lineRule="auto"/>
      </w:pPr>
      <w:hyperlink w:anchor="section_18">
        <w:r>
          <w:rPr>
            <w:sz w:val="21"/>
          </w:rPr>
          <w:t>18 Theologische Grenzen und Entwicklung der Begriffe</w:t>
        </w:r>
      </w:hyperlink>
    </w:p>
    <w:p>
      <w:pPr>
        <w:spacing w:after="40" w:line="240" w:lineRule="auto"/>
      </w:pPr>
      <w:hyperlink w:anchor="section_19">
        <w:r>
          <w:rPr>
            <w:sz w:val="21"/>
          </w:rPr>
          <w:t>19 Bedeutung des Projekts und Prüfprogramm</w:t>
        </w:r>
      </w:hyperlink>
    </w:p>
    <w:p>
      <w:pPr>
        <w:spacing w:after="120" w:line="240" w:lineRule="auto"/>
      </w:pPr>
      <w:hyperlink w:anchor="section_20">
        <w:r>
          <w:rPr>
            <w:sz w:val="21"/>
          </w:rPr>
          <w:t>Kurzes Glossar</w:t>
        </w:r>
      </w:hyperlink>
    </w:p>
    <w:p>
      <w:pPr>
        <w:spacing w:after="40" w:line="240" w:lineRule="auto"/>
      </w:pPr>
      <w:hyperlink w:anchor="section_21">
        <w:r>
          <w:rPr>
            <w:sz w:val="21"/>
          </w:rPr>
          <w:t>Quellen und Orientierung im Korpus</w:t>
        </w:r>
      </w:hyperlink>
    </w:p>
    <w:p>
      <w:pPr>
        <w:spacing w:after="40" w:line="240" w:lineRule="auto"/>
      </w:pPr>
      <w:hyperlink w:anchor="section_22">
        <w:r>
          <w:rPr>
            <w:sz w:val="21"/>
          </w:rPr>
          <w:t>Zur Überarbeitung des Überblicks</w:t>
        </w:r>
      </w:hyperlink>
    </w:p>
    <w:p>
      <w:r>
        <w:br w:type="page"/>
      </w:r>
    </w:p>
    <w:p>
      <w:bookmarkStart w:id="0" w:name="section_0"/>
      <w:pPr>
        <w:pStyle w:val="Heading1"/>
      </w:pPr>
      <w:r>
        <w:t>Einleitung</w:t>
      </w:r>
      <w:bookmarkEnd w:id="0"/>
    </w:p>
    <w:p>
      <w:r>
        <w:rPr>
          <w:b w:val="0"/>
        </w:rPr>
        <w:t>CDJ untersucht, wie der Mensch zum wirklichen Urheber seines Lebens werden kann, obwohl er weder sich selbst noch die Welt noch die Sprache geschaffen hat, in der er sein Dasein versteht. Die christliche Antwort des Projekts lautet: Der empfangene Charakter des Seins schließt eine eigene Antwort nicht aus. Vielmehr kann die Beziehung zu Gott menschliche Autorschaft ermöglichen und tragfähig machen, ohne den Menschen zu einem souveränen Urgrund zu erheben.</w:t>
      </w:r>
    </w:p>
    <w:p>
      <w:r>
        <w:rPr>
          <w:b w:val="0"/>
        </w:rPr>
        <w:t>Aus dieser Frage entsteht ein umfassendes Forschungsprogramm. Zunächst fragt CDJ, was die Kirche für die Bildung des Menschen leisten soll. Dann untersucht es, wie überhaupt ein Subjekt entsteht, wie seine Wahrnehmung der Wirklichkeit beschaffen ist und warum es sich nicht nur in einzelnen Urteilen, sondern auch in den Grundlagen seines Lebens irren kann. Schließlich entwickelt das Projekt eine Methode zur Analyse von Institutionen und Kollektiven: Wem ermöglichen sie, zu sehen, anzufangen, zu widersprechen, Entscheidungen zu korrigieren und für die Folgen einzustehen?</w:t>
      </w:r>
    </w:p>
    <w:p>
      <w:r>
        <w:rPr>
          <w:b w:val="0"/>
        </w:rPr>
        <w:t>Der philosophische und der theologische Teil sind hier inhaltlich miteinander verbunden. Die Philosophie untersucht die Bedingungen menschlicher Antwort und die Grenzen der Selbstbegründung. Die Theologie erschließt diese Antwort als Beziehung zum dreieinigen Gott, eröffnet durch die Menschwerdung, das Kreuz und die Auferstehung Christi. Die Methodologie führt die Überlegung in das konkrete Leben zurück: Welche menschliche Fähigkeit bringt eine Praxis tatsächlich hervor, die sich als christlich, bildend, staatlich oder befreiend bezeichnet?</w:t>
      </w:r>
    </w:p>
    <w:p>
      <w:r>
        <w:t>Eine wesentliche Leistung des Projekts besteht in der Verbindung dreier Fragen, die häufig getrennt behandelt werden: Woraus lebt der Mensch, kann er zum Autor seiner eigenen Antwort werden, und welche gesellschaftlichen Bedingungen ermöglichen eine solche Antwort? Die größte Schwierigkeit liegt in der Begründung der Übergänge zwischen diesen Fragen. Von der Unmöglichkeit absoluter Selbstbegründung zum persönlichen Gott ist ein eigener Übergang erforderlich; die strukturelle Analogie zur Trinität bedarf der Prüfung; eine überzeugende Diagnose menschlicher Praxis ist kein Beweis für das Heil.</w:t>
      </w:r>
    </w:p>
    <w:p>
      <w:r>
        <w:rPr>
          <w:b w:val="0"/>
        </w:rPr>
        <w:t>Die folgende Darstellung führt von der ursprünglichen Einsicht zum philosophischen Begriffsapparat, dann zur Theologie, zur gesellschaftlichen Problematik und zur Methodologie. Der kritische Teil prüft konkrete Argumente und unterscheidet dabei zwischen dem, was der Autor behauptet, und dem Grad seiner Begründung. Kurze Verweise in eckigen Klammern beziehen sich auf die am Ende aufgeführten Bände und Abschnitte. Die erläuternden Beispiele stammen aus dieser Analyse; sie werden nicht als vom Autor des CDJ-Projekts untersuchte Fälle ausgegeben.</w:t>
      </w:r>
    </w:p>
    <w:p>
      <w:bookmarkStart w:id="1" w:name="section_1"/>
      <w:pPr>
        <w:pStyle w:val="Heading1"/>
      </w:pPr>
      <w:r>
        <w:t>1 Die Ausgangsfrage nach dem Christentum</w:t>
      </w:r>
      <w:bookmarkEnd w:id="1"/>
    </w:p>
    <w:p>
      <w:pPr>
        <w:pStyle w:val="Heading2"/>
      </w:pPr>
      <w:r>
        <w:t>Was der Verlust ontologischer Initiative bedeutet</w:t>
      </w:r>
    </w:p>
    <w:p>
      <w:r>
        <w:rPr>
          <w:b w:val="0"/>
        </w:rPr>
        <w:t>Die Ausgangsdiagnose von CDJ besagt nicht lediglich, dass Christen unzureichend moralisch oder kirchliche Einrichtungen schlecht organisiert seien. Das Problem reicht tiefer: Das Christentum kann Riten, dogmatische Formeln und öffentliche Sichtbarkeit bewahren, aber aufhören, jene Welt zu bestimmen, innerhalb deren der Mensch seine Entscheidungen trifft. Dann sagt ihm die politische Ideologie, wer sein Feind ist; der Markt, was als Erfolg gilt; das psychische Wohlbefinden, was er vermeiden soll; das vertraute Milieu, wonach er nicht fragen darf. Das Christentum nimmt den verbleibenden Platz ein und heiligt eine bereits vorgegebene Bahn.</w:t>
      </w:r>
    </w:p>
    <w:p>
      <w:r>
        <w:rPr>
          <w:b w:val="0"/>
        </w:rPr>
        <w:t>„Ontologische Initiative“ bezeichnet die Fähigkeit, von einem eigenen Verständnis des Menschen, der Wirklichkeit und der letzten Bestimmung des Lebens auszugehen. Gemeint ist kein Monopol auf gesellschaftliche Herrschaft. Christliche Initiative beginnt mit der Frage: Welche Weisen menschlichen Daseins werden durch das Evangelium möglich? Beschränkt sich die Antwort auf Traditionspflege, Trost oder Verhaltensregulierung, bleibt der spezifische Anspruch des Christentums unerschlossen.</w:t>
      </w:r>
    </w:p>
    <w:p>
      <w:r>
        <w:rPr>
          <w:b w:val="0"/>
        </w:rPr>
        <w:t>CDJ verbindet diesen Anspruch mit der Fülle des Menschseins. Christus kommt nicht, um den Menschen als gehorsames Element einer bereits bestehenden Ordnung festzuschreiben. Die Beziehung zu Christus soll seine Fähigkeit verändern, zu sehen, zu verstehen, zu kommunizieren, zu handeln und sich angesichts des Todes zu bewahren. Daher betrachtet das Projekt den Glauben als Seinsweise und das kirchliche Leben als Raum ihrer Bildung. [I, Einleitung zu „Ein Essay zur angewandten Metaphysik des Subjekts“; „Die Ausgangsposition. Einst die ursprüngliche“; „Das Funktionsgefüge der Kirche“.]</w:t>
      </w:r>
    </w:p>
    <w:p>
      <w:pPr>
        <w:pStyle w:val="Heading2"/>
      </w:pPr>
      <w:r>
        <w:t>Warum die Frage nach der Funktion der Kirche eine theologische Frage ist</w:t>
      </w:r>
    </w:p>
    <w:p>
      <w:r>
        <w:rPr>
          <w:b w:val="0"/>
        </w:rPr>
        <w:t>Man könnte CDJ irrtümlich als Vorschlag lesen, die Kirche nach Unternehmensmaßstäben zu beurteilen: Wie viele Menschen kamen, wie viele Leistungen wurden erbracht, wie zufrieden sind die Beteiligten? Der Autor stellt eine andere Frage. Wenn Gott, der Logos, als das eigentlich handelnde Gegenüber in den kirchlichen Sakramenten bekannt wird, was bedeutet dies für das menschliche Leben? Wie verhält sich die Teilnahme am Sakrament zur Entwicklung der Logosnatur des Menschen?</w:t>
      </w:r>
    </w:p>
    <w:p>
      <w:r>
        <w:rPr>
          <w:b w:val="0"/>
        </w:rPr>
        <w:t>Die funktionale Frage wird innerhalb der Theologie gestellt. Sie verlangt, den Zusammenhang zwischen Bekenntnis und Frucht des kirchlichen Lebens nachzuzeichnen. Ein Mensch kann die richtigen Formeln kennen, aber unfähig sein, Wahrheit von eigener Angst zu unterscheiden. Er kann ein diszipliniertes Gemeindemitglied sein, aber die Verantwortung für alles Geschehen seinem geistlichen Begleiter überlassen. Er kann von Gemeinschaft sprechen und doch ausschließlich Bestätigungen seines eigenen Weltbildes begegnen. Gerade diese Diskrepanzen werden zum Gegenstand der Untersuchung.</w:t>
      </w:r>
    </w:p>
    <w:p>
      <w:r>
        <w:rPr>
          <w:b w:val="0"/>
        </w:rPr>
        <w:t>Die Beobachtung menschlicher Ergebnisse eröffnet dem Forschenden allerdings keinen unmittelbaren Zugang zum Wirken der Gnade. Die Methode kann feststellen, dass eine bestimmte Leitungsstruktur eigenständige Antwort blockiert. Sie kann anhand dieses Merkmals weder das Geheimnis der Kirche noch das endgültige Schicksal eines Menschen erschöpfend beurteilen. Im III. Band ist diese Grenze besonders deutlich formuliert. [III, Abschnitt XIII; „Auf der Suche nach einer Pneumatologie“, §§16–17.]</w:t>
      </w:r>
    </w:p>
    <w:p>
      <w:bookmarkStart w:id="2" w:name="section_2"/>
      <w:pPr>
        <w:pStyle w:val="Heading1"/>
      </w:pPr>
      <w:r>
        <w:t>2 Realität und menschliche Karte</w:t>
      </w:r>
      <w:bookmarkEnd w:id="2"/>
    </w:p>
    <w:p>
      <w:pPr>
        <w:pStyle w:val="Heading2"/>
      </w:pPr>
      <w:r>
        <w:t>Die Realität geht dem Menschen voraus</w:t>
      </w:r>
    </w:p>
    <w:p>
      <w:r>
        <w:rPr>
          <w:b w:val="0"/>
        </w:rPr>
        <w:t>Die erste philosophische These von CDJ lautet: Der Mensch findet sich in einer bereits bestehenden Wirklichkeit vor. Sein Leib, seine Geschichte, seine Beziehungen, seine Sprache und seine Möglichkeiten sind nicht ursprünglich sein eigenes Werk. Er tritt in eine Welt ein, die seinen Wünschen widersteht und seine Vorstellungen widerlegen kann. Darin besteht der grundlegende Realismus des Projekts.</w:t>
      </w:r>
    </w:p>
    <w:p>
      <w:r>
        <w:rPr>
          <w:b w:val="0"/>
        </w:rPr>
        <w:t>Aus der Unabhängigkeit der Realität folgt jedoch nicht, dass der Mensch sie unmittelbar und vollständig sieht. Zwischen Wirklichkeit und Handlung liegt das vom Menschen angeeignete Weltbild. Zwei Menschen können dieselben Tatsachen kennen und dennoch in verschiedenen Welten leben: Der eine sieht in Kritik eine Korrekturmöglichkeit, der andere einen Angriff auf sein Existenzrecht. Nicht nur die Meinung über einen Sachverhalt unterscheidet sich, sondern auch die Verteilung dessen, was als bedeutsam, gefährlich, zulässig und möglich erscheint.</w:t>
      </w:r>
    </w:p>
    <w:p>
      <w:r>
        <w:rPr>
          <w:b w:val="0"/>
        </w:rPr>
        <w:t>Deshalb unterscheidet CDJ zwischen Realität und Karte. Die Karte ist notwendig: Ohne Auswahl, Unterscheidung und Verknüpfung ist sinnvolles Handeln unmöglich. Gefährlich wird es, wenn die Karte sich zur endgültigen Gesamtheit erklärt und keine Informationen über ihre eigenen Grenzen mehr annimmt. Dann wird Irrtum zur Lebensweise. Der Mensch verteidigt nicht ein einzelnes falsches Urteil, sondern eine Weltordnung, die ihm erlaubt, derjenige zu bleiben, für den er sich hält. [I, „Essay …“, Kap.1; III, Abschnitt II.]</w:t>
      </w:r>
    </w:p>
    <w:p>
      <w:pPr>
        <w:pStyle w:val="Heading2"/>
      </w:pPr>
      <w:r>
        <w:t>Wahrheit als Verhältnis und als Prüfung</w:t>
      </w:r>
    </w:p>
    <w:p>
      <w:r>
        <w:rPr>
          <w:b w:val="0"/>
        </w:rPr>
        <w:t>Im I. Band wird Wahrheit über die Anerkennung der Realität beschrieben. Es geht um den Unterschied zwischen „Ich weiß, dass dies geschehen ist“ und „Ich bin bereit, mein weiteres Leben unter Berücksichtigung des Geschehenen zu gestalten“. Ein Mensch kann im Gespräch eine Niederlage anerkennen und weiterhin Entscheidungen treffen, als hätte sie nicht stattgefunden. Das Wissen ist noch nicht zum Handlungsgrund geworden.</w:t>
      </w:r>
    </w:p>
    <w:p>
      <w:r>
        <w:t>Dies erweitert die Wahrheitsfrage, hebt die Genauigkeit von Aussagen aber nicht auf. Sind die Tatsachen falsch, kann die Bereitschaft, „nach der Wahrheit“ zu leben, lediglich die konsequente Befolgung eines Irrtums bedeuten. In der hier vorgeschlagenen Interpretation verbindet CDJ deshalb die Überprüfbarkeit von Urteilen mit der existenziellen Bereitschaft, ihre Folgen anzunehmen. Im III. Band wird diese Verbindung durch die Forderung geschützt, Tatsache, Interpretation, Norm, Projekt und Prognose zu unterscheiden.</w:t>
      </w:r>
    </w:p>
    <w:p>
      <w:r>
        <w:rPr>
          <w:b w:val="0"/>
        </w:rPr>
        <w:t>Hierher gehört der Begriff der Diskrepanzinformation. Gemeint ist Information, die eine Kluft sichtbar macht: zwischen Wirklichkeit und wirkendem Modell, dem Maßstab einer Aufgabe und den Möglichkeiten eines Instruments, der erklärten Funktion und dem Ergebnis. Sie liefert nicht immer eine fertige Lösung. Manchmal besteht ihr einziger verlässlicher Gehalt darin, dass die bisherige Handlungsweise nicht länger als gerechtfertigt gelten kann.</w:t>
      </w:r>
    </w:p>
    <w:p>
      <w:pPr>
        <w:pStyle w:val="Heading2"/>
      </w:pPr>
      <w:r>
        <w:t>Metaphysik und wirkende Ontologie</w:t>
      </w:r>
    </w:p>
    <w:p>
      <w:r>
        <w:rPr>
          <w:b w:val="0"/>
        </w:rPr>
        <w:t>In der Sprache von CDJ legt Metaphysik die letzten Voraussetzungen fest: Was ist letztlich wirklich, woher kommt Sinn, worauf gründet die Verbindlichkeit der Wahrheit? Die wirkende Ontologie zeigt, wie diese Voraussetzungen in der tatsächlichen Welt des Subjekts Gestalt annehmen: Was unterscheidet es, welche Handlungen kann es vollziehen, wem kommt die Initiative zu?</w:t>
      </w:r>
    </w:p>
    <w:p>
      <w:r>
        <w:rPr>
          <w:b w:val="0"/>
        </w:rPr>
        <w:t>Eine Organisation verkündet beispielsweise den Wert des Menschen, ihre Berichterstattung erfasst jedoch ausschließlich die Zahl der Vorgänge. Die ausdrücklich erklärte Metaphysik und die tatsächlich reproduzierte Ontologie fallen auseinander. Im alltäglichen Handeln erscheint der Mensch als Verarbeitungseinheit. Um dies zu ändern, genügt es nicht, die Erklärung zu wiederholen. Verändert werden müssen die Weisen des Sehens, Entscheidens, Bewertens und Verantwortens.</w:t>
      </w:r>
    </w:p>
    <w:p>
      <w:r>
        <w:rPr>
          <w:b w:val="0"/>
        </w:rPr>
        <w:t>Die angewandte Metaphysik untersucht solche Zusammenhänge. Sie macht Voraussetzungen sichtbar, prüft ihre Folgen und eröffnet die Möglichkeit ihrer Revision. Sie verspricht nicht, sich endgültig von allen Voraussetzungen zu befreien: Auch der Forschende arbeitet mithilfe einer Karte. Eine ausgereifte Methode muss deshalb die Korrektur ihrer eigenen Rekonstruktion zulassen. [I, „Essay …“, Einleitung und Kap.5; III, §§112–114, 132–134.]</w:t>
      </w:r>
    </w:p>
    <w:p>
      <w:bookmarkStart w:id="3" w:name="section_3"/>
      <w:pPr>
        <w:pStyle w:val="Heading1"/>
      </w:pPr>
      <w:r>
        <w:t>3 Abgeleitetheit und eigene Antwort</w:t>
      </w:r>
      <w:bookmarkEnd w:id="3"/>
    </w:p>
    <w:p>
      <w:pPr>
        <w:pStyle w:val="Heading2"/>
      </w:pPr>
      <w:r>
        <w:t>Drei Bedeutungen von Abhängigkeit</w:t>
      </w:r>
    </w:p>
    <w:p>
      <w:r>
        <w:rPr>
          <w:b w:val="0"/>
        </w:rPr>
        <w:t>Die Grundfrage des Projekts lässt sich so formulieren: Wie wird ein Wesen, dessen Anfang bereits gesetzt ist, selbst zu einem anfangenden Wesen? Der Mensch wählt nicht die ursprünglichen Bedingungen seines Erscheinens. Daraus folgt aber noch nicht, dass sein gesamtes weiteres Leben ausschließlich als Fortsetzung äußerer Einwirkungen verstanden werden muss.</w:t>
      </w:r>
    </w:p>
    <w:p>
      <w:r>
        <w:rPr>
          <w:b w:val="0"/>
        </w:rPr>
        <w:t>Hier sind drei Verhältnisse zu unterscheiden. Das erste ist der empfangene Charakter des Daseins selbst. Er wird weder durch Freiheit noch durch Reife noch durch Vergöttlichung aufgehoben. Das zweite ist die Reproduktion fremder Vorgaben ohne eigene Aneignung und Prüfung. Gerade diese Unselbstständigkeit möchte das Projekt überwinden. Das dritte ist die eigene Antwort innerhalb des fortbestehenden Empfangenseins: Der Mensch nimmt das Gegebene an, betrachtet es jedoch nicht als den erschöpfenden Urheber seiner nächsten Handlung.</w:t>
      </w:r>
    </w:p>
    <w:p>
      <w:r>
        <w:rPr>
          <w:b w:val="0"/>
        </w:rPr>
        <w:t>Den eigenen Anfang anzunehmen bedeutet nicht, Gewalt, Unrecht oder Irrtum gutzuheißen, die zur Geschichte dieses Anfangs gehören. Die Annahme stellt fest, mit welcher Wirklichkeit der Mensch es zu tun hat. Verantwortung beginnt dort, wo er klärt, was nun von seiner Antwort abhängt. Sie ist keine rückwirkende Übernahme von Schuld für alles, was er nicht gewählt hat. [II, „Genesis der Subjekthaftigkeit“, §§5.1–5.2; „Ontogenese der Subjekthaftigkeit“, §§2–5.]</w:t>
      </w:r>
    </w:p>
    <w:p>
      <w:pPr>
        <w:pStyle w:val="Heading2"/>
      </w:pPr>
      <w:r>
        <w:t>Die Antwort geht der Wahl voraus</w:t>
      </w:r>
    </w:p>
    <w:p>
      <w:r>
        <w:rPr>
          <w:b w:val="0"/>
        </w:rPr>
        <w:t>Das übliche Freiheitsmodell beginnt mit einem Menü von Möglichkeiten: Der Mensch ist frei, wenn er zwischen A und B wählen kann. CDJ richtet die Aufmerksamkeit auf die Herkunft dieses Menüs. Wer hat bestimmt, dass nur A und B möglich sind? Wer hat andere Möglichkeiten ausgeschlossen? Kann der Mensch die Fragestellung verändern?</w:t>
      </w:r>
    </w:p>
    <w:p>
      <w:r>
        <w:rPr>
          <w:b w:val="0"/>
        </w:rPr>
        <w:t>Ein Arzt, der zwischen zwei zugelassenen Verfahren wählt, trifft eine wirkliche Wahl. Wenn jedoch keines der beiden Verfahren dem Zustand des Patienten entspricht, ist eine weitere Fähigkeit erforderlich: die geltende Klassifikation infrage zu stellen und ihre Revision zu erreichen. Dies veranschaulicht den Unterschied zwischen einer Wahl innerhalb eines vorgegebenen Raums und einer Antwort, die den Raum des Möglichen verändert.</w:t>
      </w:r>
    </w:p>
    <w:p>
      <w:r>
        <w:rPr>
          <w:b w:val="0"/>
        </w:rPr>
        <w:t>Antwort bedeutet nicht beliebige Neuheit. Eine ungewöhnliche Handlung kann zufällig sein, während die Wiederholung einer bekannten Lösung eigenes verantwortliches Handeln sein kann. Entscheidend sind die Autorschaft des Verhältnisses zur Situation, die Annahme der Folgen und die Fähigkeit zur Korrektur. Der Mensch antwortet nicht deshalb, weil er alles von Grund auf erfunden hätte, sondern weil er sich die Entscheidung als eigene angeeignet hat und ihr verantwortlicher Träger bleibt.</w:t>
      </w:r>
    </w:p>
    <w:p>
      <w:pPr>
        <w:pStyle w:val="Heading2"/>
      </w:pPr>
      <w:r>
        <w:t>Subjekthaftigkeit ist nicht gleich Tugend</w:t>
      </w:r>
    </w:p>
    <w:p>
      <w:r>
        <w:rPr>
          <w:b w:val="0"/>
        </w:rPr>
        <w:t>In den Bänden II–III wird Subjekthaftigkeit von der sittlichen Wahrheit der Antwort unterschieden. Ein Mensch kann eigenständig ein zerstörerisches Projekt beginnen. Er kann klug, konsequent, initiativ und in einem begrenzten Sinn verantwortlich sein und diese Fähigkeiten gegen andere richten. Die Stärke seiner Autorschaft bestätigt nicht die Richtigkeit ihres Grundes.</w:t>
      </w:r>
    </w:p>
    <w:p>
      <w:r>
        <w:rPr>
          <w:b w:val="0"/>
        </w:rPr>
        <w:t>Diese Unterscheidung ist auch für das Verständnis der Gottebenbildlichkeit notwendig. Die Möglichkeit zu antworten verschwindet nicht automatisch mit einer falschen Antwort; andernfalls wäre Verantwortung für das Böse unverständlich. Zu unterscheiden sind das Vorhandensein einer Fähigkeit, ihre tatsächliche Aktualisierung und die Qualität ihrer Richtung. Zugleich verwenden mehrere Formulierungen des I. Bandes „Subjekthaftigkeit“ in einem strengeren, normativ gehaltvollen Sinn: als bereits richtiges Verhältnis zur Realität. Dies ist eine wesentliche Akzentverschiebung, auf die der kritische Teil zurückkommen wird. [III, §§11–13, 125; II, „Ontogenese der Subjekthaftigkeit“, §15.]</w:t>
      </w:r>
    </w:p>
    <w:p>
      <w:bookmarkStart w:id="4" w:name="section_4"/>
      <w:pPr>
        <w:pStyle w:val="Heading1"/>
      </w:pPr>
      <w:r>
        <w:t>4 Autonomie und ontologische Umadressierung</w:t>
      </w:r>
      <w:bookmarkEnd w:id="4"/>
    </w:p>
    <w:p>
      <w:pPr>
        <w:pStyle w:val="Heading2"/>
      </w:pPr>
      <w:r>
        <w:t>Warum der Mensch Selbstständigkeit braucht</w:t>
      </w:r>
    </w:p>
    <w:p>
      <w:r>
        <w:rPr>
          <w:b w:val="0"/>
        </w:rPr>
        <w:t>Im I. Band führt das Werden des Subjekts über Fundierung, Selbstbestimmung, Dekolonisierung der Person und Entwicklung der Autonomie. Fundierung bezeichnet die Annahme der eigenen Position; Dekolonisierung die Befreiung von Vorgaben, die faktisch anstelle des Menschen denken und entscheiden. Autonomie ermöglicht es, die eigene Position unter Druck zu bewahren und einen eigenen Zukunftsentwurf zu entwickeln.</w:t>
      </w:r>
    </w:p>
    <w:p>
      <w:r>
        <w:rPr>
          <w:b w:val="0"/>
        </w:rPr>
        <w:t>Diese Phase kann nicht durch den äußeren Befehl „Verzichte auf dich selbst“ ersetzt werden. Wenn ein Mensch noch nicht selbst antworten kann, kann der Verzicht auf Selbstständigkeit seine Abhängigkeit von einem anderen Menschen oder einer Institution festigen. Gerade deshalb unterscheidet CDJ nachdrücklich zwischen christlicher Umadressierung und totalitärer Unterwerfung.</w:t>
      </w:r>
    </w:p>
    <w:p>
      <w:r>
        <w:rPr>
          <w:b w:val="0"/>
        </w:rPr>
        <w:t>Im I. Band wird Selbstständigkeit allerdings bis zum Äußersten radikalisiert: Das Subjekt soll versuchen, einen universalen Anspruch aus eigener Kraft aufrechtzuerhalten, und die Unmöglichkeit der Selbstbegründung entdecken. Eine redliche Darstellung dieses Textes kann nicht behaupten, die Forderung, die Autonomie zu durchlaufen, sei vollständig vom Kommentator erfunden. Sie findet sich ausdrücklich im „Essay …“ und im Modell ontologischer Therapie. Die Frage betrifft den genauen Sinn dieser Autonomie. [I, „Essay …“, Kap.2, §§2, 7, 9–11; „Die Kirche als Infrastruktur …“, Punkte 4–7.]</w:t>
      </w:r>
    </w:p>
    <w:p>
      <w:pPr>
        <w:pStyle w:val="Heading2"/>
      </w:pPr>
      <w:r>
        <w:t>Die Grenze der Selbstbegründung</w:t>
      </w:r>
    </w:p>
    <w:p>
      <w:r>
        <w:rPr>
          <w:b w:val="0"/>
        </w:rPr>
        <w:t>Der Mensch kann Urheber eines Projekts sein, sich jedoch nicht zur Ursache seines eigenen Daseins machen, die Endlichkeit aufheben oder den endgültigen Sinn aller Folgen garantieren. Die Ausweitung des Projekts vergrößert die Verantwortung und macht zugleich sichtbar, dass der Anspruch den verfügbaren Kräften nicht entspricht.</w:t>
      </w:r>
    </w:p>
    <w:p>
      <w:r>
        <w:rPr>
          <w:b w:val="0"/>
        </w:rPr>
        <w:t>Diese Überlegung besitzt einen starken Kern: Praktische Selbstständigkeit ist nicht gleich metaphysische Selbstgenügsamkeit. Aus der Abhängigkeit von Bedingungen folgt nicht, dass der Mensch nicht handelt; aus der Wirklichkeit seines Handelns folgt nicht, dass er von nichts abhängig ist. CDJ versucht, beide Seiten zugleich festzuhalten.</w:t>
      </w:r>
    </w:p>
    <w:p>
      <w:r>
        <w:rPr>
          <w:b w:val="0"/>
        </w:rPr>
        <w:t>Die stärkere These des I. Bandes, jedes Subjekt müsse einen tatsächlichen Versuch universaler Selbstbegründung durchlaufen, bedarf einer eigenen Begründung. Es lässt sich fragen, warum ein Mensch nicht von Anfang an Endlichkeit und Verantwortung annehmen kann, ohne absolute Unabhängigkeit zu beanspruchen. Die „Genesis der Subjekthaftigkeit“ im II. Band beginnt gerade mit einer Hermeneutik des Empfangenseins und der Verantwortung. Eine zusammenhängende Lektüre des Korpus muss daher zwischen dem notwendigen Werden der Selbstständigkeit und einer möglichen radikalen Prüfung ihrer Grenze unterscheiden.</w:t>
      </w:r>
    </w:p>
    <w:p>
      <w:pPr>
        <w:pStyle w:val="Heading2"/>
      </w:pPr>
      <w:r>
        <w:t>Was umadressiert wird</w:t>
      </w:r>
    </w:p>
    <w:p>
      <w:r>
        <w:rPr>
          <w:b w:val="0"/>
        </w:rPr>
        <w:t>Ontologische Umadressierung bezeichnet eine Veränderung des letzten Lebensgrundes. Der Mensch hört auf, die eigene Erhaltung, das eigene Begehren oder den geschichtlichen Erfolg als absolutes Kriterium zu betrachten. Die Entscheidung bleibt jedoch seine Entscheidung. Er überträgt die Verantwortung nicht auf einen anderen und erhält kein Recht, jede beliebige Handlung mit dem Hinweis auf einen höheren Willen zu rechtfertigen.</w:t>
      </w:r>
    </w:p>
    <w:p>
      <w:r>
        <w:rPr>
          <w:b w:val="0"/>
        </w:rPr>
        <w:t>In christlicher Perspektive ist der Adressat Gott, der sich in Christus offenbart. Der Name Gottes kann allerdings eine ganz andere Abhängigkeit verdecken. Wenn faktisch die Unfehlbarkeit eines Leiters, das Ansehen einer Institution oder der nationale Sieg zum letzten Grund wird, bezeugt die religiöse Sprache allein noch keine Umadressierung auf Gott.</w:t>
      </w:r>
    </w:p>
    <w:p>
      <w:r>
        <w:rPr>
          <w:b w:val="0"/>
        </w:rPr>
        <w:t>Der praktische Prüfstein ist die Möglichkeit der Korrektur: Kann der Mensch anerkennen, dass seine Deutung des göttlichen Willens falsch war? Behält er die Verantwortung für sein eigenes Verständnis? Kann er die Wirklichkeit eines anderen Menschen anerkennen, wenn dieser seinem Projekt im Weg steht? Eine Umadressierung, die solche Fragen ausschließt, droht gerade jene Kolonisierung zu reproduzieren, die sie überwinden soll.</w:t>
      </w:r>
    </w:p>
    <w:p>
      <w:bookmarkStart w:id="5" w:name="section_5"/>
      <w:pPr>
        <w:pStyle w:val="Heading1"/>
      </w:pPr>
      <w:r>
        <w:t>5 Die Architektur menschlicher Antwort</w:t>
      </w:r>
      <w:bookmarkEnd w:id="5"/>
    </w:p>
    <w:p>
      <w:pPr>
        <w:pStyle w:val="Heading2"/>
      </w:pPr>
      <w:r>
        <w:t>Der Dynamische Ikonische Raum</w:t>
      </w:r>
    </w:p>
    <w:p>
      <w:r>
        <w:rPr>
          <w:b w:val="0"/>
        </w:rPr>
        <w:t>Der DIS bezeichnet die Weise, in der die Welt für das Subjekt gegenwärtig ist. Er umfasst nicht nur Informationen über Gegenstände, sondern auch Zusammenhänge, Bedeutsamkeit, Maßstab, Zeit, Bedrohungen, Erwartungen und Bilder des Möglichen. Das Wort „ikonisch“ beschränkt sich hier nicht auf Bilder oder kirchliche Ikonen: Gemeint ist die Darstellung der Wirklichkeit, durch die das Subjekt sich orientiert und handelt.</w:t>
      </w:r>
    </w:p>
    <w:p>
      <w:r>
        <w:rPr>
          <w:b w:val="0"/>
        </w:rPr>
        <w:t>Die Qualität des DIS bestimmt sich nicht allein durch die Wissensmenge. Man kann viele Einzelheiten kennen und das Ganze nicht sehen; in gewaltigen historischen Maßstäben denken und den konkreten Menschen nicht wahrnehmen; ein klares Bild der Gegenwart festhalten und zeitlich verzögerte Folgen übersehen. Wichtig sind deshalb Umfang, Auflösungsvermögen, Verbundenheit, Tiefe, Dynamik, Offenheit sowie die Fähigkeit, einen Widerspruch auszuhalten, ohne vorschnell eine seiner Seiten zu beseitigen.</w:t>
      </w:r>
    </w:p>
    <w:p>
      <w:r>
        <w:rPr>
          <w:b w:val="0"/>
        </w:rPr>
        <w:t>Wer den Staatshaushalt für die persönliche Geldbörse des Herrschers hält, irrt sich nicht bloß in einzelnen Zahlen. Gegenstand, Kausalität und Verantwortung sind für ihn anders dargestellt. Eine Veränderung des DIS bedeutet, dass der Haushalt als verteiltes System von Verpflichtungen, Einnahmen, Ausgaben und künftigen Folgen sichtbar wird. [II, „Qualität der Ontologie“, §§1–3; III, §22 und Abschnitt IV.]</w:t>
      </w:r>
    </w:p>
    <w:p>
      <w:pPr>
        <w:pStyle w:val="Heading2"/>
      </w:pPr>
      <w:r>
        <w:t>Das Betriebssystem</w:t>
      </w:r>
    </w:p>
    <w:p>
      <w:r>
        <w:rPr>
          <w:b w:val="0"/>
        </w:rPr>
        <w:t>Das OS ist die Gesamtheit der Weisen des Umgangs mit der Wirklichkeit. CDJ unterscheidet einen rezeptiv-interpretativen, einen projektiv-ausführenden und einen reflexiv-korrigierenden Funktionskreis: wie das Subjekt Informationen aufnimmt und versteht; wie es Handlungen entwirft und ausführt; wie es Folgen bewertet und sich selbst korrigiert.</w:t>
      </w:r>
    </w:p>
    <w:p>
      <w:r>
        <w:rPr>
          <w:b w:val="0"/>
        </w:rPr>
        <w:t>Ein Mensch kann ein Problem sehen und über keine Operation verfügen, mit der er es lösen könnte. Eine Organisation kann verlässliche Informationen sammeln, ohne ein Verfahren zu besitzen, mit dem sich nach deren Eingang eine Entscheidung ändern lässt. Auch das Gegenteil ist möglich: Das Verfahren besteht formal, wird aber in einer bestimmten Klasse von Situationen niemals aktiviert. Diese Fälle verlangen unterschiedliche Erklärungen und unterschiedliche Veränderungen.</w:t>
      </w:r>
    </w:p>
    <w:p>
      <w:r>
        <w:rPr>
          <w:b w:val="0"/>
        </w:rPr>
        <w:t>Das OS ist kein verborgenes zweites Subjekt im Menschen. Es ist eine analytische Bezeichnung seiner verfügbaren und tatsächlich verwendeten Operationen. Ebenso wenig „trifft“ der DIS „Entscheidungen“: Der ganze Mensch sieht, entscheidet und handelt.</w:t>
      </w:r>
    </w:p>
    <w:p>
      <w:pPr>
        <w:pStyle w:val="Heading2"/>
      </w:pPr>
      <w:r>
        <w:t>Subjekthaftigkeit und Szenariobuch</w:t>
      </w:r>
    </w:p>
    <w:p>
      <w:r>
        <w:rPr>
          <w:b w:val="0"/>
        </w:rPr>
        <w:t>Die dritte Dimension beantwortet die Frage: Wer ist der wirkliche Urheber der Antwort? Wer verfügt über Initiative, Widerspruchs-, Korrektur- und Abbruchrechte? Zu wem kehren die Folgen zurück? In einem komplexen System können diese Befugnisse verteilt sein. Dass es kein einziges Zentrum gibt, bedeutet für sich genommen nicht, dass Subjekthaftigkeit fehlt; zu klären ist, ob die verteilten Funktionen einen zusammenhängenden Funktionskreis bilden.</w:t>
      </w:r>
    </w:p>
    <w:p>
      <w:r>
        <w:rPr>
          <w:b w:val="0"/>
        </w:rPr>
        <w:t>Die Formel „DIS × OS × Subjekthaftigkeit“ drückt die wechselseitige Abhängigkeit dieser Dimensionen aus. Sie ist keine Berechnung mit bekannten Einheiten und Koeffizienten. Ein reiches Weltbild gewährleistet keine Handlungsfähigkeit; entwickelte Operationen gewährleisten keine eigene Autorschaft; starke Initiative gleicht Blindheit nicht aus.</w:t>
      </w:r>
    </w:p>
    <w:p>
      <w:r>
        <w:rPr>
          <w:b w:val="0"/>
        </w:rPr>
        <w:t>Das Szenariobuch bezeichnet stabile Regeln, die diese Dimensionen in einer bestimmten Situation verbinden. Eine Institution kann beispielsweise Entscheidungen revidieren, erkennt aber jede öffentliche Kritik als Bedrohung. Dann wird die verfügbare Korrekturoperation gerade in der Situation der Kritik systematisch blockiert. Um die Existenz einer solchen Regel nachzuweisen, reicht eine einzelne Episode nicht aus: Erforderlich sind vergleichbare Fälle oder eine unabhängige Bestätigung. [III, §22а, §§113а, 118а.]</w:t>
      </w:r>
    </w:p>
    <w:p>
      <w:pPr>
        <w:pStyle w:val="Heading2"/>
      </w:pPr>
      <w:r>
        <w:t>Qualität der Ontologie und ontologische Kompetenz</w:t>
      </w:r>
    </w:p>
    <w:p>
      <w:r>
        <w:rPr>
          <w:b w:val="0"/>
        </w:rPr>
        <w:t>Die Qualität der Ontologie kennzeichnet die Beschaffenheit der wirkenden Welt des Subjekts. Ontologische Kompetenz bezeichnet seine Fähigkeit, sich in dieser Welt zu orientieren, die Grenzen der eigenen Karte zu sehen, notwendige Kenntnisse und Handlungsweisen aufeinander abzustimmen, Diskrepanz auszuhalten und eine Antwort hervorzubringen.</w:t>
      </w:r>
    </w:p>
    <w:p>
      <w:r>
        <w:rPr>
          <w:b w:val="0"/>
        </w:rPr>
        <w:t>Diese Unterscheidung schützt das Projekt vor Intellektualismus. Eine umfassende Theorie garantiert keine Handlungsfähigkeit, und klares Verständnis garantiert keine Verwirklichung eines Projekts. Kompetenz umfasst das Verhältnis zu den eigenen Grenzen: Einen Fachkundigen zu finden, unzureichende Daten anzuerkennen oder eine unanwendbare Methode zu stoppen, ist manchmal wichtiger, als noch eine Erklärung anzubieten. Fundiertheit und Werteordnung durchziehen die gesamte Architektur: Wofür werden Fähigkeiten eingesetzt, und was wird beim Zusammenstoß von Gütern geopfert? [II, „Qualität der Ontologie“, §§4–9; III, §§32–36.]</w:t>
      </w:r>
    </w:p>
    <w:p>
      <w:bookmarkStart w:id="6" w:name="section_6"/>
      <w:pPr>
        <w:pStyle w:val="Heading1"/>
      </w:pPr>
      <w:r>
        <w:t>6 Personwerdung und geschichtliches Handeln</w:t>
      </w:r>
      <w:bookmarkEnd w:id="6"/>
    </w:p>
    <w:p>
      <w:pPr>
        <w:pStyle w:val="Heading2"/>
      </w:pPr>
      <w:r>
        <w:t>Von der Annahme des Anfangs zur eigenen Stimme</w:t>
      </w:r>
    </w:p>
    <w:p>
      <w:r>
        <w:rPr>
          <w:b w:val="0"/>
        </w:rPr>
        <w:t>Die „Genesis der Subjekthaftigkeit“ untersucht die Bedingungen des Entstehens einer Antwort; die „Ontogenese der Subjekthaftigkeit“ ihr Werden im menschlichen Leben. Das sind unterschiedliche Fragen. Festzustellen, dass empfangenes Sein mit Autorschaft vereinbar ist, erklärt noch nicht, wie ein konkreter Mensch zu antworten lernt, seine Identität bewahrt und Beziehungen eingeht.</w:t>
      </w:r>
    </w:p>
    <w:p>
      <w:r>
        <w:rPr>
          <w:b w:val="0"/>
        </w:rPr>
        <w:t>Ausgangspunkt ist die Annahme einer sinnhaften Bestimmtheit der Realität: Der Unterschied zwischen Entsprechung und Nichtentsprechung besteht und lässt sich entdecken. Auf menschlicher Seite sind Empfänglichkeit für Freiheit und die Möglichkeit erforderlich, über das bereits Verwirklichte hinauszugehen. Doch der „Geschmack an der Freiheit“ kann für sich genommen zur Willkür werden. Er muss mit der Annahme der Wirklichkeit, einer Hermeneutik der Verantwortung, der Orientierung am maximalen Grund und der Bereitschaft zur Prüfung verbunden werden.</w:t>
      </w:r>
    </w:p>
    <w:p>
      <w:r>
        <w:t>Sich selbst anzunehmen bedeutet in diesem Prozess keine Selbstzufriedenheit. Der Mensch nimmt den Träger seiner Geschichte an, um sie fortsetzen und verändern zu können. Identität entsteht als Kontinuität der Antwort: Auch im Wandel kann der Mensch eine frühere Tat als seine eigene anerkennen, ihre Folgen korrigieren und darauf verzichten, die Vergangenheit einem fremden Menschen zuzuschreiben, der er angeblich früher gewesen sei.</w:t>
      </w:r>
    </w:p>
    <w:p>
      <w:r>
        <w:rPr>
          <w:b w:val="0"/>
        </w:rPr>
        <w:t>Ontische Subjekthaftigkeit – die Fähigkeit, in einer konkreten Welt zu handeln und zu antworten – bildet die notwendige Grundlage weiterer Ebenen. Man kann sie nicht überspringen und unmittelbar zu einer universalen Mission übergehen. Wenn jemand im Namen des Schicksals der Menschheit spricht, sich aber systematisch einfachen Verpflichtungen entzieht, sagt die Größenordnung seiner Erklärung noch nichts über die Qualität seiner Subjekthaftigkeit aus. [II, „Genesis der Subjekthaftigkeit“; „Ontogenese der Subjekthaftigkeit“, §§1–9.]</w:t>
      </w:r>
    </w:p>
    <w:p>
      <w:pPr>
        <w:pStyle w:val="Heading2"/>
      </w:pPr>
      <w:r>
        <w:t>Durchbruch und Kristallisation</w:t>
      </w:r>
    </w:p>
    <w:p>
      <w:r>
        <w:rPr>
          <w:b w:val="0"/>
        </w:rPr>
        <w:t>Ein ontologischer Durchbruch geschieht, wenn nicht eine einzelne Aufgabe, sondern die Struktur der Welt infrage steht, innerhalb deren Aufgaben unterschieden wurden. Eine solche Erfahrung erweitert das Mögliche, verbürgt aber keine Wahrheit. Ein starkes Erlebnis, eine ungewöhnliche Idee oder die Auflösung einer bisherigen Identität können einen neuen Horizont eröffnen und zugleich zu falscher Gewissheit führen.</w:t>
      </w:r>
    </w:p>
    <w:p>
      <w:r>
        <w:rPr>
          <w:b w:val="0"/>
        </w:rPr>
        <w:t>Nach dem Durchbruch sind deshalb Prüfung und Kristallisation notwendig: Die neue Unterscheidung muss eine beständige Form, Sprache, Praxis und Vermittlungsfähigkeit gewinnen. Eine verfrühte Kristallisation ist gefährlich, weil sie die erste gelungene Interpretation in ein unfehlbares System verwandelt. Auch fehlende Kristallisation hat ihren Preis: Die Erfahrung bleibt ein Aufblitzen, das die nächste Handlung nicht verändert.</w:t>
      </w:r>
    </w:p>
    <w:p>
      <w:r>
        <w:rPr>
          <w:b w:val="0"/>
        </w:rPr>
        <w:t>Der generative Übergang geht weiter. Das Subjekt eignet sich nicht nur eine fertige Form an, sondern schafft neue Weisen des Erkennens und Handelns, die andere übernehmen können. Für die Bewertung eines solchen Übergangs muss der Maßstab angegeben werden. Eine Lösung, die für einen Menschen neu ist, ist nicht notwendig für einen Beruf neu; eine historisch neue Institution eröffnet nicht notwendig ein neues Prinzip menschlichen Daseins. [II, „Ontogenese der Subjekthaftigkeit“, §§10–14; III, Abschnitt III.]</w:t>
      </w:r>
    </w:p>
    <w:p>
      <w:pPr>
        <w:pStyle w:val="Heading2"/>
      </w:pPr>
      <w:r>
        <w:t>Zwei unabhängige Fähigkeiten</w:t>
      </w:r>
    </w:p>
    <w:p>
      <w:r>
        <w:rPr>
          <w:b w:val="0"/>
        </w:rPr>
        <w:t>CDJ unterscheidet ontologische Kompetenz und sozio-ontische Projektualität. Die erste ermöglicht es, die Gründe, Grenzen und den menschlichen Sinn eines Projekts zu erkennen. Die zweite besteht darin, Organisation, Recht sowie wirtschaftliche und administrative Formen zu schaffen, durch die das Projekt in die Geschichte eintritt.</w:t>
      </w:r>
    </w:p>
    <w:p>
      <w:r>
        <w:rPr>
          <w:b w:val="0"/>
        </w:rPr>
        <w:t>Ein scharfsinniger Denker muss nicht fähig sein, gemeinsames Handeln zu organisieren. Ein erfolgreicher Organisator kann ein zutiefst falsches Weltbild verwirklichen. Geschichtliche Macht ist folglich kein hinreichender Wahrheitsbeweis, und richtiges Verständnis ist keine hinreichende Bedingung für ein geschichtliches Ergebnis.</w:t>
      </w:r>
    </w:p>
    <w:p>
      <w:r>
        <w:rPr>
          <w:b w:val="0"/>
        </w:rPr>
        <w:t>Messianische Identität bezeichnet das Verständnis des eigenen Lebens als Berufung und Sendung. Sie garantiert keine gute Richtung: Auch Nation, Klasse oder Staat können zum absoluten Adressaten erhoben werden. In der christlichen Gestalt nimmt der Mensch sein Gesandtsein an, ohne sich die Rolle des endgültigen Retters anzueignen. Sein konkretes Projekt bleibt menschlich, begrenzt und korrigierbar. [II, „Ontogenese der Subjekthaftigkeit“, §§15–18; „Eschatologische Subjekthaftigkeit“, §§5–8.]</w:t>
      </w:r>
    </w:p>
    <w:p>
      <w:bookmarkStart w:id="7" w:name="section_7"/>
      <w:pPr>
        <w:pStyle w:val="Heading1"/>
      </w:pPr>
      <w:r>
        <w:t>7 Der Logos und die Möglichkeit von Sinn</w:t>
      </w:r>
      <w:bookmarkEnd w:id="7"/>
    </w:p>
    <w:p>
      <w:pPr>
        <w:pStyle w:val="Heading2"/>
      </w:pPr>
      <w:r>
        <w:t>Warum Verbundenheit nicht genügt</w:t>
      </w:r>
    </w:p>
    <w:p>
      <w:r>
        <w:rPr>
          <w:b w:val="0"/>
        </w:rPr>
        <w:t>CDJ unterscheidet zwischen dem Bestehen einer Verbindung und sinnvoller Begegnung. Menschen können fortwährend Nachrichten austauschen, Handel treiben und Rollen erfüllen, ohne einander als eigenständige Träger einer Antwort anzuerkennen. Verbundenheit allein lässt Manipulation und Herrschaft zu.</w:t>
      </w:r>
    </w:p>
    <w:p>
      <w:r>
        <w:rPr>
          <w:b w:val="0"/>
        </w:rPr>
        <w:t>Im I. Band wird dies durch die Unterscheidung zwischen geschlossener und gegründeter Relationalität ausgedrückt. Eine geschlossene Beziehung versucht, ihren letzten Grund ausschließlich in den Beteiligten zu finden; jeder droht sich zum letzten Maß des anderen zu machen. Eine gegründete Beziehung setzt voraus, dass keiner der Beteiligten das Recht besitzt, den anderen endgültig zu bestimmen, weil beide auf einen sie übersteigenden Grund bezogen sind.</w:t>
      </w:r>
    </w:p>
    <w:p>
      <w:r>
        <w:rPr>
          <w:b w:val="0"/>
        </w:rPr>
        <w:t>In dieser Konstruktion erfüllt der Logos zwei miteinander verbundene Aufgaben. Philosophisch bezeichnet er die letzte sinnhafte Bestimmtheit, dank deren sich Wahrheit und Falschheit, Angemessenheit und Willkür unterscheiden lassen. Theologisch ist der Logos der menschgewordene Sohn Gottes. Die Verbindung zwischen diesen Registern muss gewahrt bleiben, ohne das zweite durch das erste zu ersetzen. Christus erschöpft sich nicht im Prinzip logischer Kohärenz. [I, „Essay …“, Kap.4–6; „Zur Ontologie des Logos“; III, §§9–12.]</w:t>
      </w:r>
    </w:p>
    <w:p>
      <w:pPr>
        <w:pStyle w:val="Heading2"/>
      </w:pPr>
      <w:r>
        <w:t>Methodologischer Monotheismus</w:t>
      </w:r>
    </w:p>
    <w:p>
      <w:r>
        <w:rPr>
          <w:b w:val="0"/>
        </w:rPr>
        <w:t>Der Mensch hat viele reale Bindungen und Pflichten: Familie, Beruf, Volk, Staat, den eigenen Leib. CDJ verlangt nicht deren Abschaffung. Methodologischer Monotheismus bedeutet, dass partielle Gründe ihren Platz und ihr Maß in Bezug auf den maximalen Grund erhalten müssen. Keiner von ihnen darf ungeprüft den ganzen Menschen beanspruchen.</w:t>
      </w:r>
    </w:p>
    <w:p>
      <w:r>
        <w:rPr>
          <w:b w:val="0"/>
        </w:rPr>
        <w:t>Dieses Prinzip hat einen praktischen Sinn. Verlangt der Staat, die Wahrheit dem Staatsnutzen zu opfern, stellt sich die Frage nach seinem Recht auf diese Forderung. Verlangt die Familie Ungerechtigkeit gegenüber einem Außenstehenden, hebt die Nähe als solche das Recht nicht auf. Verlangt eine kirchliche Organisation, ihren Ruf entgegen einer anerkannten Tatsache zu schützen, droht die Institution den Platz jenes Grundes einzunehmen, dem sie dienen soll.</w:t>
      </w:r>
    </w:p>
    <w:p>
      <w:r>
        <w:rPr>
          <w:b w:val="0"/>
        </w:rPr>
        <w:t>Das Prinzip eines einzigen letzten Grundes ist jedoch noch nicht das vollständige Bekenntnis zur Trinität. Im II. Band beschränkt der Autor seinen Status ausdrücklich auf eine Orientierungsstruktur. Es kann die theologische Betrachtung vorbereiten, ersetzt sie aber nicht. Eine tragfähige Analyse muss zeigen, an welcher Stelle der spezifisch christliche Gehalt eingeführt wird. [II, „Genesis der Subjekthaftigkeit“, §5.3.]</w:t>
      </w:r>
    </w:p>
    <w:p>
      <w:pPr>
        <w:pStyle w:val="Heading2"/>
      </w:pPr>
      <w:r>
        <w:t>Götzendienst als Irrtum über den Grund</w:t>
      </w:r>
    </w:p>
    <w:p>
      <w:r>
        <w:rPr>
          <w:b w:val="0"/>
        </w:rPr>
        <w:t>Ein Götze ist in CDJ nicht nur ein Kultbild. Götzendienst entsteht, wenn ein endlicher Gegenstand, ein Modell oder eine Institution den Status endgültiger Realität erhält. Der Mensch beginnt, ihn vor jeder Prüfung zu schützen und andere Menschen ihm unterzuordnen.</w:t>
      </w:r>
    </w:p>
    <w:p>
      <w:r>
        <w:rPr>
          <w:b w:val="0"/>
        </w:rPr>
        <w:t>Dies ermöglicht eine Kritik des Götzendienstes innerhalb der Religiosität selbst. Der richtige Name des verehrten Gegenstands garantiert kein richtiges Verhältnis. Ein Mensch kann „Gott“ sagen und damit die absolute Bestätigung seiner Gruppe meinen. Er kann die Wahrheit verehren und faktisch seine eigene Unfehlbarkeit verteidigen. Logozentrizität bestimmt sich deshalb danach, woraus der Mensch handelt, und nicht allein nach dem Wortschatz seiner Selbstbeschreibung.</w:t>
      </w:r>
    </w:p>
    <w:p>
      <w:r>
        <w:rPr>
          <w:b w:val="0"/>
        </w:rPr>
        <w:t>Logofugalität bezeichnet entsprechend die Abkehr von dieser Prüfung und von der Bindung an den Grund. Sie kann hochorganisiert und technologisch effektiv sein. Sinnhafte Ordnung ist nicht mit sittlicher Wahrheit identisch: Auch ein falsches Projekt kann Disziplin und stabile Verfahren hervorbringen. An dieser Stelle präzisieren die Unterscheidungen der späteren Bände die schärferen Gegenüberstellungen des frühen philosophischen Teils.</w:t>
      </w:r>
    </w:p>
    <w:p>
      <w:bookmarkStart w:id="8" w:name="section_8"/>
      <w:pPr>
        <w:pStyle w:val="Heading1"/>
      </w:pPr>
      <w:r>
        <w:t>8 Gottebenbildlichkeit und Fülle der Person</w:t>
      </w:r>
      <w:bookmarkEnd w:id="8"/>
    </w:p>
    <w:p>
      <w:pPr>
        <w:pStyle w:val="Heading2"/>
      </w:pPr>
      <w:r>
        <w:t>Individualität und Unersetzlichkeit</w:t>
      </w:r>
    </w:p>
    <w:p>
      <w:r>
        <w:rPr>
          <w:b w:val="0"/>
        </w:rPr>
        <w:t>Die biografische Einmaligkeit eines Menschen erschließt für sich genommen noch nicht, was CDJ in der Person sucht. Auch eine Kombination von Ursachen kann einmalig sein. Das Projekt fragt nach etwas anderem: Warum hat gerade dieser Mensch ein Recht auf seine eigene Antwort und kann nicht durch einen funktional gleichwertigen Ausführenden ersetzt werden?</w:t>
      </w:r>
    </w:p>
    <w:p>
      <w:r>
        <w:rPr>
          <w:b w:val="0"/>
        </w:rPr>
        <w:t>Die theologische Antwort wird anhand von Bild und Ähnlichkeit Gottes entwickelt. Das Bild bezeichnet die dem Menschen gegebene Möglichkeit persönlicher Antwort; die Ähnlichkeit deren Entfaltung hin zur Fülle der Gottesbeziehung. Dies ist eine Arbeitsunterscheidung innerhalb der Architektur der Antwort, keine erschöpfende Definition sämtlicher Bedeutungen von Bild und Ähnlichkeit in der christlichen Tradition. Der Beitrag zur Pneumatologie begrenzt seinen Gegenstand ausdrücklich in diesem Sinn.</w:t>
      </w:r>
    </w:p>
    <w:p>
      <w:r>
        <w:rPr>
          <w:b w:val="0"/>
        </w:rPr>
        <w:t>Menschliches Werden erschafft Würde nicht aus dem Nichts und macht einen weniger kompetenten Menschen nicht weniger der Fürsorge würdig. Eine der wichtigsten Folgerungen aus dem eschatologischen Teil von CDJ lautet: Der Wert einer konkreten Person lässt sich nicht an ihrer gegenwärtigen Produktivität messen. Die Berufung zur Gemeinschaft mit Gott geht der Bewertung des tatsächlichen Gelingens ihrer Antwort voraus. Dies ist besonders wichtig für das Verständnis eines Kindes, eines Kranken, eines abhängigen Menschen oder eines Menschen mit Behinderung. Diese Anwendung ist eine Folgerung der vorliegenden Analyse aus der Unterscheidung zwischen Gabe und Aktualisierung, keine eigens ausgearbeitete Theorie im Korpus. [III, §11; „Auf der Suche nach einer Pneumatologie“, §2; II, „Eschatologische Subjekthaftigkeit“, §§11–14.]</w:t>
      </w:r>
    </w:p>
    <w:p>
      <w:pPr>
        <w:pStyle w:val="Heading2"/>
      </w:pPr>
      <w:r>
        <w:t>Vergöttlichung und Bewahrung des Menschlichen</w:t>
      </w:r>
    </w:p>
    <w:p>
      <w:r>
        <w:rPr>
          <w:b w:val="0"/>
        </w:rPr>
        <w:t>Vergöttlichung bedeutet in der Logik von CDJ Teilhabe am Leben Gottes unter Wahrung des Unterschieds zwischen Schöpfer und Geschöpf. Der Mensch wird nicht zum Ursprung seiner selbst und verschwindet nicht in einem unpersönlichen Ganzen. Vielmehr verlangt die Fülle der Gemeinschaft die Bewahrung dessen, der in Gemeinschaft tritt.</w:t>
      </w:r>
    </w:p>
    <w:p>
      <w:r>
        <w:rPr>
          <w:b w:val="0"/>
        </w:rPr>
        <w:t>Der Verzicht auf autonome Selbstbegründung ist deshalb kein Verzicht auf die Person. Aufgegeben wird der Anspruch, absoluter Ursprung zu sein; Name, Geschichte, Antwort und Verantwortung bleiben erhalten. Darin besteht der grundlegende Unterschied zwischen Teilhabe und Aufgehen im Anderen.</w:t>
      </w:r>
    </w:p>
    <w:p>
      <w:r>
        <w:rPr>
          <w:b w:val="0"/>
        </w:rPr>
        <w:t>Die Formel „Christ bin“, die sich durch den I. Band zieht, drückt die Radikalität christlicher Selbstbestimmung aus: Das Christentum soll zur Daseinsweise werden, statt ein äußeres Verhältnis zu einem verehrten Vorbild zu bleiben. Sie muss als Teilhabe an Christus gelesen werden, nicht als Aneignung des einzigartigen hypostatischen Status des menschgewordenen Sohnes durch den Menschen. Der II. Band stützt gerade diese Unterscheidung: Gott tritt in Christus unmittelbar und hypostatisch in das Ontische ein; die menschliche geschichtliche Antwort ist abgeleitet und vermittelt. [I, „Zur Ontologie des Logos“; „Glaube als Kompetenz“; II, „Eschatologische Subjekthaftigkeit“, §§6, 13.]</w:t>
      </w:r>
    </w:p>
    <w:p>
      <w:pPr>
        <w:pStyle w:val="Heading2"/>
      </w:pPr>
      <w:r>
        <w:t>Absolute Bedeutsamkeit ohne Absolutheit des Seins</w:t>
      </w:r>
    </w:p>
    <w:p>
      <w:r>
        <w:t>Im II. Band wird unterschieden zwischen der Absolutheit Gottes und der absoluten Bedeutsamkeit der Person für Gott. Der Mensch ist endlich und geschaffen. Seine Endlichkeit bedeutet aber nicht, dass er ersetzbar wäre oder einem unpersönlichen Ganzen als Verbrauchsmaterial geopfert werden dürfte.</w:t>
      </w:r>
    </w:p>
    <w:p>
      <w:r>
        <w:rPr>
          <w:b w:val="0"/>
        </w:rPr>
        <w:t>Das christliche Versprechen ewigen Lebens gilt dem konkreten Menschen, nicht bloß der Bewahrung von Informationen über ihn, seines gesellschaftlichen Beitrags oder des allgemeinen menschlichen Typs. Die Frage nach der Person erhält dadurch eschatologische Tiefe: Was ermöglicht gerade diesem Menschen, seine Identität in der endgültigen Gemeinschaft mit Gott zu bewahren?</w:t>
      </w:r>
    </w:p>
    <w:p>
      <w:r>
        <w:t>Im Rahmen seiner christlichen Voraussetzungen bietet CDJ hier eine theologische Begründung der Unersetzlichkeit. Die Behauptung, keine andere philosophische Begründung der Unersetzlichkeit sei möglich, wäre jedoch eine eigene, weiterreichende These. Dafür genügt es nicht, die Stärke der christlichen Lösung zu zeigen; konkurrierende Argumente müssten untersucht werden. [II, „Eschatologische Subjekthaftigkeit“, §§11–12.]</w:t>
      </w:r>
    </w:p>
    <w:p>
      <w:bookmarkStart w:id="9" w:name="section_9"/>
      <w:pPr>
        <w:pStyle w:val="Heading1"/>
      </w:pPr>
      <w:r>
        <w:t>9 Menschwerdung Kreuz und Auferstehung</w:t>
      </w:r>
      <w:bookmarkEnd w:id="9"/>
    </w:p>
    <w:p>
      <w:pPr>
        <w:pStyle w:val="Heading2"/>
      </w:pPr>
      <w:r>
        <w:t>Die Initiative Gottes</w:t>
      </w:r>
    </w:p>
    <w:p>
      <w:r>
        <w:rPr>
          <w:b w:val="0"/>
        </w:rPr>
        <w:t>Würde man CDJ ausschließlich als Stufenleiter menschlicher Anstrengungen darstellen, entstünde eine erhebliche Verzerrung. Der Mensch prüft seine Gründe, scheitert, adressiert sein Leben um – und erreicht anscheinend aus eigener Kraft Gott. Der II. Band sagt deutlich das Gegenteil: Die Bewegung des Menschen zu Gott gründet in der vorausgehenden Bewegung Gottes zum Menschen.</w:t>
      </w:r>
    </w:p>
    <w:p>
      <w:r>
        <w:rPr>
          <w:b w:val="0"/>
        </w:rPr>
        <w:t>Menschwerdung bedeutet, dass der Logos in die geschaffene Wirklichkeit eintritt und menschliche Natur, Leib und Geschichte annimmt. Der Grund stellt nicht nur von außen eine Forderung an den Menschen. In Christus nimmt er selbst an menschlicher Verletzlichkeit teil. Die Theologie des Projekts lässt sich daher nicht in einer universalen Technik der Navigation zwischen Karten erschöpfen.</w:t>
      </w:r>
    </w:p>
    <w:p>
      <w:r>
        <w:rPr>
          <w:b w:val="0"/>
        </w:rPr>
        <w:t>Dies begrenzt auch eine negative Einstellung zum Ontischen. Wenn der Sohn Leib und Geschichte annimmt, ist die Konkretheit der Welt nicht bloß ein Hindernis beim Aufstieg zum Sinn. Sie wird zum Ort der Begegnung und Antwort. Arbeit, leibliche Fürsorge und die gerechte Gestaltung von Beziehungen gewinnen Bedeutung als Formen geschichtlicher Verkörperung, ohne dass eine von ihnen zum Reich Gottes selbst würde. [II, „Eschatologische Subjekthaftigkeit“, §§6, 13–14.]</w:t>
      </w:r>
    </w:p>
    <w:p>
      <w:pPr>
        <w:pStyle w:val="Heading2"/>
      </w:pPr>
      <w:r>
        <w:t>Das Kreuz als Prüfung des Grundes</w:t>
      </w:r>
    </w:p>
    <w:p>
      <w:r>
        <w:t>Das Kreuz nimmt in CDJ eine zentrale Stellung ein, weil es die Treue zur Wahrheit von der Garantie des eigenen Erfolgs trennt. Hält ein Mensch nur das für wahr, was seine Macht, sein Ansehen und seine Sicherheit erhält, betrachtet er weiterhin sich selbst als letzten Grund. Die Praxis des Kreuzes bezeichnet die Möglichkeit, auf diese Bedingung zu verzichten.</w:t>
      </w:r>
    </w:p>
    <w:p>
      <w:r>
        <w:rPr>
          <w:b w:val="0"/>
        </w:rPr>
        <w:t>Doch nicht jedes Opfer wird dadurch christlich. Ein Mensch kann für ein falsches Projekt, unter fremdem Zwang oder für die eigene Grandiosität sterben. Die Größe des Verlusts beweist nicht die Wahrheit des Adressaten. Christliche Unterscheidung verlangt, das Verhältnis zur Wahrheit, zur Freiheit des anderen, zur Verantwortung und zu Christus selbst zu betrachten.</w:t>
      </w:r>
    </w:p>
    <w:p>
      <w:r>
        <w:rPr>
          <w:b w:val="0"/>
        </w:rPr>
        <w:t>Die Praxis des Kreuzes darf deshalb nicht in die Forderung umgewandelt werden, sich ständig Gefahren auszusetzen oder einer Institution die Verfügung über fremdes Leiden zu erlauben. In den Begriffen des späteren CDJ muss derjenige, der einen Preis verlangt, sein Recht auf diese Forderung begründen; freiwillige Askese ist nicht mit dem von außen verfügten Entzug von Subjekthaftigkeit identisch. Eine theologische Formel entbindet nicht von dieser Prüfung.</w:t>
      </w:r>
    </w:p>
    <w:p>
      <w:r>
        <w:rPr>
          <w:b w:val="0"/>
        </w:rPr>
        <w:t>Im II. Band erhält das Kreuz eine zusätzliche Deutung: Gott lässt wirkliche Folgen des menschlichen Urteils über sich zu, ohne dieses Urteil als wahr anzuerkennen. Die Freiheit des Menschen erweist sich als so ernst, dass seine falsche Antwort zu einem geschichtlichen Ereignis wird. Diese theologische Lesart des Autors erschließt den Preis der Beziehung; sie bedeutet jedoch nicht, dass der menschliche Urteilsspruch Macht über Gottes letzte Wahrheit gewinnt. [I, „Glaube als Kompetenz“; II, „Ontogenese der Subjekthaftigkeit“, §22; „Eschatologische Subjekthaftigkeit“, §13.]</w:t>
      </w:r>
    </w:p>
    <w:p>
      <w:pPr>
        <w:pStyle w:val="Heading2"/>
      </w:pPr>
      <w:r>
        <w:t>Warum das Argument ohne Auferstehung unvollständig bleibt</w:t>
      </w:r>
    </w:p>
    <w:p>
      <w:r>
        <w:rPr>
          <w:b w:val="0"/>
        </w:rPr>
        <w:t>Bliebe man beim Kreuz als Redlichkeit angesichts der Niederlage stehen, entstünde eine Philosophie der Würde in der Katastrophe. Der christliche Sinn von CDJ reicht weiter. Auferstehung bedeutet, dass Tod und geschichtliches Urteil nicht den endgültigen Horizont der vom Logos angenommenen menschlichen Natur bilden.</w:t>
      </w:r>
    </w:p>
    <w:p>
      <w:r>
        <w:rPr>
          <w:b w:val="0"/>
        </w:rPr>
        <w:t>Der Glaube verwandelt hier eine Niederlage nicht durch Worte in einen Sieg. Er bezieht das geschichtliche Ereignis auf die verheißene Fülle, deren Ursprung in Gott liegt. Die menschliche Fähigkeit, eine Krise auszuhalten, bringt die Auferstehung nicht hervor und beweist sie nicht empirisch. Die Auferstehung geht als Inhalt der christlichen Verkündigung und als Grund der Hoffnung in das Projekt ein.</w:t>
      </w:r>
    </w:p>
    <w:p>
      <w:r>
        <w:rPr>
          <w:b w:val="0"/>
        </w:rPr>
        <w:t>Diese Unterscheidung verhindert zwei Reduktionen. Die erste verwandelt das Christentum in heroische Psychologie: Halte alles aus, und dadurch wirst du gerettet. Die zweite verwandelt Hoffnung in eine Leugnung der Folgen: Weil Gott siegen wird, sei der menschliche Irrtum unwesentlich. CDJ verlangt zugleich die Wirklichkeit des geschichtlichen Preises und die Offenheit für einen Horizont, der sich nicht in der Geschichte erschöpft.</w:t>
      </w:r>
    </w:p>
    <w:p>
      <w:bookmarkStart w:id="10" w:name="section_10"/>
      <w:pPr>
        <w:pStyle w:val="Heading1"/>
      </w:pPr>
      <w:r>
        <w:t>10 Glaube als Kompetenz und die Sprache Gottes</w:t>
      </w:r>
      <w:bookmarkEnd w:id="10"/>
    </w:p>
    <w:p>
      <w:pPr>
        <w:pStyle w:val="Heading2"/>
      </w:pPr>
      <w:r>
        <w:t>Von der Überzeugung zur Fähigkeit zu leben</w:t>
      </w:r>
    </w:p>
    <w:p>
      <w:r>
        <w:rPr>
          <w:b w:val="0"/>
        </w:rPr>
        <w:t>Der Glaube hat in CDJ psychische, gesellschaftliche und intellektuelle Erscheinungsformen, erschöpft sich aber nicht in ihnen. Erlebnis, Zugehörigkeit und Überzeugung können in den unterschiedlichsten religiösen und ideologischen Systemen vorkommen. Die spezifisch christliche Frage betrifft den Ursprung des Lebens und das Verhältnis zur Zukunft.</w:t>
      </w:r>
    </w:p>
    <w:p>
      <w:r>
        <w:rPr>
          <w:b w:val="0"/>
        </w:rPr>
        <w:t>Kompetenz bezeichnet eine beständige Fähigkeit, dort zu handeln, wo Wissen und Anweisungen keine fertige Lösung liefern. Ein Mensch kann viel über Vergebung wissen und nicht vergeben können; er kann die Notwendigkeit der Wahrheit verstehen und sie unter der Drohung eines Verlusts verbergen. Zwischen Bewusstseinsinhalt und Daseinsweise bleibt ein Übergang, den keine Definition allein vollziehen kann.</w:t>
      </w:r>
    </w:p>
    <w:p>
      <w:r>
        <w:rPr>
          <w:b w:val="0"/>
        </w:rPr>
        <w:t>Glaube als Kompetenz ist die Fähigkeit, unter wechselnden Bedingungen die Orientierung an Gott und Wahrheit zu bewahren, Verantwortung anzunehmen, das eigene Verständnis zu prüfen und die Antwort zu erneuern. Er garantiert nicht die Richtigkeit jeder Entscheidung und macht den Glaubenden nicht allwissend. Zu seiner Reife gehört die Fähigkeit, einen Irrtum anzuerkennen, ohne die Beziehung zum Grund selbst zu zerstören. [I, „Über die Natur des Glaubens“; „Glaube als Kompetenz“; III, Abschnitt XIII.]</w:t>
      </w:r>
    </w:p>
    <w:p>
      <w:pPr>
        <w:pStyle w:val="Heading2"/>
      </w:pPr>
      <w:r>
        <w:t>Das Schweigen Gottes und die Konkurrenzwelt</w:t>
      </w:r>
    </w:p>
    <w:p>
      <w:r>
        <w:rPr>
          <w:b w:val="0"/>
        </w:rPr>
        <w:t>„Die Sprache Gottes“ im I. Band stellt eine schmerzhafte Frage: Wie lassen sich das Bekenntnis zum Gott der Liebe und die Wirklichkeit des Leidens sowie die Erfahrung seines Schweigens miteinander verbinden? Dies ist nicht bloß ein Kapitel über sakrale Sprache oder die logische Struktur der Schöpfung. Es untersucht die Diskrepanz zwischen dem vom Menschen erwarteten Eingreifen und jener Veränderung des Menschen selbst, auf die das Christentum zielt.</w:t>
      </w:r>
    </w:p>
    <w:p>
      <w:r>
        <w:rPr>
          <w:b w:val="0"/>
        </w:rPr>
        <w:t>Die konkurrenzielle Ontologie versteht Sein als Kampf um Selbsterhaltung, Überlegenheit und Kontrolle. In einer solchen Welt kann sogar Gott als der stärkste Teilnehmer gedacht werden, von dem man den Sieg der eigenen Seite erwartet. Eine solidarische Ontologie setzt einen anderen Beziehungstyp voraus: Die Fülle des einen darf sich nicht durch die Vernichtung des anderen verwirklichen. Demut ist hier mit dem Verzicht verbunden, sich das Zentrum des Seins anzueignen; Zielstrebigkeit mit der Bereitschaft, tatsächlich in ein anderes Verhältnis zum Leben einzutreten.</w:t>
      </w:r>
    </w:p>
    <w:p>
      <w:r>
        <w:rPr>
          <w:b w:val="0"/>
        </w:rPr>
        <w:t>Diese Lesart erklärt, warum das Christentum nicht jede menschliche Erwartung von Macht bestätigen muss. Sie beseitigt jedoch nicht alle Fragen der Theodizee. Daraus, dass ein erzwingendes Eingreifen Freiheit unterdrücken kann, folgt noch keine Erklärung jedes Leidens, insbesondere des Leidens derjenigen, die es nicht sinnvoll annehmen können. Das Kapitel sollte daher als Interpretation einer christlichen Weise des Antwortens gelesen werden, ohne es als abgeschlossenen Beweis für die Rechtfertigung alles Geschehenden auszugeben. [I, „Die Sprache Gottes“.]</w:t>
      </w:r>
    </w:p>
    <w:p>
      <w:pPr>
        <w:pStyle w:val="Heading2"/>
      </w:pPr>
      <w:r>
        <w:t>Umkehr und Askese</w:t>
      </w:r>
    </w:p>
    <w:p>
      <w:r>
        <w:rPr>
          <w:b w:val="0"/>
        </w:rPr>
        <w:t>Umkehr betrifft in CDJ die Grundlagen von Wahrnehmung und Handlung. Der Mensch bedauert nicht nur eine Verfehlung, sondern klärt, welches Verständnis seiner selbst und der Welt sie möglich gemacht hat. Betrachtet er einen anderen Menschen weiterhin als Mittel seiner eigenen Beruhigung, muss eine einzelne Entschuldigung die sich reproduzierende Beziehungsstruktur nicht verändern.</w:t>
      </w:r>
    </w:p>
    <w:p>
      <w:r>
        <w:rPr>
          <w:b w:val="0"/>
        </w:rPr>
        <w:t>Ontologische Askese bezeichnet die Disziplin, auf unhaltbare Elemente der eigenen Karte zu verzichten. Das ist eine schwierige Fähigkeit: Eine irrige Konstruktion kann Würde, Zugehörigkeit und vertraute Sicherheit stützen. Auf sie zu verzichten erfordert nicht nur ein Argument, sondern die Bereitschaft, anders zu leben.</w:t>
      </w:r>
    </w:p>
    <w:p>
      <w:r>
        <w:rPr>
          <w:b w:val="0"/>
        </w:rPr>
        <w:t>Fortwährende Prüfung bedeutet dabei keine chronische psychische Destabilisierung. Beständige Gewohnheiten, Fertigkeiten und Lebensformen können die Antwort stützen. Entscheidend ist ihre Offenheit für Korrektur, nicht die obligatorische Zerstörung von Stabilität bei jeder Handlung. Hier ermöglicht die spätere Methode eine vorsichtigere Lektüre der Sprache des unablässigen Bruchs im I. Band.</w:t>
      </w:r>
    </w:p>
    <w:p>
      <w:bookmarkStart w:id="11" w:name="section_11"/>
      <w:pPr>
        <w:pStyle w:val="Heading1"/>
      </w:pPr>
      <w:r>
        <w:t>11 Die Kirche als Ereignis und geschichtliche Form</w:t>
      </w:r>
      <w:bookmarkEnd w:id="11"/>
    </w:p>
    <w:p>
      <w:pPr>
        <w:pStyle w:val="Heading2"/>
      </w:pPr>
      <w:r>
        <w:t>Gemeinschaft statt gegenseitiger Bestätigung</w:t>
      </w:r>
    </w:p>
    <w:p>
      <w:r>
        <w:t>Ontologische Kommunikation beginnt dort, wo die Begegnung mit dem anderen nicht nur neue Informationen vermittelt, sondern auch die Grundlagen des eigenen Verständnisses verändern kann. Dazu muss die eigenständige Wirklichkeit des Gegenübers anerkannt werden, die sich nicht auf dessen Platz im eigenen Weltbild reduzieren lässt. Die Antwort des anderen kann etwas aufdecken, das diese Karte nicht umfasst.</w:t>
      </w:r>
    </w:p>
    <w:p>
      <w:r>
        <w:rPr>
          <w:b w:val="0"/>
        </w:rPr>
        <w:t>Für CDJ ist dies sowohl in der Beziehung zu Gott als auch in der Beziehung zum Menschen wesentlich. Gemeinschaft lässt sich nicht auf die Intensität von Erlebnissen oder auf Übereinstimmung reduzieren. Selbst ein Konflikt kann zum Ereignis der Begegnung werden, wenn die Beteiligten ihre Gründe der Prüfung öffnen. Umgekehrt kann Einmütigkeit aus dem systematischen Ausschluss Andersdenkender entstehen.</w:t>
      </w:r>
    </w:p>
    <w:p>
      <w:r>
        <w:rPr>
          <w:b w:val="0"/>
        </w:rPr>
        <w:t>Die Kirche wird als Raum betrachtet, in dem eine solche Kommunikation eine beständige geschichtliche Form erhalten soll. Der theologische Sinn von Versammlung und Eucharistie wird mit der Teilhabe am Leben des Reiches Gottes und mit der Erfahrung einer Gemeinschaft verbunden, die sich nicht in den Regeln der Konkurrenzwelt erschöpft. Das Sakrament wird nicht durch ein Gespräch ersetzt: Es geht um die menschliche Form der Teilhabe am Handeln Gottes. [I, „Die Ausgangsposition. Einst die ursprüngliche“; „Essay …“, Kap.6–7; II, „Eschatologische Subjekthaftigkeit“, §§9–10.]</w:t>
      </w:r>
    </w:p>
    <w:p>
      <w:pPr>
        <w:pStyle w:val="Heading2"/>
      </w:pPr>
      <w:r>
        <w:t>Wozu Infrastruktur notwendig ist</w:t>
      </w:r>
    </w:p>
    <w:p>
      <w:r>
        <w:rPr>
          <w:b w:val="0"/>
        </w:rPr>
        <w:t>Ein einzelnes Begegnungsereignis kann sich als nicht vermittelbar und nicht reproduzierbar erweisen. Die geschichtliche Form – Gottesdienst, Bildung, Gemeinde, Disziplin, Gedächtnis, Leitung – schafft Bedingungen, unter denen ein neuer Mensch in die Erfahrung eintreten und seine eigene Antwort entwickeln kann.</w:t>
      </w:r>
    </w:p>
    <w:p>
      <w:r>
        <w:rPr>
          <w:b w:val="0"/>
        </w:rPr>
        <w:t>Das Wort „Infrastruktur“ darf deshalb nicht bedeuten, die Kirche sei lediglich eine Dienstleistungsorganisation. Es hebt einen Aspekt ihres geschichtlichen Daseins hervor: was die Bildung, Erhaltung, Prüfung und Reproduktion eschatologischer Subjekthaftigkeit ermöglicht. Dies ist eine funktionale Perspektive innerhalb des theologischen Verständnisses, keine erschöpfende dogmatische Definition.</w:t>
      </w:r>
    </w:p>
    <w:p>
      <w:r>
        <w:rPr>
          <w:b w:val="0"/>
        </w:rPr>
        <w:t>Eine kirchliche Form kann ihre Funktion erfüllen, sich deren Erfüllung erst erarbeiten, das Ausbleiben des Ergebnisses kompensieren, es simulieren oder den entgegengesetzten Effekt hervorbringen. Eine Leitung, die Unterscheidungsfähigkeit vermitteln soll, kann beispielsweise die Unfähigkeit festigen, ohne den Leiter zu entscheiden. Für eine solche Diagnose sind konkrete Daten über die Praxis erforderlich; ein kritischer Ton allein genügt nicht. [III, Abschnitt XIII; „Auf der Suche nach einer Pneumatologie“, §16.]</w:t>
      </w:r>
    </w:p>
    <w:p>
      <w:pPr>
        <w:pStyle w:val="Heading2"/>
      </w:pPr>
      <w:r>
        <w:t>Gehorsam und Verantwortung</w:t>
      </w:r>
    </w:p>
    <w:p>
      <w:r>
        <w:rPr>
          <w:b w:val="0"/>
        </w:rPr>
        <w:t>CDJ ermöglicht eine strenge Frage an den Gehorsam: Befähigt er den Menschen zu einer umfassenderen Antwort, oder überträgt er die Autorschaft seines Lebens auf eine andere Person? Äußerlich ähnliche Handlungen können einen unterschiedlichen Sinn haben. Die freiwillige Annahme einer Disziplin kann Freiheit erweitern; die erzwungene Unterdrückung von Widerspruch kann sie einschränken.</w:t>
      </w:r>
    </w:p>
    <w:p>
      <w:r>
        <w:rPr>
          <w:b w:val="0"/>
        </w:rPr>
        <w:t>Der Unterschied lässt sich weder am Wort „Gehorsam“ noch an der bloßen Tatsache einer Beschränkung feststellen. Zu klären ist, ob Prüfung, Verantwortung, die Möglichkeit, eine Diskrepanz anzuzeigen, und die Anerkennung der Machtgrenzen des Leiters erhalten bleiben. Eine Institution kann sich nicht zum letzten Adressaten der Umadressierung erklären und sich das Handeln Gottes aneignen.</w:t>
      </w:r>
    </w:p>
    <w:p>
      <w:r>
        <w:t>Eine der zentralen ekklesiologischen Fragen von CDJ lässt sich daher so formulieren: Bringt das kirchliche Leben Menschen hervor, die Gott selbst antworten können? Diese Fragestellung verlangt keine Verneinung der Institution. Sie verlangt von der Institution, ihre Treue zu der Bestimmung zu zeigen, um derentwillen sie besteht.</w:t>
      </w:r>
    </w:p>
    <w:p>
      <w:bookmarkStart w:id="12" w:name="section_12"/>
      <w:pPr>
        <w:pStyle w:val="Heading1"/>
      </w:pPr>
      <w:r>
        <w:t>12 Eschatologie und Offenheit der Geschichte</w:t>
      </w:r>
      <w:bookmarkEnd w:id="12"/>
    </w:p>
    <w:p>
      <w:pPr>
        <w:pStyle w:val="Heading2"/>
      </w:pPr>
      <w:r>
        <w:t>Die Zukunft als Grund gegenwärtigen Handelns</w:t>
      </w:r>
    </w:p>
    <w:p>
      <w:r>
        <w:rPr>
          <w:b w:val="0"/>
        </w:rPr>
        <w:t>Der Mensch handelt nicht nur unter dem Einfluss der Vergangenheit. Er bezieht die Gegenwart auf etwas, das noch nicht besteht: Er erzieht ein Kind, schafft eine Institution, hält ein Versprechen. Die Zukunft ist im Handeln als Horizont gegenwärtig, nicht als bereits vorhandener Gegenstand.</w:t>
      </w:r>
    </w:p>
    <w:p>
      <w:r>
        <w:rPr>
          <w:b w:val="0"/>
        </w:rPr>
        <w:t>Eschatologische Subjekthaftigkeit erschließt in CDJ diese Struktur in Bezug auf die letzte Fülle. Sie lässt sich nicht auf eine Prognose der letzten Ereignisse reduzieren. Der Mensch kann die bestehende Ordnung von dem her beurteilen, wozu menschliches Dasein berufen ist. Daher erhält das geschichtlich Erfolgreiche nicht automatisch den Status endgültiger Wahrheit.</w:t>
      </w:r>
    </w:p>
    <w:p>
      <w:r>
        <w:rPr>
          <w:b w:val="0"/>
        </w:rPr>
        <w:t>Der eschatologische Horizont erfüllt eine metaprojektuale Funktion: Er eröffnet den Raum möglicher Modelle, schreibt aber kein einziges politisches oder wirtschaftliches Programm vor. Zwischen dem Grund und einer konkreten Institution liegen menschliche Interpretation, Wahl, Ressourcen, Risiko und Verantwortung. Dem eigenen Projekt unbedingte göttliche Autorität zuzuschreiben bedeutet, gerade diese Übergänge zu beseitigen. [II, „Eschatologische Subjekthaftigkeit“, §§1–8.]</w:t>
      </w:r>
    </w:p>
    <w:p>
      <w:pPr>
        <w:pStyle w:val="Heading2"/>
      </w:pPr>
      <w:r>
        <w:t>Offenheit und falsche Vollendung</w:t>
      </w:r>
    </w:p>
    <w:p>
      <w:r>
        <w:rPr>
          <w:b w:val="0"/>
        </w:rPr>
        <w:t>Der Utopismus versucht, endgültige Fülle mit den Mitteln der Geschichte herzustellen. Die apokalyptische Lähmung verzichtet umgekehrt auf Handeln, weil sie das Ende erwartet. Messianischer Narzissmus eignet dem Menschen die Rolle des unersetzlichen Retters zu; eschatologische Inflation erklärt jedes Ereignis zum letzten Kampf.</w:t>
      </w:r>
    </w:p>
    <w:p>
      <w:r>
        <w:rPr>
          <w:b w:val="0"/>
        </w:rPr>
        <w:t>Der gemeinsame Mangel dieser Modi ist der Verlust des Unterschieds zwischen letztem Horizont und endlicher geschichtlicher Form. CDJ wahrt das Recht, entschlossen zu handeln, ohne das eigene Handeln für endgültig zu erklären. Korrigierbarkeit ist nicht Überzeugungslosigkeit; die Begrenztheit eines Projekts hebt die Pflicht zu seiner Verwirklichung nicht auf, sofern es begründet ist.</w:t>
      </w:r>
    </w:p>
    <w:p>
      <w:r>
        <w:rPr>
          <w:b w:val="0"/>
        </w:rPr>
        <w:t>Die Geschichte prüft nicht nur die Qualität der Ausführung. Der Widerstand der Wirklichkeit kann einen Fehler im Modell selbst oder in der Werteordnung aufdecken. Die Treue zum Grund verlangt deshalb manchmal, ein Projekt zu verändern, das ursprünglich als Ausdruck dieser Treue verstanden wurde.</w:t>
      </w:r>
    </w:p>
    <w:p>
      <w:pPr>
        <w:pStyle w:val="Heading2"/>
      </w:pPr>
      <w:r>
        <w:t>Das Eschaton ist keine endlose Diskussion</w:t>
      </w:r>
    </w:p>
    <w:p>
      <w:r>
        <w:rPr>
          <w:b w:val="0"/>
        </w:rPr>
        <w:t>Im geschichtlichen Handeln bedeutet Offenheit die Möglichkeit der Korrektur und den Verzicht auf die Sakralisierung endlicher Formen. Das endgültige Eschaton wird in CDJ jedoch nicht auf ewige Unabgeschlossenheit reduziert. Es umfasst die Auferstehung des Leibes, die Verklärung der Schöpfung, das Reich Gottes und die Fülle der Gemeinschaft.</w:t>
      </w:r>
    </w:p>
    <w:p>
      <w:r>
        <w:rPr>
          <w:b w:val="0"/>
        </w:rPr>
        <w:t>Die Formel ewiger ontologischer Kommunikation bezeichnet die Teilhabe am Leben Gottes unter Bewahrung der Person und des Unterschieds zwischen Schöpfer und Geschöpf. Sie meint keinen endlosen Informationsaustausch. Es aufersteht nicht nur das Denkvermögen: Der Mensch tritt in der Ganzheit seines geschaffenen Seins in die Fülle ein.</w:t>
      </w:r>
    </w:p>
    <w:p>
      <w:r>
        <w:rPr>
          <w:b w:val="0"/>
        </w:rPr>
        <w:t>Eine Übersicht, die alles mit dem einzigen Wort „Offenheit“ abschließt, verliert daher den positiven Gehalt christlicher Hoffnung. CDJ verbindet die geschichtliche Unabgeschlossenheit menschlicher Konstruktionen mit dem Versprechen einer Fülle, die der Mensch nicht aus eigener Kraft hervorbringen kann. [II, „Eschatologische Subjekthaftigkeit“, §§11–15.]</w:t>
      </w:r>
    </w:p>
    <w:p>
      <w:bookmarkStart w:id="13" w:name="section_13"/>
      <w:pPr>
        <w:pStyle w:val="Heading1"/>
      </w:pPr>
      <w:r>
        <w:t>13 Trinitarischer Grund und Pneumatologie</w:t>
      </w:r>
      <w:bookmarkEnd w:id="13"/>
    </w:p>
    <w:p>
      <w:pPr>
        <w:pStyle w:val="Heading2"/>
      </w:pPr>
      <w:r>
        <w:t>Warum Gnade kein zusätzliches Modul ist</w:t>
      </w:r>
    </w:p>
    <w:p>
      <w:r>
        <w:rPr>
          <w:b w:val="0"/>
        </w:rPr>
        <w:t>Der Beitrag „Auf der Suche nach einer Pneumatologie“ beginnt mit einer vom Autor anerkannten Lücke. Die Architektur menschlicher Antwort war bereits ausgearbeitet, doch der Ort des Heiligen Geistes und der Gnade hatte noch keine gesonderte Erklärung erhalten. Die Lösung besteht nicht darin, DIS, OS und Subjekthaftigkeit um ein viertes Element zu ergänzen, sondern die gesamte Architektur theologisch zu lesen.</w:t>
      </w:r>
    </w:p>
    <w:p>
      <w:r>
        <w:rPr>
          <w:b w:val="0"/>
        </w:rPr>
        <w:t>Die Argumentationsrichtung ist hier einseitig. Die Trinität wird nicht daraus abgeleitet, dass das anthropologische Modell drei Dimensionen enthält. Das Projekt geht bereits vom christlichen Bekenntnis aus und prüft, ob unabhängig eingeführte Unterscheidungen einen Aspekt der Gottebenbildlichkeit genauer beschreiben können.</w:t>
      </w:r>
    </w:p>
    <w:p>
      <w:r>
        <w:rPr>
          <w:b w:val="0"/>
        </w:rPr>
        <w:t>Dies ist eine grundlegende Begrenzung. Das anthropologische Schema beweist das Dogma nicht; das dogmatische Bekenntnis macht nicht jede vorgeschlagene anthropologische Analogie automatisch wahr. Die Entsprechung muss Erklärungskraft zeigen und einer negativen Prüfung standhalten. [III, „Auf der Suche nach einer Pneumatologie“, §§1–4.]</w:t>
      </w:r>
    </w:p>
    <w:p>
      <w:pPr>
        <w:pStyle w:val="Heading2"/>
      </w:pPr>
      <w:r>
        <w:t>Drei Entsprechungen und ihre Asymmetrie</w:t>
      </w:r>
    </w:p>
    <w:p>
      <w:r>
        <w:rPr>
          <w:b w:val="0"/>
        </w:rPr>
        <w:t>Subjekthaftigkeit wird vornehmlich auf das väterliche Prinzip des Anfangs, der Autorschaft und der Verantwortung bezogen. Der Mensch ist nicht anfangslos, kann aber ein wirklicher abgeleiteter Anfang der Antwort sein. Dies bezeichnet keinen Grad von Göttlichkeit, sondern unterscheidet zwischen dem Empfang einer Fähigkeit und dem eigenen Vollzug des Aktes.</w:t>
      </w:r>
    </w:p>
    <w:p>
      <w:r>
        <w:rPr>
          <w:b w:val="0"/>
        </w:rPr>
        <w:t>Das OS wird vornehmlich auf das dem Sohn zugeordnete, logoshafte Prinzip der Unterscheidung und Operation bezogen. Die Welt ist kein absolut ununterscheidbares Chaos, und die menschliche Antwort kann sinnhafte Bestimmtheit besitzen. Dabei reicht die Logosdimension über das OS hinaus: Sie betrifft sowohl die Bestimmtheit der Realität selbst als auch die Struktur ihrer Gegenwart.</w:t>
      </w:r>
    </w:p>
    <w:p>
      <w:r>
        <w:rPr>
          <w:b w:val="0"/>
        </w:rPr>
        <w:t>Der DIS wird hinsichtlich der Struktur der Gegenwart teilweise auf die pneumatologische Dimension bezogen. Wahrheit muss nicht nur richtig benannt werden, sondern für den Menschen lebendig und bedeutsam werden, ihn berühren und die Möglichkeit gewinnen, seine Lebensweise zu verändern. Starke Gegenwart verbürgt jedoch noch keine Wahrheit: Auch Angst, ein Götze oder ein falsches Bild können das Bewusstsein völlig einnehmen.</w:t>
      </w:r>
    </w:p>
    <w:p>
      <w:r>
        <w:rPr>
          <w:b w:val="0"/>
        </w:rPr>
        <w:t>Die Entsprechungen sind bewusst asymmetrisch. Die pneumatologische Dimension durchzieht die gesamte Architektur: Offenheit, Belebung der Beziehung zur Wahrheit, Heilung, Übergang vom Wissen zur wirklichen Antwort. Sie beschränkt sich nicht auf den DIS. Ebenso wenig ist Subjekthaftigkeit der ausschließliche Wirkungsbereich des Vaters, und Operationen sind nicht der ausschließliche Wirkungsbereich des Sohnes. Das Wirken der Trinität ist eines. [Ebd., §§3–15.]</w:t>
      </w:r>
    </w:p>
    <w:p>
      <w:pPr>
        <w:pStyle w:val="Heading2"/>
      </w:pPr>
      <w:r>
        <w:t>Gnade und Wirklichkeit menschlicher Autorschaft</w:t>
      </w:r>
    </w:p>
    <w:p>
      <w:r>
        <w:t>In CDJ wird die Gnade als ein vom Dreieinigen Personalen Gott geschenkter Horizont verstanden, in dem Freiheit, Menschsein im personalen Sinne und die eigene Antwort des Menschen möglich werden. Diese Formulierung wurde vom Autor bei der Vorbereitung der vorliegenden Darstellung präzisiert. Indem der Mensch diesen geschenkten Horizont nicht erkennt und sich nicht erschließt, läuft er Gefahr, bereits erlangte menschliche (personale) Subjekthaftigkeit zu verlieren. Die Grundlage dieser Präzisierung findet sich in der „Interpretationsbedingung“ in CDJ I: Gnade wird in allen Aussagen über die Wahl und die Fähigkeit des Subjekts, eine bestimmte Position einzunehmen, als Bedingung der Möglichkeit der Wahl vorausgesetzt. Menschliche Autorschaft wird daher als Vollzug einer von Gott geschenkten und geheilten Handlungsfähigkeit verstanden. Gottes Handeln darf nicht als Konkurrent menschlichen Handelns gedacht werden: Die Heilung der Natur bedeutet eine vollere Fähigkeit des Menschen zu antworten, nicht das Verschwinden des Urhebers der Antwort. [CDJ I, „Interpretationsbedingung“; CDJ III, „Auf der Suche nach einer Pneumatologie“, §14.]</w:t>
      </w:r>
    </w:p>
    <w:p>
      <w:r>
        <w:t>Die durch Gnade ermöglichte menschliche Autorschaft bedeutet jedoch nicht, dass jede Antwort durch Gnade bestimmt ist: Der Mensch kann eine falsche, zerstörerische und sündhafte Antwort geben und trägt Verantwortung für deren Inhalt. Damit ist der Ort der Gnade als Bedingung der Möglichkeit der Antwort in CDJ bestimmt. Offen bleibt eine erschöpfende Theorie des Verhältnisses zwischen göttlichem Handeln und menschlicher Kausalität im konkreten freien Akt, einschließlich der Unterscheidung zwischen natürlicher Fähigkeit, gnadenhafter Heilung und persönlicher Annahme. Der Autor benennt diese Grenze ausdrücklich; sie hebt die bereits bestimmte Grundlage nicht auf. [CDJ III, „Auf der Suche nach einer Pneumatologie“, §§14, 18.]</w:t>
      </w:r>
    </w:p>
    <w:p>
      <w:r>
        <w:rPr>
          <w:b w:val="0"/>
        </w:rPr>
        <w:t>Auch die Anwendung der Methode hat eine strenge Grenze. Aus hoher Kompetenz lässt sich das Wirken des Heiligen Geistes nicht diagnostizieren. Aus Initiative lässt sich nicht schließen, ein konkreter Anfang sei ein normatives Bild des Vaters. An der Fähigkeit zu logischen Operationen lässt sich das Verhältnis eines Menschen zum Sohn nicht messen. Die Analyse rekonstruiert die menschliche Architektur; die Theologie deutet deren mögliche Entsprechungen; eine Aussage über ein konkretes Handeln Gottes folgt aus keinem von beiden automatisch. [Ebd., §§17–19.]</w:t>
      </w:r>
    </w:p>
    <w:p>
      <w:bookmarkStart w:id="14" w:name="section_14"/>
      <w:pPr>
        <w:pStyle w:val="Heading1"/>
      </w:pPr>
      <w:r>
        <w:t>14 Modernisierung und gesellschaftliche Verantwortung</w:t>
      </w:r>
      <w:bookmarkEnd w:id="14"/>
    </w:p>
    <w:p>
      <w:pPr>
        <w:pStyle w:val="Heading2"/>
      </w:pPr>
      <w:r>
        <w:t>Die Erste Ontologie</w:t>
      </w:r>
    </w:p>
    <w:p>
      <w:r>
        <w:rPr>
          <w:b w:val="0"/>
        </w:rPr>
        <w:t>Die Erste Ontologie organisiert die menschliche Welt um unmittelbare Beziehungen: Familie, Nachbar, Haus, Boden, konkrete Pflicht, sichtbarer Gegner und persönliche Gefahr. Innerhalb dieses Radius kann sie große Genauigkeit besitzen. Der Mensch weiß, wem er verpflichtet ist, wer ein Versprechen gebrochen hat und wen er schützen muss.</w:t>
      </w:r>
    </w:p>
    <w:p>
      <w:r>
        <w:rPr>
          <w:b w:val="0"/>
        </w:rPr>
        <w:t>Sie darf nicht bloß als primitive Stufe betrachtet werden. Sie bewahrt etwas, das komplexe Institutionen oft verlieren: die Konkretheit des anderen Menschen und den unmittelbaren Ernst der Verantwortung. Gerechtigkeit garantiert sie jedoch nicht. Nähe kann zum Grund für den Ausschluss Fremder, persönliche Treue zur Rechtfertigung von Gewalt werden.</w:t>
      </w:r>
    </w:p>
    <w:p>
      <w:r>
        <w:rPr>
          <w:b w:val="0"/>
        </w:rPr>
        <w:t>Ihre Grenze zeigt sich dort, wo Verantwortung gegenüber Unbekannten, Abwesenden oder noch Ungeborenen erforderlich wird. Demografie, Haushalt, Infrastruktur und ökologische Folgen sind nicht als einzelner Mensch oder Gegenstand gegeben. Sie sind über Zeit, Raum und Kausalzusammenhänge verteilt. [II, „Modernisierung“; III, §§50–51.]</w:t>
      </w:r>
    </w:p>
    <w:p>
      <w:pPr>
        <w:pStyle w:val="Heading2"/>
      </w:pPr>
      <w:r>
        <w:t>Die Zweite und die abgeleiteten Ontologien</w:t>
      </w:r>
    </w:p>
    <w:p>
      <w:r>
        <w:rPr>
          <w:b w:val="0"/>
        </w:rPr>
        <w:t>Die Zweite Ontologie macht verteilte Realität durch gesellschaftliche Funktionen, Rollen und Institutionen zugänglich. Der Mensch lernt, Amt und Amtsträger, persönliches Eigentum und öffentliche Ressource, Sympathie und Pflicht, Zugehörigkeit und Kompetenz zu unterscheiden.</w:t>
      </w:r>
    </w:p>
    <w:p>
      <w:r>
        <w:rPr>
          <w:b w:val="0"/>
        </w:rPr>
        <w:t>Sie erweitert den Verantwortungsradius, darf aber das unmittelbare menschliche Verhältnis nicht zerstören. Nutzt ein Amtsträger seine Befugnisse als Ressource der Familie, fällt die Zweite Ontologie in die Erste zurück. Sieht eine Institution im Menschen nur eine Funktion und bemerkt seine einmalige Situation nicht, erfolgt die umgekehrte Reduktion.</w:t>
      </w:r>
    </w:p>
    <w:p>
      <w:r>
        <w:rPr>
          <w:b w:val="0"/>
        </w:rPr>
        <w:t>Abgeleitete Ontologien sind spezialisierte Architekturen von Wissenschaft, Recht, Verwaltung, Berufen und Technologien. „Abgeleitet“ bedeutet hier keine defizitäre Unselbstständigkeit. Spezialisierung erhöht das Auflösungsvermögen. Das Problem entsteht, wenn eine lokale Sprache beansprucht, den Menschen erschöpfend zu beschreiben.</w:t>
      </w:r>
    </w:p>
    <w:p>
      <w:r>
        <w:rPr>
          <w:b w:val="0"/>
        </w:rPr>
        <w:t>Interontologische Übersetzung ist beispielsweise beim Zusammentreffen medizinischer, rechtlicher und familiärer Perspektiven erforderlich. Sie übersetzt nicht nur Wörter, sondern die Bedingungen tatsächlichen Sinns. Dasselbe Wort „Verantwortung“ kann unterschiedliche Operationen und Anforderungen bezeichnen. Die bloße Übertragung eines Begriffs ohne Rekonstruktion dieser Bedingungen erzeugt eine Aberration: Die fremde Struktur wird mithilfe der nächstliegenden vertrauten Kategorie gedeutet. [III, §§52–68.]</w:t>
      </w:r>
    </w:p>
    <w:p>
      <w:pPr>
        <w:pStyle w:val="Heading2"/>
      </w:pPr>
      <w:r>
        <w:t>Warum neue Institutionen noch keine Modernisierung bedeuten</w:t>
      </w:r>
    </w:p>
    <w:p>
      <w:r>
        <w:rPr>
          <w:b w:val="0"/>
        </w:rPr>
        <w:t>In CDJ entsteht Modernisierung aus der Begegnung zunehmend komplexer gesellschaftlicher Ontologien mit der sich entwickelnden Fähigkeit des Menschen, sie sich anzueignen. Wächst die gesellschaftliche Komplexität schneller als die subjekthafte Kapazität, entstehen Institutionen, die Menschen nach der Logik einer anderen Tätigkeit nutzen.</w:t>
      </w:r>
    </w:p>
    <w:p>
      <w:r>
        <w:rPr>
          <w:b w:val="0"/>
        </w:rPr>
        <w:t>Man kann ein Gericht schaffen, das ein System persönlicher Patronage bleibt; eine Universität, die Bildungsbescheinigungen statt selbstständigen Denkens erzeugt; eine digitale Verwaltung, die keine Korrektur einer Entscheidung zulässt. Technische Neuheit beweist in diesen Fällen keine Veränderung der Architektur der Antwort.</w:t>
      </w:r>
    </w:p>
    <w:p>
      <w:r>
        <w:rPr>
          <w:b w:val="0"/>
        </w:rPr>
        <w:t>Der III. Band unterscheidet drei Modernisierungsachsen. Die horizontale betrifft den Maßstab und die Übergänge zwischen Erster, Zweiter und spezialisierten Ontologien. Die vertikale betrifft die Verteilung subjekthafter Befugnisse. Die eschatologische betrifft die Offenheit für den letzten Grund und den Verzicht darauf, eine geschichtlich geschaffene Form als endgültig anzusehen. Die horizontale Achse dieses Modells ist nicht mit dem horizontalen Vektor der Methodologie identisch: Es handelt sich um unterschiedliche analytische Unterscheidungen.</w:t>
      </w:r>
    </w:p>
    <w:p>
      <w:r>
        <w:rPr>
          <w:b w:val="0"/>
        </w:rPr>
        <w:t>Ein starkes Modernisierungskriterium ist die Fähigkeit, Menschen hervorzubringen, die wachsende Komplexität bewältigen, ohne ihre eigene Antwort zu verlieren. Es ergänzt wirtschaftliche und technische Kennzahlen, macht sie aber nicht überflüssig. Ohne Mittel, Ausbildung und Infrastruktur kann die Forderung nach Subjekthaftigkeit ein moralischer Appell bleiben. [II, „Modernisierung“; III, §54.]</w:t>
      </w:r>
    </w:p>
    <w:p>
      <w:bookmarkStart w:id="15" w:name="section_15"/>
      <w:pPr>
        <w:pStyle w:val="Heading1"/>
      </w:pPr>
      <w:r>
        <w:t>15 Das Gemeinsame Macht und der Preis des Handelns</w:t>
      </w:r>
      <w:bookmarkEnd w:id="15"/>
    </w:p>
    <w:p>
      <w:pPr>
        <w:pStyle w:val="Heading2"/>
      </w:pPr>
      <w:r>
        <w:t>Wann eine Vielheit zum Subjekt wird</w:t>
      </w:r>
    </w:p>
    <w:p>
      <w:r>
        <w:rPr>
          <w:b w:val="0"/>
        </w:rPr>
        <w:t>Ein gemeinsames Gefühl, Identität oder Mobilisierung beweisen noch nicht das Bestehen eines kollektiven Subjekts. Es muss festgestellt werden, ob Erkennen, Initiative, Entscheidung, Handlung, Folgen und Korrektur einen reproduzierbaren Funktionskreis bilden.</w:t>
      </w:r>
    </w:p>
    <w:p>
      <w:r>
        <w:rPr>
          <w:b w:val="0"/>
        </w:rPr>
        <w:t>Die Subjekttopographie zeigt, wo Befugnisse liegen und wer sie trägt. Die Topologie zeigt, wie sie verbunden sind. Ein Experte kann alles verstehen, ohne einen Weg zur Entscheidung zu haben; eine Führungskraft kann entscheiden, ohne verlässliche Informationen zu erhalten; ein Ausführender kann Folgen tragen, ohne das Recht zu besitzen, eine fehlerhafte Handlung zu stoppen. Jeder Beteiligte handelt lokal rational, während das Gesamtsystem nicht antworten kann.</w:t>
      </w:r>
    </w:p>
    <w:p>
      <w:r>
        <w:rPr>
          <w:b w:val="0"/>
        </w:rPr>
        <w:t>Reale kollektive Subjekthaftigkeit wird auch durch den Wechsel von Generationen und Beteiligten geprüft. Ist eine Antwort nur dank eines außergewöhnlichen Anführers oder einer außerordentlichen Bedrohung möglich, ist sie wirklich, hat aber noch keine beständige institutionelle Form erhalten. Lebendige Zeit verwandelt Erfahrung in neue Fähigkeit; tote Zeit reproduziert eine Form, die allmählich ihre Verbindung zur Aufgabe verliert. [III, Abschnitte VI und VIII.]</w:t>
      </w:r>
    </w:p>
    <w:p>
      <w:pPr>
        <w:pStyle w:val="Heading2"/>
      </w:pPr>
      <w:r>
        <w:t>Die Realität des Gemeinsamen rechtfertigt nicht jede Forderung</w:t>
      </w:r>
    </w:p>
    <w:p>
      <w:r>
        <w:rPr>
          <w:b w:val="0"/>
        </w:rPr>
        <w:t>Der Staat, das gesellschaftliche Gedächtnis und die Zukunft eines Volkes können reale Gegenstände sein. Aus ihrer Realität folgt aber nicht, dass jeder, der in ihrem Namen auftritt, jedes beliebige Opfer verlangen darf.</w:t>
      </w:r>
    </w:p>
    <w:p>
      <w:r>
        <w:rPr>
          <w:b w:val="0"/>
        </w:rPr>
        <w:t>CDJ trennt mehrere Prüfungen: Besteht das Gemeinsame? Wie wird es repräsentiert? Ist das Vertrauen in seinen Vertreter begründet? Hat dieser das Recht, gerade diese Forderung zu stellen? Wie wird die Verantwortung eines konkreten Menschen verortet? Diese Trennung verhindert den Übergang von „Das ist für alle wichtig“ zu „Du musst jeden Preis zahlen“.</w:t>
      </w:r>
    </w:p>
    <w:p>
      <w:r>
        <w:rPr>
          <w:b w:val="0"/>
        </w:rPr>
        <w:t>Ontologische Kreditwürdigkeit ist die begründete Erwartung einer Verbindung von Versprechen, Handeln, Prüfung und Verantwortung. Zahlungsfähigkeit ist die Fähigkeit, den Preis der eigenen Autorschaft tatsächlich zu übernehmen. Diese Begriffe unterscheiden sich: Man kann durch frühere Ergebnisse Vertrauen erwecken und nicht bereit sein, für eine neue Entscheidung zu zahlen; man kann opferbereit sein, ohne hinreichende Gründe für Vertrauen in das Projekt zu besitzen.</w:t>
      </w:r>
    </w:p>
    <w:p>
      <w:r>
        <w:rPr>
          <w:b w:val="0"/>
        </w:rPr>
        <w:t>Ontologisches Kapital bezeichnet die angesammelte Möglichkeit glaubwürdiger Initiative und Kooperation. Es kann reproduziert oder verbraucht werden. Ein vergangener Sieg, die Heiligkeit eines Gründers oder eine wissenschaftliche Leistung gewähren den Nachfolgern keinen unbegrenzten Kredit. Der Ausfall des Vertreters des Gemeinsamen bedeutet nicht das Verschwinden des Gemeinsamen selbst. [III, §§78–85.]</w:t>
      </w:r>
    </w:p>
    <w:p>
      <w:pPr>
        <w:pStyle w:val="Heading2"/>
      </w:pPr>
      <w:r>
        <w:t>Subjekthaftigkeit und Macht</w:t>
      </w:r>
    </w:p>
    <w:p>
      <w:r>
        <w:rPr>
          <w:b w:val="0"/>
        </w:rPr>
        <w:t>Macht kann den Raum eigener Antwort erweitern, fällt aber nicht mit Subjekthaftigkeit zusammen. Ein Mensch kann ein Amt innehaben und ein fremdes Szenario ausführen. Er kann keinen formalen Status besitzen und dennoch bestimmen, welche Fragen, Instrumente und Entscheidungen zulässig sind.</w:t>
      </w:r>
    </w:p>
    <w:p>
      <w:r>
        <w:rPr>
          <w:b w:val="0"/>
        </w:rPr>
        <w:t>Die Frage „Wer hat unterschrieben?“ muss deshalb ergänzt werden: Wer hat die Optionen formuliert, wer konnte widersprechen, wer konnte stoppen, wer erhält das Ergebnis und wer übernimmt die Folgen? Der Preis macht sichtbar, was die Selbstbeschreibung des Systems verdeckt.</w:t>
      </w:r>
    </w:p>
    <w:p>
      <w:r>
        <w:rPr>
          <w:b w:val="0"/>
        </w:rPr>
        <w:t>Diese Analyse besitzt normative Kraft, ersetzt jedoch nicht die Prüfung der Umstände. Eine ungleiche Verteilung der Lasten kann aus Ausbeutung, freiwilliger Verpflichtung, unterschiedlichen Ressourcen oder funktionaler Arbeitsteilung hervorgehen. Festzustellen, welche Interpretation zutrifft, ist eine eigene Aufgabe. Die Methode verlangt eine starke Alternative, keine automatische Anklage.</w:t>
      </w:r>
    </w:p>
    <w:p>
      <w:bookmarkStart w:id="16" w:name="section_16"/>
      <w:pPr>
        <w:pStyle w:val="Heading1"/>
      </w:pPr>
      <w:r>
        <w:t>16 Methodologie der CDJ-Analyse</w:t>
      </w:r>
      <w:bookmarkEnd w:id="16"/>
    </w:p>
    <w:p>
      <w:pPr>
        <w:pStyle w:val="Heading2"/>
      </w:pPr>
      <w:r>
        <w:t>Was genau analysiert wird</w:t>
      </w:r>
    </w:p>
    <w:p>
      <w:r>
        <w:rPr>
          <w:b w:val="0"/>
        </w:rPr>
        <w:t>CDJ-Analyse wird als Vektoranalyse der Subjekthaftigkeit bestimmt. Ihr Gegenstand ist die Veränderung von Ebene, Richtung, Träger und Verteilung menschlicher Antwort. Sie fragt nicht nur, wie effektiv ein System handelt, sondern auch, welche Art von Mensch die Teilnahme an ihm hervorbringt.</w:t>
      </w:r>
    </w:p>
    <w:p>
      <w:r>
        <w:rPr>
          <w:b w:val="0"/>
        </w:rPr>
        <w:t>Unterschieden werden die ontische, ontologische und eschatologische Ebene. Die Richtung kann aufsteigend, horizontal oder absteigend sein. Gesondert berücksichtigt werden der dynamische Modus, die Entsprechung zur erklärten Funktion, Zeit, Maßstab, Preis und Verteilung der Befugnisse. Aus einem einzigen Parameter lässt sich keine Gesamtbewertung gewinnen.</w:t>
      </w:r>
    </w:p>
    <w:p>
      <w:r>
        <w:rPr>
          <w:b w:val="0"/>
        </w:rPr>
        <w:t>Zentralisierung kann beispielsweise vorübergehend eine zerstörte Verbundenheit wiederherstellen und Handeln ermöglichen, um sich später in einen Mechanismus dauerhaften Initiativeentzugs zu verwandeln. Die Verteilung von Entscheidungen kann Beteiligung erweitern oder das System ohne Verantwortlichen für das Ganze lassen. Die Form selbst bestimmt den Vektor nicht. [III, Abschnitt IX; §§125–128.]</w:t>
      </w:r>
    </w:p>
    <w:p>
      <w:pPr>
        <w:pStyle w:val="Heading2"/>
      </w:pPr>
      <w:r>
        <w:t>Entsprechungsmodi</w:t>
      </w:r>
    </w:p>
    <w:p>
      <w:r>
        <w:rPr>
          <w:b w:val="0"/>
        </w:rPr>
        <w:t>Der authentische Modus bedeutet, dass die Praxis die erklärte Funktion tatsächlich erfüllt. Der projektive Modus bedeutet, dass sie auf ein noch nicht erreichtes Ergebnis ausgerichtet ist; die Erklärung einer Zukunft wird nicht als bereits bestehende Wirklichkeit ausgegeben. Der kompensatorische Modus erhält die Möglichkeit, unter einem Defizit zu existieren, ohne dieses vollständig zu beseitigen. Der simulative Modus reproduziert Merkmale der Funktionserfüllung ohne entsprechendes Ergebnis. Der inversive Modus erzeugt eine Wirkung, die der erklärten Bestimmung entgegengesetzt ist.</w:t>
      </w:r>
    </w:p>
    <w:p>
      <w:r>
        <w:rPr>
          <w:b w:val="0"/>
        </w:rPr>
        <w:t>Diese Unterscheidungen verlangen Kontext. Zeitweilige Kompensation kann notwendig und offen eingestanden sein. Gefährlich wird sie, wenn sie Korrektur ersetzt und als Problemlösung ausgegeben wird. Ebenso wenig ist jedes Scheitern eine Simulation: Zu prüfen sind ein gewöhnlicher Fehler, Ressourcenmangel und die Unabgeschlossenheit des Projekts.</w:t>
      </w:r>
    </w:p>
    <w:p>
      <w:r>
        <w:rPr>
          <w:b w:val="0"/>
        </w:rPr>
        <w:t>Eine Bildungspraxis, die selbstständiges Denken entwickelt, erfüllt ihre Funktion authentisch. Eine Praxis, die die notwendigen Bedingungen erst schafft und ihre Grenzen offenlegt, kann projektiv sein. Ein System, das Unabhängigkeit zum Ziel erklärt, eigenständige Fragen jedoch beständig bestraft, gibt Anlass zur Prüfung eines inversiven Modus. Dies sind erläuternde Beispiele, keine fertigen Diagnosen konkreter Institutionen.</w:t>
      </w:r>
    </w:p>
    <w:p>
      <w:pPr>
        <w:pStyle w:val="Heading2"/>
      </w:pPr>
      <w:r>
        <w:t>Die Abfolge der Untersuchung</w:t>
      </w:r>
    </w:p>
    <w:p>
      <w:r>
        <w:rPr>
          <w:b w:val="0"/>
        </w:rPr>
        <w:t>Zunächst wird die Anwendbarkeit geprüft: Ist der Begriffsapparat von CDJ hier überhaupt erforderlich? Zur Feststellung eines Datums oder zur Messung einer physikalischen Größe ist er meist überflüssig. Anschließend wird der Gegenstand eingegrenzt: Zeitraum, Beteiligte, Funktion und Maßstab. Einzelne Episoden dürfen nicht ohne Beleg zu einer einheitlichen Entität namens „Volk“ oder „Kirche“ verbunden werden.</w:t>
      </w:r>
    </w:p>
    <w:p>
      <w:r>
        <w:rPr>
          <w:b w:val="0"/>
        </w:rPr>
        <w:t>Dann werden die vorausgehende Wirklichkeit, die Karte der Beteiligten, die verfügbaren Operationen und die tatsächliche Verteilung der Befugnisse rekonstruiert. Worte, Wahrnehmung des Möglichen und Handeln werden verglichen. Topographie und Topologie werden erstellt; bei ausreichender Datenlage wird das Szenariobuch rekonstruiert.</w:t>
      </w:r>
    </w:p>
    <w:p>
      <w:r>
        <w:rPr>
          <w:b w:val="0"/>
        </w:rPr>
        <w:t>Danach wird die Vereinbarkeit der Kontexte geprüft. Beziehen sich die Informationen auf denselben Gegenstand, dieselbe Zeit, Ebene, Subjektposition und denselben Maßstab? Zwei wahre Prämissen können keinen wahren gemeinsamen Schluss ergeben, wenn sie unterschiedliche Konfigurationen betreffen. Das Vorhandensein eines kompetenten Fachmanns beweist die Kompetenz einer Organisation erst dann, wenn der Weg seines Wissens zur Entscheidung gezeigt ist.</w:t>
      </w:r>
    </w:p>
    <w:p>
      <w:r>
        <w:rPr>
          <w:b w:val="0"/>
        </w:rPr>
        <w:t>Erst dann werden Vektor, Entsprechungsmodus und Verteilung des Preises festgestellt. Verbindlich sind eine starke alternative Rekonstruktion und ein negativer Test: Welche Beobachtung würde dazu zwingen, das Ergebnis zu ändern? Ein anderer Forschender muss die Herkunft der Behauptung rekonstruieren und einen konkreten Übergang anfechten können. [III, §§109–135.]</w:t>
      </w:r>
    </w:p>
    <w:p>
      <w:pPr>
        <w:pStyle w:val="Heading2"/>
      </w:pPr>
      <w:r>
        <w:t>Was Sperrung bei fehlendem Nachweis bedeutet</w:t>
      </w:r>
    </w:p>
    <w:p>
      <w:r>
        <w:rPr>
          <w:b w:val="0"/>
        </w:rPr>
        <w:t>Das Fail-closed-Prinzip verbietet, einen notwendigen Zusammenhang allein deshalb als festgestellt zu behandeln, weil er plausibel ist. Ein fehlender Nachweis der Verbindung beweist nicht ihr Fehlen. Ein zulässiges Ergebnis kann in Unbestimmtheit, konkurrierenden Erklärungen oder der Anerkennung der Unanwendbarkeit der Methode bestehen.</w:t>
      </w:r>
    </w:p>
    <w:p>
      <w:r>
        <w:rPr>
          <w:b w:val="0"/>
        </w:rPr>
        <w:t>Diese Forderung gilt auch für CDJ selbst. Erhöhen seine Kategorien das Auflösungsvermögen der Untersuchung nicht, ist ihre Anwendung zu beenden. Die Stärke dieser Einstellung liegt in der Möglichkeit, die Methode von einer ansprechenden nachträglichen Interpretation zu trennen. Ihre tatsächliche Produktivität muss sich jedoch in Untersuchungen zeigen, in denen Alternativen das Ergebnis wirklich verändern können.</w:t>
      </w:r>
    </w:p>
    <w:p>
      <w:r>
        <w:rPr>
          <w:b w:val="0"/>
        </w:rPr>
        <w:t>CDJ-Gestaltung beginnt nach der Diagnose. Sie verändert die Architektur des Möglichen: Informationskanäle, Initiativrechte, Bedingungen für Korrektur und Abbruch sowie die Verbindung der Entscheidung mit ihren Folgen. Der Appell „Seid verantwortlich“ genügt nicht, wenn die Systemstruktur Antwort systematisch unmöglich macht. [III, §§130–140.]</w:t>
      </w:r>
    </w:p>
    <w:p>
      <w:bookmarkStart w:id="17" w:name="section_17"/>
      <w:pPr>
        <w:pStyle w:val="Heading1"/>
      </w:pPr>
      <w:r>
        <w:t>17 Philosophische Prüfung der zentralen Argumente</w:t>
      </w:r>
      <w:bookmarkEnd w:id="17"/>
    </w:p>
    <w:p>
      <w:pPr>
        <w:pStyle w:val="Heading2"/>
      </w:pPr>
      <w:r>
        <w:t>Was die Unterscheidung zwischen Karte und Realität beweist</w:t>
      </w:r>
    </w:p>
    <w:p>
      <w:r>
        <w:rPr>
          <w:b w:val="0"/>
        </w:rPr>
        <w:t>Das Argument des Realismus lässt sich so rekonstruieren: Irrtum ist nur sinnvoll, wenn zwischen einer Vorstellung und dem, wovon sie eine Vorstellung ist, unterschieden wird. Die Möglichkeit der Korrektur setzt Grenzen voraus, die nicht willkürlich von der gegenwärtigen Karte festgelegt werden. Deshalb kann Wirklichkeit nicht restlos mit ihrer vorhandenen Beschreibung gleichgesetzt werden.</w:t>
      </w:r>
    </w:p>
    <w:p>
      <w:r>
        <w:rPr>
          <w:b w:val="0"/>
        </w:rPr>
        <w:t>Dieses Argument stützt einen minimalen Realismus und die Forderung nach Korrektur. Für sich genommen beweist es jedoch noch nicht, dass die Realität insgesamt einen persönlichen Grund oder einen einzigen endgültigen Sinn besitzt. Der Übergang von einer unabhängigen Begrenzung zum Logos erfordert zusätzliche Prämissen.</w:t>
      </w:r>
    </w:p>
    <w:p>
      <w:r>
        <w:t>Ein wesentlicher Einwand besteht nicht in der Verneinung jeder Wirklichkeit. Er lautet: Warum kann die Anerkennung fehlbarer Karten nicht mit begrenzten, revidierbaren Kriterien ohne einen einzigen maximalen Grund vereinbar sein? Die Antwort von CDJ verweist auf den Regress der Kriterien und die Gefahr, etwas Partielles zu verabsolutieren. Um die Auseinandersetzung zu entscheiden, muss gezeigt werden, warum dieser Regress gerade einen persönlichen Grund erfordert und wie die menschliche Hinwendung zu ihm vermeidet, das eigene Gottesbild in eine weitere, vor Prüfung geschützte Karte zu verwandeln.</w:t>
      </w:r>
    </w:p>
    <w:p>
      <w:pPr>
        <w:pStyle w:val="Heading2"/>
      </w:pPr>
      <w:r>
        <w:t>Ist menschliche Autorschaft bewiesen</w:t>
      </w:r>
    </w:p>
    <w:p>
      <w:r>
        <w:rPr>
          <w:b w:val="0"/>
        </w:rPr>
        <w:t>Die Unterscheidung zwischen empfangenem Dasein und Autorschaft der Antwort beseitigt eine falsche Alternative: Entweder erschafft der Mensch sich selbst, oder er handelt überhaupt nicht. Dies ist ein starkes begriffliches Ergebnis. Eine Antwort kann die eigene sein, ohne absoluter Urgrund zu sein.</w:t>
      </w:r>
    </w:p>
    <w:p>
      <w:r>
        <w:rPr>
          <w:b w:val="0"/>
        </w:rPr>
        <w:t>Ein Vertreter eines lückenlosen Determinismus wird jedoch fragen, warum der Vorgang der Verantwortungsübernahme nicht selbst ein Ergebnis vorausgehender Ursachen ist. Die Beschreibung des Subjekts als Urheber löst die metaphysische Kausalitätsfrage noch nicht. Ebenso muss zwischen der Abhängigkeit von Ursachen und der Reduktion des Handlungssinns auf diese Ursachen unterschieden werden: Die Erklärung der Herkunft einer Überzeugung ist nicht gleichbedeutend mit der Beurteilung ihrer Wahrheit.</w:t>
      </w:r>
    </w:p>
    <w:p>
      <w:r>
        <w:rPr>
          <w:b w:val="0"/>
        </w:rPr>
        <w:t>CDJ bietet eine Sprache, in der sich menschliche Antwort untersuchen lässt, ohne sie aus der Beschreibung zu tilgen. Der theologische Teil schlägt ihren Grund in Gottebenbildlichkeit und Gnade vor. Eine erschöpfende Theorie der Vereinbarkeit menschlicher Kausalität, natürlicher Bedingungen und göttlichen Handelns bleibt jedoch offen. Der Autor selbst erkennt diese Grenze im Beitrag zur Pneumatologie an.</w:t>
      </w:r>
    </w:p>
    <w:p>
      <w:pPr>
        <w:pStyle w:val="Heading2"/>
      </w:pPr>
      <w:r>
        <w:t>Erfordert Gemeinschaft einen einzigen persönlichen Grund</w:t>
      </w:r>
    </w:p>
    <w:p>
      <w:r>
        <w:rPr>
          <w:b w:val="0"/>
        </w:rPr>
        <w:t>Das Argument des I. Bandes verbindet das Fehlen eines gemeinsamen Grundes mit gegenseitiger Kolonisierung: Macht sich jeder Beteiligte zum letzten Maß, wird der andere zum Mittel. In der christlichen Lösung begrenzt die Gemeinsamkeit des Grundes die Ansprüche jedes Einzelnen und eröffnet gemeinsame Teilhabe.</w:t>
      </w:r>
    </w:p>
    <w:p>
      <w:r>
        <w:rPr>
          <w:b w:val="0"/>
        </w:rPr>
        <w:t>Der bedingte Teil des Arguments überzeugt: Eignet sich ein Beteiligter das letzte Recht an, den anderen zu bestimmen, wird gegenseitige Anerkennung untergraben. Der stärkere Teil – jede Beziehung ohne ausdrücklich angenommenen transzendenten Grund werde unvermeidlich zur Kolonisierung – bedarf eines zusätzlichen Nachweises. Zu untersuchen sind die Möglichkeit gegenseitiger Begrenzung, korrigierbarer Normen und der Anerkennung des anderen ohne abgeschlossenen metaphysischen Konsens.</w:t>
      </w:r>
    </w:p>
    <w:p>
      <w:r>
        <w:rPr>
          <w:b w:val="0"/>
        </w:rPr>
        <w:t>Zudem garantiert das gemeinsame Bekenntnis zu einem gemeinsamen Grund keinen Verzicht auf Herrschaft. Das spätere CDJ liefert selbst eine Antwort auf diesen Einwand: Die wirkende Architektur muss geprüft werden; eine Erklärung genügt nicht. So präzisiert die Methodologie die gesellschaftliche Anwendung der frühen metaphysischen These.</w:t>
      </w:r>
    </w:p>
    <w:p>
      <w:pPr>
        <w:pStyle w:val="Heading2"/>
      </w:pPr>
      <w:r>
        <w:t>Die Einzigkeit der christlichen Antwort</w:t>
      </w:r>
    </w:p>
    <w:p>
      <w:r>
        <w:rPr>
          <w:b w:val="0"/>
        </w:rPr>
        <w:t>Philosophische Analyse kann die Grenze der Selbstbegründung zeigen, nach dem Ursprung der Normativität fragen und die Bedingungen der Bewahrung der Person untersuchen. Das christliche Bekenntnis beantwortet diese Fragen durch die Trinität und das Christusereignis. Das Vorliegen einer zusammenhängenden christlichen Antwort beweist aber nicht automatisch die Unmöglichkeit aller Alternativen.</w:t>
      </w:r>
    </w:p>
    <w:p>
      <w:r>
        <w:rPr>
          <w:b w:val="0"/>
        </w:rPr>
        <w:t>Um Einzigkeit zu beweisen, müssen die Kriterien ausdrücklich angegeben, die stärksten Alternativen rekonstruiert und der notwendige Punkt gezeigt werden, an dem jede von ihnen unüberwindlich scheitert. Der I. Band behauptet die Verengung des Kreises der Adressaten auf einen einzigen; eine Abfolge von Behauptungen ersetzt jedoch kein vollständiges vergleichendes Argument.</w:t>
      </w:r>
    </w:p>
    <w:p>
      <w:r>
        <w:rPr>
          <w:b w:val="0"/>
        </w:rPr>
        <w:t>Daraus folgt nicht, dass Philosophie überhaupt nicht zur Begründung der christlichen Antwort beitragen kann oder dass die Wahl willkürlich wäre. Der genaue Schluss ist enger: In den untersuchten Übergängen sind philosophische Argumente, existenzielle Annahme und der Inhalt der Offenbarung zu unterscheiden. Sie vorab für unverbunden zu erklären wäre ebenso ungenau, wie sie für wechselseitig ableitbar zu erklären.</w:t>
      </w:r>
    </w:p>
    <w:p>
      <w:bookmarkStart w:id="18" w:name="section_18"/>
      <w:pPr>
        <w:pStyle w:val="Heading1"/>
      </w:pPr>
      <w:r>
        <w:t>18 Theologische Grenzen und Entwicklung der Begriffe</w:t>
      </w:r>
      <w:bookmarkEnd w:id="18"/>
    </w:p>
    <w:p>
      <w:pPr>
        <w:pStyle w:val="Heading2"/>
      </w:pPr>
      <w:r>
        <w:t>Wie Unterschiede zwischen den Bänden zu lesen sind</w:t>
      </w:r>
    </w:p>
    <w:p>
      <w:r>
        <w:rPr>
          <w:b w:val="0"/>
        </w:rPr>
        <w:t>CDJ ist ein sich entwickelndes Korpus. Im I. Band bedeutet Subjekthaftigkeit häufig eine wahre Position, und ontisches Handeln wird ontologischem scharf gegenübergestellt. Im II. Band werden die notwendige ontische Subjekthaftigkeit eingeführt und die Stärke eines geschichtlichen Projekts von der Qualität seines Grundes unterschieden. Der III. Band verbietet ausdrücklich, aus der bloßen Fähigkeit anzufangen auf sittliche Wahrheit zu schließen.</w:t>
      </w:r>
    </w:p>
    <w:p>
      <w:r>
        <w:rPr>
          <w:b w:val="0"/>
        </w:rPr>
        <w:t>Diese Unterschiede dürfen in der Darstellung nicht einfach getilgt werden. Eine vermittelnde Rekonstruktion ist möglich: Der frühe Text beschreibt die letzte Norm der Subjekthaftigkeit, die späteren ihre analytisch unterscheidbaren Fähigkeiten und Formen. Dies ist jedoch eine Interpretation und muss als solche gekennzeichnet werden. Sie beseitigt nicht die wörtliche Spannung zwischen den Formeln.</w:t>
      </w:r>
    </w:p>
    <w:p>
      <w:r>
        <w:rPr>
          <w:b w:val="0"/>
        </w:rPr>
        <w:t>Ähnlich bezeichnet Autonomie einmal die praktische Fähigkeit, eine eigene Position aufrechtzuerhalten, ein anderes Mal den Anspruch, Ursprung des eigenen Seins zu sein. Das Erste ist für die Antwort notwendig; das Zweite wird kritisiert. Werden beide Bedeutungen ohne Übergang mit demselben Wort bezeichnet, erscheint die Überlegung als Forderung, ein und dasselbe zugleich aufzubauen und aufzuheben. Eine verständliche Analyse muss den Gegenstand der Aussage fortwährend präzisieren.</w:t>
      </w:r>
    </w:p>
    <w:p>
      <w:pPr>
        <w:pStyle w:val="Heading2"/>
      </w:pPr>
      <w:r>
        <w:t>Ontisches Entropie und Stabilität</w:t>
      </w:r>
    </w:p>
    <w:p>
      <w:r>
        <w:rPr>
          <w:b w:val="0"/>
        </w:rPr>
        <w:t>Der vollständige russische I. Band enthält tatsächlich die Formel, ontisches Handeln reproduziere Entropie. Sie darf nicht ausschließlich einem Fehler des Rezensenten zugeschrieben werden. Zugleich bieten die Bände II–III Mittel, ihre Anwendung zu begrenzen: Ontische Verkörperung ist notwendig, Institutionen können Gedächtnis und Korrektur bewahren, und Stabilisierung ist nicht mit Erstarrung identisch.</w:t>
      </w:r>
    </w:p>
    <w:p>
      <w:r>
        <w:rPr>
          <w:b w:val="0"/>
        </w:rPr>
        <w:t>Das Wort „Entropie“ bezeichnet in der sozialphilosophischen Analyse den Verlust von Verbindung, Sinn, ursprünglicher Bestimmung und Erneuerungsfähigkeit. Ohne gesonderte Definition messbarer Größen ist dies kein physikalischer Beweis für die unvermeidliche Degradation aller menschlichen Systeme. Ein thermodynamischer Wortschatz kann allein keine moralische oder historische Bewertung begründen.</w:t>
      </w:r>
    </w:p>
    <w:p>
      <w:r>
        <w:rPr>
          <w:b w:val="0"/>
        </w:rPr>
        <w:t>Die starke These von CDJ lautet, dass eine erfolgreiche Form beginnen kann, sich selbst statt ihrer Bestimmung zu reproduzieren. Daraus folgt nicht, dass jede Wiederholung schädlich wäre. Fürsorge, Bildung, liturgischer Rhythmus und ein verlässliches Verfahren können gerade durch ihre Beständigkeit Subjekthaftigkeit stützen. Das Problem beginnt, wenn Prüfung und Erneuerung ausgeschlossen werden.</w:t>
      </w:r>
    </w:p>
    <w:p>
      <w:pPr>
        <w:pStyle w:val="Heading2"/>
      </w:pPr>
      <w:r>
        <w:t>Grenzen naturwissenschaftlicher und kultureller Veranschaulichungen</w:t>
      </w:r>
    </w:p>
    <w:p>
      <w:r>
        <w:rPr>
          <w:b w:val="0"/>
        </w:rPr>
        <w:t>Im I. Band findet sich eine Tabelle der Informationsfilterung mit dem Endkoeffizienten 10⁻¹⁷. Ihr philosophisches Motiv ist verständlich: Die menschliche Karte ist selektiv. Eine quantitative Aussage über den Anteil an der gesamten objektiven Realität erfordert jedoch einen bestimmten Nenner, Maßeinheiten und miteinander vereinbare Berechnungsbedingungen auf jeder Stufe. Die bloße Multiplikation verschiedenartiger Schätzungen gewährleistet dies nicht. Die Zahl sollte daher weder als nachgewiesenes Maß menschlicher Begrenztheit noch als wissenschaftliche Bestätigung der Lehre vom Fall verwendet werden.</w:t>
      </w:r>
    </w:p>
    <w:p>
      <w:r>
        <w:rPr>
          <w:b w:val="0"/>
        </w:rPr>
        <w:t>Ähnliche Vorsicht ist gegenüber kulturellen Verallgemeinerungen in „Die Sprache Gottes“ erforderlich, einschließlich der kategorischen Behauptung, Depression sei im Milieu der Bergvölker unmöglich. Die Beobachtung einer bestimmten Weise, Tragödien zu erleben, belegt weder das Fehlen eines Zustands in einer gesamten Population noch dessen ausschließlich kulturellen Ursprung. Eine verständliche Darstellung kann die philosophische Frage nach der Fähigkeit bewahren, auf Unheil zu antworten, ohne die Verallgemeinerung des Autors zu einer feststehenden Tatsache zu machen.</w:t>
      </w:r>
    </w:p>
    <w:p>
      <w:r>
        <w:rPr>
          <w:b w:val="0"/>
        </w:rPr>
        <w:t>Diese Einwände widerlegen die Architektur von CDJ nicht. Sie trennen ihre Argumente von Veranschaulichungen, die einer eigenständigen Prüfung bedürfen. Gerade das eigene Prinzip des Projekts – keinen unbewiesenen Übergang zuzulassen – macht diese Abgrenzung notwendig.</w:t>
      </w:r>
    </w:p>
    <w:p>
      <w:pPr>
        <w:pStyle w:val="Heading2"/>
      </w:pPr>
      <w:r>
        <w:t>Kenosis und Schutz der Person</w:t>
      </w:r>
    </w:p>
    <w:p>
      <w:r>
        <w:rPr>
          <w:b w:val="0"/>
        </w:rPr>
        <w:t>Die theologische Forderung nach Selbsthingabe lässt sich leicht verzerren, wenn sie zur Rechtfertigung fremder Macht eingesetzt wird. Deshalb genügt es nicht zu sagen, eine echte Umadressierung bewahre die Person: Es muss gezeigt werden, wie sich dies in kirchlicher Praxis unterscheiden lässt. Das Recht, eine Diskrepanz anzuzeigen, die Kompetenzgrenzen des Leiters und die Verbindung von Entscheidung und Verantwortung werden zu Prüfsteinen der erklärten Bestimmung, nicht zu bloßen äußeren Zugeständnissen.</w:t>
      </w:r>
    </w:p>
    <w:p>
      <w:r>
        <w:rPr>
          <w:b w:val="0"/>
        </w:rPr>
        <w:t>Zugleich darf das Leben aus der Gnade nicht auf einen Satz beobachtbarer Führungskennzahlen reduziert werden. Ein Mensch kann unter Schwäche, Krankheit und ohne öffentliches Ergebnis zutiefst treu bleiben. Die funktionale Prüfung betrifft die geschichtliche Architektur und ihre zugänglichen Früchte; sie wird nicht zum Messinstrument für Heiligkeit.</w:t>
      </w:r>
    </w:p>
    <w:p>
      <w:pPr>
        <w:pStyle w:val="Heading2"/>
      </w:pPr>
      <w:r>
        <w:t>Prüfung der trinitarischen Analogie</w:t>
      </w:r>
    </w:p>
    <w:p>
      <w:r>
        <w:rPr>
          <w:b w:val="0"/>
        </w:rPr>
        <w:t>Der Beitrag zur Pneumatologie schlägt einen eigenen negativen Test vor: Die Entsprechung darf nicht allein auf sprachlicher Ähnlichkeit beruhen; die Vertauschung der Elemente muss die Erklärungskraft verringern; die Ausgangsdefinitionen dürfen nicht zugunsten des Schemas verändert werden; die Personen der Trinität dürfen nicht in Funktionen verwandelt werden.</w:t>
      </w:r>
    </w:p>
    <w:p>
      <w:r>
        <w:rPr>
          <w:b w:val="0"/>
        </w:rPr>
        <w:t>Dies sind ernsthafte Begrenzungen, doch die innere Stimmigkeit der Analogie beweist noch nicht ihre Ausschließlichkeit. Zu klären ist, was sie über die ursprüngliche anthropologische Beschreibung hinaus erklärt und warum eine alternative theologische Zuordnung weniger erklären würde. Die bewusste Asymmetrie von DIS, OS und Subjekthaftigkeit macht die Konstruktion gehaltvoller als eine bloße Gegenüberstellung von Dreiergruppen. Die abschließende Bewertung erfordert eine eigene theologische Diskussion.</w:t>
      </w:r>
    </w:p>
    <w:p>
      <w:bookmarkStart w:id="19" w:name="section_19"/>
      <w:pPr>
        <w:pStyle w:val="Heading1"/>
      </w:pPr>
      <w:r>
        <w:t>19 Bedeutung des Projekts und Prüfprogramm</w:t>
      </w:r>
      <w:bookmarkEnd w:id="19"/>
    </w:p>
    <w:p>
      <w:pPr>
        <w:pStyle w:val="Heading2"/>
      </w:pPr>
      <w:r>
        <w:t>Worin der eigenständige Beitrag besteht</w:t>
      </w:r>
    </w:p>
    <w:p>
      <w:r>
        <w:rPr>
          <w:b w:val="0"/>
        </w:rPr>
        <w:t>CDJ verbindet eine Anthropologie der Antwort, christliche Eschatologie und die Analyse wirkender Institutionen. Sein Gehalt bestimmt sich durch diese Verbindung, nicht durch die Zahl neuer Begriffe. Begriffe werden nützlich, wenn sie einen konkreten Bruch sichtbar machen: Wissen erreicht die Entscheidung nicht, Initiative wird vom Preis getrennt, kirchliche Leitung reproduziert Abhängigkeit, geschichtlicher Erfolg wird für endgültige Wahrheit gehalten.</w:t>
      </w:r>
    </w:p>
    <w:p>
      <w:r>
        <w:rPr>
          <w:b w:val="0"/>
        </w:rPr>
        <w:t>Besonders produktiv sind die Unterscheidungen zwischen Empfangensein und Autorschaft, Karte und Realität, Kompetenz und Projektualität, erklärter und hervorgebrachter Wirkung, Kreditwürdigkeit und Zahlungsfähigkeit. Sie ermöglichen präzisere Auseinandersetzungen und machen einen Teil der Behauptungen überprüfbar.</w:t>
      </w:r>
    </w:p>
    <w:p>
      <w:r>
        <w:rPr>
          <w:b w:val="0"/>
        </w:rPr>
        <w:t>Theologisch bedeutsam ist der Übergang von der allgemeinen Behauptung menschlicher Würde zur Frage nach einer eigenen, unersetzlichen und eschatologisch offenen Fähigkeit zur Antwort. Christus wird hier nicht einer fertigen Philosophie als religiöser Schmuck hinzugefügt: Menschwerdung, Kreuz und Auferstehung bestimmen den letzten Gehalt dessen, wozu der Mensch berufen ist. Zugleich kann die Methodologie einzelne menschliche Architekturen untersuchen, ohne dass der Forschende zuvor die gesamte Theologie annehmen muss.</w:t>
      </w:r>
    </w:p>
    <w:p>
      <w:pPr>
        <w:pStyle w:val="Heading2"/>
      </w:pPr>
      <w:r>
        <w:t>Wie CDJ mit anderen Philosophien verglichen werden kann</w:t>
      </w:r>
    </w:p>
    <w:p>
      <w:r>
        <w:rPr>
          <w:b w:val="0"/>
        </w:rPr>
        <w:t>Ein Vergleich beginnt sinnvollerweise mit Fragen: Wie verhalten sich Gegebenheit und Freiheit zueinander? Wie wird der andere zugänglich, ohne auf ein Objekt reduziert zu werden? Was macht eine Norm verbindlich? Wie handeln verteilte Kollektive? So lassen sich wirkliche Gesprächspunkte mit Phänomenologie, Dialogphilosophie, Handlungstheorien und Sozialontologie bestimmen.</w:t>
      </w:r>
    </w:p>
    <w:p>
      <w:r>
        <w:rPr>
          <w:b w:val="0"/>
        </w:rPr>
        <w:t>Die Übereinstimmung von Wörtern wie „Sein“, „Entscheidung“ oder „Dialog“ beweist jedoch weder die Herkunft eines Arguments noch die Überlegenheit eines Systems über ein anderes. Wer behauptet, CDJ überwinde eine Grenze Heideggers, Bubers, Barths oder einer anderen Tradition, muss die jeweiligen Texte symmetrisch rekonstruieren. Solche Vergleiche sind hier das Programm einer gesonderten Untersuchung, kein fertiges Ergebnis.</w:t>
      </w:r>
    </w:p>
    <w:p>
      <w:r>
        <w:rPr>
          <w:b w:val="0"/>
        </w:rPr>
        <w:t>Dasselbe gilt für die Biografie. Eine Bemerkung des Autors verbindet das Aufkommen des Begriffs „ontologische Spannung“ mit der Erfahrung von 1993. Dies ist ein wichtiges Zeugnis für die Entstehung der Einsicht, aber weder ein Universalitätsbeweis noch ein Hindernis für Universalität. Diese wird daran geprüft, ob das Argument die Übertragung in andere Situationen trägt, einschließlich Alltag, Fürsorge, Bildung und langsamer institutioneller Entwicklung.</w:t>
      </w:r>
    </w:p>
    <w:p>
      <w:pPr>
        <w:pStyle w:val="Heading2"/>
      </w:pPr>
      <w:r>
        <w:t>Welche Untersuchungen die Methode tatsächlich prüfen würden</w:t>
      </w:r>
    </w:p>
    <w:p>
      <w:r>
        <w:rPr>
          <w:b w:val="0"/>
        </w:rPr>
        <w:t>Ein erster Test wäre die unabhängige Analyse eines begrenzten Falls durch mehrere Forschende. Sie sollten vorab Datenkorpus, Zeitraum und Funktion festlegen und anschließend ihre Rekonstruktionen von Karte, Operationen, Befugnissen und Vektor vergleichen. Wichtig ist nicht nur der Grad der Übereinstimmung, sondern die Möglichkeit, den Grund einer Abweichung genau zu lokalisieren.</w:t>
      </w:r>
    </w:p>
    <w:p>
      <w:r>
        <w:rPr>
          <w:b w:val="0"/>
        </w:rPr>
        <w:t>Ein zweiter Test wäre der Vergleich mit einer einfacheren Erklärung. Lässt sich ein Versagen vollständig durch Ressourcenmangel erklären, muss CDJ zeigen, was die Analyse der Subjektarchitektur hinzufügt. Fügt sie nichts Wesentliches hinzu, ist die Verkomplizierung des Wortschatzes nicht gerechtfertigt.</w:t>
      </w:r>
    </w:p>
    <w:p>
      <w:r>
        <w:rPr>
          <w:b w:val="0"/>
        </w:rPr>
        <w:t>Ein dritter Test wäre eine prospektive Untersuchung. Vor dem nächsten Ereignis müssen die erwarteten Merkmale einer Antwort und die Bedingungen formuliert werden, die zur Revision der Hypothese zwingen würden. Dies hilft, Erklärungskraft von der Fähigkeit zu unterscheiden, im Nachhinein jeden Ausgang zu beschreiben.</w:t>
      </w:r>
    </w:p>
    <w:p>
      <w:r>
        <w:rPr>
          <w:b w:val="0"/>
        </w:rPr>
        <w:t>Ein vierter Test wäre die Anwendung auf kirchliche oder pädagogische Praxis mit einer tatsächlichen strukturellen Veränderung. Die Eröffnung eines Korrekturkanals sollte beispielsweise nicht am Vorhandensein eines Dokuments geprüft werden, sondern daran, ob Entscheidungen sich nach dem Eingang bedeutsamer Informationen ändern. Das geschichtliche Ergebnis darf dabei nicht als Messung des Handelns Gottes ausgegeben werden.</w:t>
      </w:r>
    </w:p>
    <w:p>
      <w:pPr>
        <w:pStyle w:val="Heading2"/>
      </w:pPr>
      <w:r>
        <w:t>Der zentrale Schluss</w:t>
      </w:r>
    </w:p>
    <w:p>
      <w:r>
        <w:t>Die zentrale These von CDJ lässt sich wie folgt rekonstruieren: Der Mensch empfängt sein Sein, ist aber berufen, selbst zu antworten; eine eigene Antwort verlangt die Unterscheidung zwischen Realität und eigener Karte, die Übernahme der Folgen und Offenheit für Korrektur; das Christentum erschließt den letzten Grund dieser Antwort im dreieinigen Gott und ihre Bestimmung in ewiger Gemeinschaft; geschichtliche Formen sind danach zu beurteilen, ob sie eine solche Antwort ermöglichen.</w:t>
      </w:r>
    </w:p>
    <w:p>
      <w:r>
        <w:rPr>
          <w:b w:val="0"/>
        </w:rPr>
        <w:t>Dies ist eine zusammenhängende und gehaltvolle Forschungsposition. Ihre Stärke verlangt nicht, sämtliche metaphysischen Übergänge bereits für bewiesen, die Theorie der Synergie für abgeschlossen oder die gesamte Methode für empirisch bestätigt zu erklären. Vielmehr setzt die eigene Forderung von CDJ, der Realität das Recht zu lassen, die Karte zu verändern, einen angemessenen Maßstab für die weitere Arbeit am Projekt selbst.</w:t>
      </w:r>
    </w:p>
    <w:p>
      <w:bookmarkStart w:id="20" w:name="section_20"/>
      <w:pPr>
        <w:pStyle w:val="Heading1"/>
      </w:pPr>
      <w:r>
        <w:t>Kurzes Glossar</w:t>
      </w:r>
      <w:bookmarkEnd w:id="20"/>
    </w:p>
    <w:p>
      <w:pPr>
        <w:spacing w:after="120"/>
      </w:pPr>
      <w:r>
        <w:rPr>
          <w:b w:val="0"/>
        </w:rPr>
        <w:t>Das Glossar dient der Lektüre dieser Analyse. Es ersetzt nicht das Begriffsregister des Autors und bewahrt die wesentlichen Unterscheidungen der späteren Bände.</w:t>
      </w:r>
    </w:p>
    <w:p>
      <w:pPr>
        <w:spacing w:after="120"/>
      </w:pPr>
      <w:r>
        <w:rPr>
          <w:b w:val="0"/>
        </w:rPr>
      </w:r>
      <w:r>
        <w:rPr>
          <w:b/>
        </w:rPr>
        <w:t>Realität.</w:t>
      </w:r>
      <w:r>
        <w:rPr>
          <w:b w:val="0"/>
        </w:rPr>
        <w:t xml:space="preserve"> Die der menschlichen Antwort vorausgehende Wirklichkeit, die sich nicht in ihrer vorhandenen Karte erschöpft. Auch der Zugang des Forschenden zu ihr ist vermittelt und bedarf der Prüfung.</w:t>
      </w:r>
    </w:p>
    <w:p>
      <w:pPr>
        <w:spacing w:after="120"/>
      </w:pPr>
      <w:r>
        <w:rPr>
          <w:b w:val="0"/>
        </w:rPr>
      </w:r>
      <w:r>
        <w:rPr>
          <w:b/>
        </w:rPr>
        <w:t>Karte der Realität.</w:t>
      </w:r>
      <w:r>
        <w:rPr>
          <w:b w:val="0"/>
        </w:rPr>
        <w:t xml:space="preserve"> Eine angeeignete Konfiguration von Unterscheidungen, Verbindungen, Bedeutsamkeiten und Möglichkeiten. Für das Handeln notwendig, aber nicht mit ihrem Gegenstand identisch.</w:t>
      </w:r>
    </w:p>
    <w:p>
      <w:pPr>
        <w:spacing w:after="120"/>
      </w:pPr>
      <w:r>
        <w:rPr>
          <w:b w:val="0"/>
        </w:rPr>
      </w:r>
      <w:r>
        <w:rPr>
          <w:b/>
        </w:rPr>
        <w:t>Metaphysik.</w:t>
      </w:r>
      <w:r>
        <w:rPr>
          <w:b w:val="0"/>
        </w:rPr>
        <w:t xml:space="preserve"> Voraussetzungen über Wirklichkeit, Sinn und letzten Grund. Die angewandte Metaphysik untersucht, wie sie das Leben organisieren und seiner Prüfung standhalten.</w:t>
      </w:r>
    </w:p>
    <w:p>
      <w:pPr>
        <w:spacing w:after="120"/>
      </w:pPr>
      <w:r>
        <w:rPr>
          <w:b w:val="0"/>
        </w:rPr>
      </w:r>
      <w:r>
        <w:rPr>
          <w:b/>
        </w:rPr>
        <w:t>Wirkende Ontologie.</w:t>
      </w:r>
      <w:r>
        <w:rPr>
          <w:b w:val="0"/>
        </w:rPr>
        <w:t xml:space="preserve"> Architektur der dem Subjekt zugänglichen Wirklichkeit, innerhalb deren etwas als bestehend, bedeutsam, möglich und eine Antwort verlangend erscheint.</w:t>
      </w:r>
    </w:p>
    <w:p>
      <w:pPr>
        <w:spacing w:after="120"/>
      </w:pPr>
      <w:r>
        <w:rPr>
          <w:b w:val="0"/>
        </w:rPr>
      </w:r>
      <w:r>
        <w:rPr>
          <w:b/>
        </w:rPr>
        <w:t>DIS.</w:t>
      </w:r>
      <w:r>
        <w:rPr>
          <w:b w:val="0"/>
        </w:rPr>
        <w:t xml:space="preserve"> Dynamischer Ikonischer Raum: die Weise, in der Realität für das Subjekt gegenwärtig ist, einschließlich Inhalt, Verbindungen, Bedeutsamkeit, Maßstab und Zeithorizont.</w:t>
      </w:r>
    </w:p>
    <w:p>
      <w:pPr>
        <w:spacing w:after="120"/>
      </w:pPr>
      <w:r>
        <w:rPr>
          <w:b w:val="0"/>
        </w:rPr>
      </w:r>
      <w:r>
        <w:rPr>
          <w:b/>
        </w:rPr>
        <w:t>OS.</w:t>
      </w:r>
      <w:r>
        <w:rPr>
          <w:b w:val="0"/>
        </w:rPr>
        <w:t xml:space="preserve"> Betriebssystem: verfügbare Weisen der Wahrnehmung und Deutung, des Entwerfens und Ausführens, der Reflexion und Korrektur.</w:t>
      </w:r>
    </w:p>
    <w:p>
      <w:pPr>
        <w:spacing w:after="120"/>
      </w:pPr>
      <w:r>
        <w:rPr>
          <w:b w:val="0"/>
        </w:rPr>
      </w:r>
      <w:r>
        <w:rPr>
          <w:b/>
        </w:rPr>
        <w:t>Subjekthaftigkeit.</w:t>
      </w:r>
      <w:r>
        <w:rPr>
          <w:b w:val="0"/>
        </w:rPr>
        <w:t xml:space="preserve"> Fähigkeit, wirklicher Urheber einer Antwort zu sein und sie mit Folgen und Korrektur zu verbinden. In frühen Formulierungen ist der Begriff zusätzlich mit der Forderung nach Wahrheit der Position verbunden.</w:t>
      </w:r>
    </w:p>
    <w:p>
      <w:pPr>
        <w:spacing w:after="120"/>
      </w:pPr>
      <w:r>
        <w:rPr>
          <w:b w:val="0"/>
        </w:rPr>
      </w:r>
      <w:r>
        <w:rPr>
          <w:b/>
        </w:rPr>
        <w:t>Abgeleitetheit des Daseins.</w:t>
      </w:r>
      <w:r>
        <w:rPr>
          <w:b w:val="0"/>
        </w:rPr>
        <w:t xml:space="preserve"> Empfangensein des Seins und der anfänglichen Bedingungen. Wird durch Freiheit nicht aufgehoben und ist nicht mit fehlender Autorschaft gleichzusetzen.</w:t>
      </w:r>
    </w:p>
    <w:p>
      <w:pPr>
        <w:spacing w:after="120"/>
      </w:pPr>
      <w:r>
        <w:rPr>
          <w:b w:val="0"/>
        </w:rPr>
      </w:r>
      <w:r>
        <w:rPr>
          <w:b/>
        </w:rPr>
        <w:t>Derivativer Modus.</w:t>
      </w:r>
      <w:r>
        <w:rPr>
          <w:b w:val="0"/>
        </w:rPr>
        <w:t xml:space="preserve"> Im kritischen Gebrauch: Reproduktion fremder Bestimmungen ohne eigenes verantwortliches Verhältnis. Nicht mit Geschöpflichkeit oder der funktionalen Abgeleitetheit professioneller Ontologien zu verwechseln.</w:t>
      </w:r>
    </w:p>
    <w:p>
      <w:pPr>
        <w:spacing w:after="120"/>
      </w:pPr>
      <w:r>
        <w:rPr>
          <w:b w:val="0"/>
        </w:rPr>
      </w:r>
      <w:r>
        <w:rPr>
          <w:b/>
        </w:rPr>
        <w:t>Fundierung.</w:t>
      </w:r>
      <w:r>
        <w:rPr>
          <w:b w:val="0"/>
        </w:rPr>
        <w:t xml:space="preserve"> Herstellung eines Grundes und einer eigenen Antwortposition. Der I. Band unterscheidet den anfänglichen Austritt aus dem derivativen Modus und die Aktualisierung der Subjektposition.</w:t>
      </w:r>
    </w:p>
    <w:p>
      <w:pPr>
        <w:spacing w:after="120"/>
      </w:pPr>
      <w:r>
        <w:rPr>
          <w:b w:val="0"/>
        </w:rPr>
      </w:r>
      <w:r>
        <w:rPr>
          <w:b/>
        </w:rPr>
        <w:t>Ontologische Autonomie.</w:t>
      </w:r>
      <w:r>
        <w:rPr>
          <w:b w:val="0"/>
        </w:rPr>
        <w:t xml:space="preserve"> Kontextabhängig unterschiedliche Bedeutungen: Selbstständigkeit und Projektualität oder der Anspruch auf Selbstbegründung. Das Erste darf nicht automatisch mit dem Zweiten gleichgesetzt werden.</w:t>
      </w:r>
    </w:p>
    <w:p>
      <w:pPr>
        <w:spacing w:after="120"/>
      </w:pPr>
      <w:r>
        <w:rPr>
          <w:b w:val="0"/>
        </w:rPr>
      </w:r>
      <w:r>
        <w:rPr>
          <w:b/>
        </w:rPr>
        <w:t>Ontologische Spannung.</w:t>
      </w:r>
      <w:r>
        <w:rPr>
          <w:b w:val="0"/>
        </w:rPr>
        <w:t xml:space="preserve"> Aufrechterhaltene Diskrepanz zwischen Realität und wirkendem Modell oder dessen Gründen. Nicht identisch mit psychischem Stress; im frühen Text mit der äußersten Prüfung der Autonomie verbunden.</w:t>
      </w:r>
    </w:p>
    <w:p>
      <w:pPr>
        <w:spacing w:after="120"/>
      </w:pPr>
      <w:r>
        <w:rPr>
          <w:b w:val="0"/>
        </w:rPr>
      </w:r>
      <w:r>
        <w:rPr>
          <w:b/>
        </w:rPr>
        <w:t>Diskrepanzinformation.</w:t>
      </w:r>
      <w:r>
        <w:rPr>
          <w:b w:val="0"/>
        </w:rPr>
        <w:t xml:space="preserve"> Information, die die Unzulänglichkeit einer Karte, eines Instruments, eines Modells oder einer Architektur der Antwort aufdeckt. Ein mögliches vorläufiges Signal bedarf noch der Deutung und Prüfung.</w:t>
      </w:r>
    </w:p>
    <w:p>
      <w:pPr>
        <w:spacing w:after="120"/>
      </w:pPr>
      <w:r>
        <w:rPr>
          <w:b w:val="0"/>
        </w:rPr>
      </w:r>
      <w:r>
        <w:rPr>
          <w:b/>
        </w:rPr>
        <w:t>Ontologische Umadressierung.</w:t>
      </w:r>
      <w:r>
        <w:rPr>
          <w:b w:val="0"/>
        </w:rPr>
        <w:t xml:space="preserve"> Verzicht darauf, das eigene Ich oder einen anderen abgeleiteten Grund als letzten Ursprung und Maßstab des Lebens zu betrachten, unter Bewahrung der eigenen Antwort und Verantwortung.</w:t>
      </w:r>
    </w:p>
    <w:p>
      <w:pPr>
        <w:spacing w:after="120"/>
      </w:pPr>
      <w:r>
        <w:rPr>
          <w:b w:val="0"/>
        </w:rPr>
      </w:r>
      <w:r>
        <w:rPr>
          <w:b/>
        </w:rPr>
        <w:t>Methodologischer Monotheismus.</w:t>
      </w:r>
      <w:r>
        <w:rPr>
          <w:b w:val="0"/>
        </w:rPr>
        <w:t xml:space="preserve"> Forderung, partielle Gründe auf einen einzigen maximalen Grund zu beziehen. Ein strukturelles Orientierungsprinzip, das das vollständige theologische Bekenntnis nicht ersetzt.</w:t>
      </w:r>
    </w:p>
    <w:p>
      <w:pPr>
        <w:spacing w:after="120"/>
      </w:pPr>
      <w:r>
        <w:rPr>
          <w:b w:val="0"/>
        </w:rPr>
      </w:r>
      <w:r>
        <w:rPr>
          <w:b/>
        </w:rPr>
        <w:t>Logozentrizität.</w:t>
      </w:r>
      <w:r>
        <w:rPr>
          <w:b w:val="0"/>
        </w:rPr>
        <w:t xml:space="preserve"> Ausrichtung des Lebens auf den Logos als Grund, welche die Verabsolutierung des eigenen Projekts begrenzt und Prüfung zulässt.</w:t>
      </w:r>
    </w:p>
    <w:p>
      <w:pPr>
        <w:spacing w:after="120"/>
      </w:pPr>
      <w:r>
        <w:rPr>
          <w:b w:val="0"/>
        </w:rPr>
      </w:r>
      <w:r>
        <w:rPr>
          <w:b/>
        </w:rPr>
        <w:t>Logofugalität.</w:t>
      </w:r>
      <w:r>
        <w:rPr>
          <w:b w:val="0"/>
        </w:rPr>
        <w:t xml:space="preserve"> Orientierung, bei der Abgeleitetes an die Stelle des letzten Grundes tritt und die Bindung an Wahrheit sowie die Möglichkeit der Prüfung der Selbsterhaltung der Konstruktion untergeordnet werden.</w:t>
      </w:r>
    </w:p>
    <w:p>
      <w:pPr>
        <w:spacing w:after="120"/>
      </w:pPr>
      <w:r>
        <w:rPr>
          <w:b w:val="0"/>
        </w:rPr>
      </w:r>
      <w:r>
        <w:rPr>
          <w:b/>
        </w:rPr>
        <w:t>Qualität der Ontologie.</w:t>
      </w:r>
      <w:r>
        <w:rPr>
          <w:b w:val="0"/>
        </w:rPr>
        <w:t xml:space="preserve"> Mehrdimensionale Charakteristik von DIS, OS und Subjekthaftigkeit, betrachtet zusammen mit Fundiertheit und Werteordnung. Nicht auf bloßen Erfolg oder eine einzige Krisenprüfung reduzierbar.</w:t>
      </w:r>
    </w:p>
    <w:p>
      <w:pPr>
        <w:spacing w:after="120"/>
      </w:pPr>
      <w:r>
        <w:rPr>
          <w:b w:val="0"/>
        </w:rPr>
      </w:r>
      <w:r>
        <w:rPr>
          <w:b/>
        </w:rPr>
        <w:t>Ontologische Kompetenz.</w:t>
      </w:r>
      <w:r>
        <w:rPr>
          <w:b w:val="0"/>
        </w:rPr>
        <w:t xml:space="preserve"> Fähigkeit, Gründe, Maßstäbe und Grenzen zu unterscheiden, mit der eigenen Karte zu arbeiten, Diskrepanz auszuhalten und zu antworten. Ihre Umsetzung in ein geschichtliches Projekt erfordert zusätzliche Fähigkeiten und Bedingungen.</w:t>
      </w:r>
    </w:p>
    <w:p>
      <w:pPr>
        <w:spacing w:after="120"/>
      </w:pPr>
      <w:r>
        <w:rPr>
          <w:b w:val="0"/>
        </w:rPr>
      </w:r>
      <w:r>
        <w:rPr>
          <w:b/>
        </w:rPr>
        <w:t>Ontologische Askese.</w:t>
      </w:r>
      <w:r>
        <w:rPr>
          <w:b w:val="0"/>
        </w:rPr>
        <w:t xml:space="preserve"> Disziplinierte Bereitschaft, unhaltbare Elemente der eigenen Ontologie aufzugeben.</w:t>
      </w:r>
    </w:p>
    <w:p>
      <w:pPr>
        <w:spacing w:after="120"/>
      </w:pPr>
      <w:r>
        <w:rPr>
          <w:b w:val="0"/>
        </w:rPr>
      </w:r>
      <w:r>
        <w:rPr>
          <w:b/>
        </w:rPr>
        <w:t>Ontologische Ätherifizierung.</w:t>
      </w:r>
      <w:r>
        <w:rPr>
          <w:b w:val="0"/>
        </w:rPr>
        <w:t xml:space="preserve"> Im I. Band der Übergang zu einem umfassenderen Horizont, der größere Komplexität zu halten ermöglicht. Bedeutet keine Abkehr von der konkreten Wirklichkeit.</w:t>
      </w:r>
    </w:p>
    <w:p>
      <w:pPr>
        <w:spacing w:after="120"/>
      </w:pPr>
      <w:r>
        <w:rPr>
          <w:b w:val="0"/>
        </w:rPr>
      </w:r>
      <w:r>
        <w:rPr>
          <w:b/>
        </w:rPr>
        <w:t>Szenariobuch.</w:t>
      </w:r>
      <w:r>
        <w:rPr>
          <w:b w:val="0"/>
        </w:rPr>
        <w:t xml:space="preserve"> Beständige Regeln der situationsbezogenen Verbindung von DIS, OS und subjekthaften Befugnissen. Macht die Antwort verfügbar, ohne ihren Vollzug unvermeidlich zu machen.</w:t>
      </w:r>
    </w:p>
    <w:p>
      <w:pPr>
        <w:spacing w:after="120"/>
      </w:pPr>
      <w:r>
        <w:rPr>
          <w:b w:val="0"/>
        </w:rPr>
      </w:r>
      <w:r>
        <w:rPr>
          <w:b/>
        </w:rPr>
        <w:t>Kristallisation.</w:t>
      </w:r>
      <w:r>
        <w:rPr>
          <w:b w:val="0"/>
        </w:rPr>
        <w:t xml:space="preserve"> Das Gewinnen einer beständigen und reproduzierbaren Form durch ein neues Verständnis. Kann Entwicklung stützen oder Prüfung vorzeitig schließen.</w:t>
      </w:r>
    </w:p>
    <w:p>
      <w:pPr>
        <w:spacing w:after="120"/>
      </w:pPr>
      <w:r>
        <w:rPr>
          <w:b w:val="0"/>
        </w:rPr>
      </w:r>
      <w:r>
        <w:rPr>
          <w:b/>
        </w:rPr>
        <w:t>Generativität.</w:t>
      </w:r>
      <w:r>
        <w:rPr>
          <w:b w:val="0"/>
        </w:rPr>
        <w:t xml:space="preserve"> Fähigkeit, neue Architekturen möglicher Antwort zu schaffen. Erfordert die Angabe des Maßstabs der Neuheit und ihres Trägers.</w:t>
      </w:r>
    </w:p>
    <w:p>
      <w:pPr>
        <w:spacing w:after="120"/>
      </w:pPr>
      <w:r>
        <w:rPr>
          <w:b w:val="0"/>
        </w:rPr>
      </w:r>
      <w:r>
        <w:rPr>
          <w:b/>
        </w:rPr>
        <w:t>Ontologische Kommunikation.</w:t>
      </w:r>
      <w:r>
        <w:rPr>
          <w:b w:val="0"/>
        </w:rPr>
        <w:t xml:space="preserve"> Begegnung, bei der die Gründe und die Karte eines Beteiligten durch die Wirklichkeit des anderen infrage gestellt werden können, statt bloß um Informationen ergänzt zu werden.</w:t>
      </w:r>
    </w:p>
    <w:p>
      <w:pPr>
        <w:spacing w:after="120"/>
      </w:pPr>
      <w:r>
        <w:rPr>
          <w:b w:val="0"/>
        </w:rPr>
      </w:r>
      <w:r>
        <w:rPr>
          <w:b/>
        </w:rPr>
        <w:t>Sozio-ontische Projektualität.</w:t>
      </w:r>
      <w:r>
        <w:rPr>
          <w:b w:val="0"/>
        </w:rPr>
        <w:t xml:space="preserve"> Fähigkeit, eine Sichtweise in gesellschaftlichen Strukturen, Ressourcen und Handlungen zu verkörpern. Verbürgt nicht die Wahrheit des Projektgrundes.</w:t>
      </w:r>
    </w:p>
    <w:p>
      <w:pPr>
        <w:spacing w:after="120"/>
      </w:pPr>
      <w:r>
        <w:rPr>
          <w:b w:val="0"/>
        </w:rPr>
      </w:r>
      <w:r>
        <w:rPr>
          <w:b/>
        </w:rPr>
        <w:t>Messianische Identität.</w:t>
      </w:r>
      <w:r>
        <w:rPr>
          <w:b w:val="0"/>
        </w:rPr>
        <w:t xml:space="preserve"> Verständnis des eigenen Lebens als Berufung und Mission. Im christlichen Gebrauch Annahme des Gesandtseins; die Form der Mission selbst kann auch einem falschen Grund dienen.</w:t>
      </w:r>
    </w:p>
    <w:p>
      <w:pPr>
        <w:spacing w:after="120"/>
      </w:pPr>
      <w:r>
        <w:rPr>
          <w:b w:val="0"/>
        </w:rPr>
      </w:r>
      <w:r>
        <w:rPr>
          <w:b/>
        </w:rPr>
        <w:t>Eschatologische Subjekthaftigkeit.</w:t>
      </w:r>
      <w:r>
        <w:rPr>
          <w:b w:val="0"/>
        </w:rPr>
        <w:t xml:space="preserve"> Ausrichtung menschlicher Antwort auf eine letzte, in keiner geschichtlichen Form aufgehende Fülle und auf die endgültige Gemeinschaft mit Gott.</w:t>
      </w:r>
    </w:p>
    <w:p>
      <w:pPr>
        <w:spacing w:after="120"/>
      </w:pPr>
      <w:r>
        <w:rPr>
          <w:b w:val="0"/>
        </w:rPr>
      </w:r>
      <w:r>
        <w:rPr>
          <w:b/>
        </w:rPr>
        <w:t>Glaube als Kompetenz.</w:t>
      </w:r>
      <w:r>
        <w:rPr>
          <w:b w:val="0"/>
        </w:rPr>
        <w:t xml:space="preserve"> Fähigkeit, aus der Beziehung zu Gott zu leben und dabei eine verantwortliche Orientierung an der Wahrheit unter Ungewissheit, beim Verlust von Garantien und angesichts notwendiger Korrektur zu bewahren.</w:t>
      </w:r>
    </w:p>
    <w:p>
      <w:pPr>
        <w:spacing w:after="120"/>
      </w:pPr>
      <w:r>
        <w:rPr>
          <w:b w:val="0"/>
        </w:rPr>
      </w:r>
      <w:r>
        <w:rPr>
          <w:b/>
        </w:rPr>
        <w:t>Praxis des Kreuzes.</w:t>
      </w:r>
      <w:r>
        <w:rPr>
          <w:b w:val="0"/>
        </w:rPr>
        <w:t xml:space="preserve"> Verzicht darauf, Selbsterhaltung und Erfolg zum letzten Wahrheitskriterium zu machen. Nicht identisch mit beliebigem Leiden, beliebigem Opfer oder Unterwerfung unter eine fremde Forderung.</w:t>
      </w:r>
    </w:p>
    <w:p>
      <w:pPr>
        <w:spacing w:after="120"/>
      </w:pPr>
      <w:r>
        <w:rPr>
          <w:b w:val="0"/>
        </w:rPr>
      </w:r>
      <w:r>
        <w:rPr>
          <w:b/>
        </w:rPr>
        <w:t>Erste Ontologie.</w:t>
      </w:r>
      <w:r>
        <w:rPr>
          <w:b w:val="0"/>
        </w:rPr>
        <w:t xml:space="preserve"> Organisation von Sichtbarkeit und Verantwortung in unmittelbaren, konkreten Beziehungen.</w:t>
      </w:r>
    </w:p>
    <w:p>
      <w:pPr>
        <w:spacing w:after="120"/>
      </w:pPr>
      <w:r>
        <w:rPr>
          <w:b w:val="0"/>
        </w:rPr>
      </w:r>
      <w:r>
        <w:rPr>
          <w:b/>
        </w:rPr>
        <w:t>Zweite Ontologie.</w:t>
      </w:r>
      <w:r>
        <w:rPr>
          <w:b w:val="0"/>
        </w:rPr>
        <w:t xml:space="preserve"> Erweiterung der Verantwortung auf verteilte Realität durch gesellschaftliche Funktionen und Institutionen.</w:t>
      </w:r>
    </w:p>
    <w:p>
      <w:pPr>
        <w:spacing w:after="120"/>
      </w:pPr>
      <w:r>
        <w:rPr>
          <w:b w:val="0"/>
        </w:rPr>
      </w:r>
      <w:r>
        <w:rPr>
          <w:b/>
        </w:rPr>
        <w:t>Abgeleitete Ontologien.</w:t>
      </w:r>
      <w:r>
        <w:rPr>
          <w:b w:val="0"/>
        </w:rPr>
        <w:t xml:space="preserve"> Spezialisierte Architekturen der Unterscheidung und des Handelns, etwa wissenschaftliche oder rechtliche. Abgeleitetheit ist hier kein Vorwurf der Unselbstständigkeit.</w:t>
      </w:r>
    </w:p>
    <w:p>
      <w:pPr>
        <w:spacing w:after="120"/>
      </w:pPr>
      <w:r>
        <w:rPr>
          <w:b w:val="0"/>
        </w:rPr>
      </w:r>
      <w:r>
        <w:rPr>
          <w:b/>
        </w:rPr>
        <w:t>Subjekthafte Kapazität.</w:t>
      </w:r>
      <w:r>
        <w:rPr>
          <w:b w:val="0"/>
        </w:rPr>
        <w:t xml:space="preserve"> Fähigkeit, unterschiedliche Ontologien, Rollen und Maßstäbe zu halten, ohne Verbundenheit und eigene Antwort zu verlieren.</w:t>
      </w:r>
    </w:p>
    <w:p>
      <w:pPr>
        <w:spacing w:after="120"/>
      </w:pPr>
      <w:r>
        <w:rPr>
          <w:b w:val="0"/>
        </w:rPr>
      </w:r>
      <w:r>
        <w:rPr>
          <w:b/>
        </w:rPr>
        <w:t>Subjekttopographie.</w:t>
      </w:r>
      <w:r>
        <w:rPr>
          <w:b w:val="0"/>
        </w:rPr>
        <w:t xml:space="preserve"> Verortung der Befugnisse und ihrer tatsächlichen Träger.</w:t>
      </w:r>
    </w:p>
    <w:p>
      <w:pPr>
        <w:spacing w:after="120"/>
      </w:pPr>
      <w:r>
        <w:rPr>
          <w:b w:val="0"/>
        </w:rPr>
      </w:r>
      <w:r>
        <w:rPr>
          <w:b/>
        </w:rPr>
        <w:t>Subjekttopologie.</w:t>
      </w:r>
      <w:r>
        <w:rPr>
          <w:b w:val="0"/>
        </w:rPr>
        <w:t xml:space="preserve"> Verbindungen zwischen Erkennen, Entscheidung, Handlung, Folgen, Korrektur und Gedächtnis.</w:t>
      </w:r>
    </w:p>
    <w:p>
      <w:pPr>
        <w:spacing w:after="120"/>
      </w:pPr>
      <w:r>
        <w:rPr>
          <w:b w:val="0"/>
        </w:rPr>
      </w:r>
      <w:r>
        <w:rPr>
          <w:b/>
        </w:rPr>
        <w:t>Ontologische Kreditwürdigkeit.</w:t>
      </w:r>
      <w:r>
        <w:rPr>
          <w:b w:val="0"/>
        </w:rPr>
        <w:t xml:space="preserve"> Begründete Erwartung einer Verbindung von Versprechen, Handlung, Ergebnis und Verantwortung.</w:t>
      </w:r>
    </w:p>
    <w:p>
      <w:pPr>
        <w:spacing w:after="120"/>
      </w:pPr>
      <w:r>
        <w:rPr>
          <w:b w:val="0"/>
        </w:rPr>
      </w:r>
      <w:r>
        <w:rPr>
          <w:b/>
        </w:rPr>
        <w:t>Ontologische Zahlungsfähigkeit.</w:t>
      </w:r>
      <w:r>
        <w:rPr>
          <w:b w:val="0"/>
        </w:rPr>
        <w:t xml:space="preserve"> Fähigkeit, den tatsächlichen Preis und die Folgen der eigenen Autorschaft zu übernehmen.</w:t>
      </w:r>
    </w:p>
    <w:p>
      <w:pPr>
        <w:spacing w:after="120"/>
      </w:pPr>
      <w:r>
        <w:rPr>
          <w:b w:val="0"/>
        </w:rPr>
      </w:r>
      <w:r>
        <w:rPr>
          <w:b/>
        </w:rPr>
        <w:t>Ontologisches Kapital und Budget.</w:t>
      </w:r>
      <w:r>
        <w:rPr>
          <w:b w:val="0"/>
        </w:rPr>
        <w:t xml:space="preserve"> Angesammelte Möglichkeit glaubwürdiger Initiative und Kooperation; die Weise ihrer Produktion, Verteilung, Verwendung und Reproduktion.</w:t>
      </w:r>
    </w:p>
    <w:p>
      <w:pPr>
        <w:spacing w:after="120"/>
      </w:pPr>
      <w:r>
        <w:rPr>
          <w:b w:val="0"/>
        </w:rPr>
      </w:r>
      <w:r>
        <w:rPr>
          <w:b/>
        </w:rPr>
        <w:t>Vektorprofil.</w:t>
      </w:r>
      <w:r>
        <w:rPr>
          <w:b w:val="0"/>
        </w:rPr>
        <w:t xml:space="preserve"> Mehrdimensionale Beschreibung einer Veränderung der Subjekthaftigkeit unter Angabe von Ebene, Richtung, Trägern, Zeit, Maßstab, Entsprechungsmodus und Preis.</w:t>
      </w:r>
    </w:p>
    <w:p>
      <w:pPr>
        <w:spacing w:after="120"/>
      </w:pPr>
      <w:r>
        <w:rPr>
          <w:b w:val="0"/>
        </w:rPr>
      </w:r>
      <w:r>
        <w:rPr>
          <w:b/>
        </w:rPr>
        <w:t>Fail-closed.</w:t>
      </w:r>
      <w:r>
        <w:rPr>
          <w:b w:val="0"/>
        </w:rPr>
        <w:t xml:space="preserve"> Sperrung eines notwendigen analytischen Übergangs bei fehlendem Nachweis. Macht das Fehlen eines Beweises nicht zum Beweis des Gegenteils.</w:t>
      </w:r>
    </w:p>
    <w:p>
      <w:pPr>
        <w:spacing w:after="120"/>
      </w:pPr>
      <w:r>
        <w:rPr>
          <w:b w:val="0"/>
        </w:rPr>
      </w:r>
      <w:r>
        <w:rPr>
          <w:b/>
        </w:rPr>
        <w:t>Trinitarische Entsprechung.</w:t>
      </w:r>
      <w:r>
        <w:rPr>
          <w:b w:val="0"/>
        </w:rPr>
        <w:t xml:space="preserve"> Begrenzte theologische Korrelation von Prinzipien der menschlichen Architektur mit Aspekten des einen Wirkens der Trinität. Verteilt menschliche Funktionen nicht auf drei unabhängige göttliche Ursachen.</w:t>
      </w:r>
    </w:p>
    <w:p>
      <w:bookmarkStart w:id="21" w:name="section_21"/>
      <w:pPr>
        <w:pStyle w:val="Heading1"/>
      </w:pPr>
      <w:r>
        <w:t>Quellen und Orientierung im Korpus</w:t>
      </w:r>
      <w:bookmarkEnd w:id="21"/>
    </w:p>
    <w:p>
      <w:r>
        <w:rPr>
          <w:b w:val="0"/>
        </w:rPr>
      </w:r>
      <w:r>
        <w:rPr>
          <w:b/>
        </w:rPr>
        <w:t>I.</w:t>
      </w:r>
      <w:r>
        <w:rPr>
          <w:b w:val="0"/>
        </w:rPr>
        <w:t xml:space="preserve"> Hierodiakon Panteleimon (Adzhindzhal). „An die Christen des dritten Jahrtausends. Betrachtungen eines abchasischen Exilanten“. Vollständige russische Fassung mit „Ein Essay zur angewandten Metaphysik des Subjekts“, dem theologischen Zyklus und Anhängen. Im Inhaltsverzeichnis dieser Fassung beginnt der „Essay …“ auf S.5; „Die Ausgangsposition. Einst die ursprüngliche“ auf S.39; „Über die Natur des Glaubens“ auf S.50; „Zur Metaphysik der Person“ auf S.64; „Die Sprache Gottes“ auf S.77; „Das Funktionsgefüge der Kirche“ auf S.85; „Zur Ontologie des Logos“ auf S.99; „Glaube als Kompetenz“ auf S.119; „Die Kirche als Infrastruktur zur Bildung personaler Eschatologie“ auf S.135. Innerhalb der Analyse werden bevorzugt Abschnittstitel verwendet, da die Seiteneinteilung von DOCX-Dateien von der Darstellung abhängt.</w:t>
      </w:r>
    </w:p>
    <w:p>
      <w:r>
        <w:rPr>
          <w:b w:val="0"/>
        </w:rPr>
      </w:r>
      <w:r>
        <w:rPr>
          <w:b/>
        </w:rPr>
        <w:t>II.</w:t>
      </w:r>
      <w:r>
        <w:rPr>
          <w:b w:val="0"/>
        </w:rPr>
        <w:t xml:space="preserve"> „An die Christen des dritten Jahrtausends. Architektur der Subjekthaftigkeit“. Russischer Text mit den Untersuchungen „Genesis der Subjekthaftigkeit“, „Qualität der Ontologie“, „Ontogenese der Subjekthaftigkeit“, „Eschatologische Subjekthaftigkeit“ und „Modernisierung: die erste praktische Anwendung von CDJ“. Die Verweise beziehen sich auf die Untersuchungstitel und ihre internen Paragrafen.</w:t>
      </w:r>
    </w:p>
    <w:p>
      <w:r>
        <w:rPr>
          <w:b w:val="0"/>
        </w:rPr>
      </w:r>
      <w:r>
        <w:rPr>
          <w:b/>
        </w:rPr>
        <w:t>III.</w:t>
      </w:r>
      <w:r>
        <w:rPr>
          <w:b w:val="0"/>
        </w:rPr>
        <w:t xml:space="preserve"> „An die Christen des dritten Jahrtausends. Methodologie der CDJ-Analyse“. Russisches PDF mit 107 Seiten. Methodologischer Teil: wirkende Ontologie – Abschnitt II; Genesis und generativer Übergang – III; Erste, Zweite und abgeleitete Ontologien – IV; Zusammenwirken von Ontologien – V; Kommunikation und kollektive Subjekthaftigkeit – VI; das Gemeinsame, Kreditwürdigkeit und Legitimität – VII; Subjektarchitektur – VIII; Vektoranalyse – IX; Verfahren – X; Gestaltung – XI; Grenzen der Methode – XII; Rückkehr zur Frage nach der Kirche – XIII.</w:t>
      </w:r>
    </w:p>
    <w:p>
      <w:r>
        <w:rPr>
          <w:b w:val="0"/>
        </w:rPr>
      </w:r>
      <w:r>
        <w:rPr>
          <w:b/>
        </w:rPr>
        <w:t>Pneumatologische Untersuchung.</w:t>
      </w:r>
      <w:r>
        <w:rPr>
          <w:b w:val="0"/>
        </w:rPr>
        <w:t xml:space="preserve"> „Auf der Suche nach einer Pneumatologie. Von der pneumatologischen Lücke zur trinitarischen Architektur der Subjekthaftigkeit“, zweiter Text des III. Bandes, S.92–107. Die Nummerierung §§1–19 gehört zu diesem eigenständigen Beitrag und darf nicht mit der Nummerierung des methodologischen Teils vermischt werden.</w:t>
      </w:r>
    </w:p>
    <w:p>
      <w:r>
        <w:rPr>
          <w:b w:val="0"/>
        </w:rPr>
      </w:r>
      <w:r>
        <w:rPr>
          <w:b/>
        </w:rPr>
        <w:t>Redaktionelle Grundlage.</w:t>
      </w:r>
      <w:r>
        <w:rPr>
          <w:b w:val="0"/>
        </w:rPr>
        <w:t xml:space="preserve"> „Überblick über die Philosophie Adzhindzhals“, Fassung 4, 25 Seiten. Übernommen wurde die gelungene Abfolge der Gesamtdarstellung: Ausgangsfrage, philosophische Grundlagen, Theologie, Architektur, Methode, Kritik und Glossar. Die Zuschreibungen und inhaltlichen Schlussfolgerungen der vorliegenden Analyse stützen sich auf das russische CDJ-Korpus, nicht auf die Autorität des Überblicks.</w:t>
      </w:r>
    </w:p>
    <w:p>
      <w:bookmarkStart w:id="22" w:name="section_22"/>
      <w:pPr>
        <w:pStyle w:val="Heading1"/>
        <w:pageBreakBefore/>
      </w:pPr>
      <w:r>
        <w:t>Zur Überarbeitung des Überblicks</w:t>
      </w:r>
      <w:bookmarkEnd w:id="22"/>
    </w:p>
    <w:p>
      <w:r>
        <w:rPr>
          <w:b w:val="0"/>
        </w:rPr>
        <w:t>In dieser Fassung wird der philosophische Teil des I. Bandes anhand des vollständigen russischen Textes untersucht; die frühere Kennzeichnung des gesamten Abschnitts als ungeprüft wurde aufgehoben. Die Quelle der Bemerkung des Autors zu 1993 wurde im Kapitel über das Subjekt neben der Darstellung der ontologischen Spannung lokalisiert. Gesondert untersucht wurden die Bedeutungen von Autonomie sowie die tatsächlichen Unterschiede zwischen dem frühen und dem späteren Gebrauch von Subjekthaftigkeit und Ontischem.</w:t>
      </w:r>
    </w:p>
    <w:p>
      <w:r>
        <w:rPr>
          <w:b w:val="0"/>
        </w:rPr>
        <w:t>In der theologischen Darstellung wurde der Inhalt von „Die Sprache Gottes“ wiederhergestellt; Christologie und Eschatologie wurden erweitert, geschichtliche Offenheit und endgültige Fülle der Gemeinschaft unterschieden. Die Pneumatologie wird mit ihren eigenen Begrenzungen dargestellt. Im methodologischen Teil wurden Preis, das Gemeinsame, Legitimität, Topographie und Topologie, die starke Alternative und die Bedingungen eines negativen Ergebnisses ergänzt.</w:t>
      </w:r>
    </w:p>
    <w:p>
      <w:r>
        <w:rPr>
          <w:b w:val="0"/>
        </w:rPr>
        <w:t>Die Kritik richtet sich auf konkrete Übergänge, nicht auf die Herkunft des Autors oder mangelnde äußere Anerkennung. Vergleiche mit anderen Denkern werden als mögliche Untersuchungen gekennzeichnet; wertende Superlative ersetzen kein Argument. Das Glossar ist auf diese Unterscheidungen abgestimmt und besitzt den Status einer kurzen Lesehilfe.</w:t>
      </w:r>
    </w:p>
    <w:sectPr w:rsidR="00FC693F" w:rsidRPr="0006063C" w:rsidSect="00034616">
      <w:footerReference w:type="default" r:id="rId9"/>
      <w:head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Liberation Serif" w:hAnsi="Liberation Serif" w:eastAsia="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Liberation Serif" w:hAnsi="Liberation Serif" w:eastAsia="Liberation Serif"/>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Liberation Serif" w:hAnsi="Liberation Serif" w:eastAsia="Liberation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erif" w:hAnsi="Liberation Serif" w:eastAsia="Liberation Serif"/>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Liberation Serif" w:hAnsi="Liberation Serif" w:eastAsia="Liberation Serif"/>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Liberation Serif" w:hAnsi="Liberation Serif" w:eastAsia="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Philosophie und Theologie des CDJ Projekts</dc:title>
  <dc:subject>Systematische Darstellung und kritische Analyse der drei Bände</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