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76E" w:rsidRPr="009D176E" w:rsidRDefault="00847379" w:rsidP="009D176E">
      <w:pPr>
        <w:spacing w:line="360" w:lineRule="auto"/>
        <w:jc w:val="left"/>
        <w:rPr>
          <w:rFonts w:hint="eastAsia"/>
          <w:sz w:val="24"/>
          <w:szCs w:val="24"/>
        </w:rPr>
      </w:pPr>
      <w:r>
        <w:rPr>
          <w:sz w:val="24"/>
          <w:szCs w:val="24"/>
        </w:rPr>
        <w:t>在</w:t>
      </w:r>
      <w:r>
        <w:rPr>
          <w:rFonts w:hint="eastAsia"/>
          <w:sz w:val="24"/>
          <w:szCs w:val="24"/>
        </w:rPr>
        <w:t>Robomaster2020</w:t>
      </w:r>
      <w:r>
        <w:rPr>
          <w:rFonts w:hint="eastAsia"/>
          <w:sz w:val="24"/>
          <w:szCs w:val="24"/>
        </w:rPr>
        <w:t>赛季超级电容的开发中，我作为超级电容软件控制部分的负责人，</w:t>
      </w:r>
      <w:r w:rsidR="009D176E" w:rsidRPr="009D176E">
        <w:rPr>
          <w:rFonts w:hint="eastAsia"/>
          <w:sz w:val="24"/>
          <w:szCs w:val="24"/>
        </w:rPr>
        <w:t>模块的电源切换，功率监控，恒功率控制和通讯由模块上的</w:t>
      </w:r>
      <w:r w:rsidR="009D176E" w:rsidRPr="009D176E">
        <w:rPr>
          <w:rFonts w:hint="eastAsia"/>
          <w:sz w:val="24"/>
          <w:szCs w:val="24"/>
        </w:rPr>
        <w:t xml:space="preserve">STM32F103C8 </w:t>
      </w:r>
    </w:p>
    <w:p w:rsidR="00FD7B9E" w:rsidRDefault="009D176E" w:rsidP="009D176E">
      <w:pPr>
        <w:spacing w:line="360" w:lineRule="auto"/>
        <w:jc w:val="left"/>
        <w:rPr>
          <w:rFonts w:hint="eastAsia"/>
          <w:sz w:val="24"/>
          <w:szCs w:val="24"/>
        </w:rPr>
      </w:pPr>
      <w:r w:rsidRPr="009D176E">
        <w:rPr>
          <w:rFonts w:hint="eastAsia"/>
          <w:sz w:val="24"/>
          <w:szCs w:val="24"/>
        </w:rPr>
        <w:t>MCU</w:t>
      </w:r>
      <w:r w:rsidRPr="009D176E">
        <w:rPr>
          <w:rFonts w:hint="eastAsia"/>
          <w:sz w:val="24"/>
          <w:szCs w:val="24"/>
        </w:rPr>
        <w:t>实现</w:t>
      </w:r>
      <w:r>
        <w:rPr>
          <w:rFonts w:hint="eastAsia"/>
          <w:sz w:val="24"/>
          <w:szCs w:val="24"/>
        </w:rPr>
        <w:t>。</w:t>
      </w:r>
      <w:r w:rsidR="00847379">
        <w:rPr>
          <w:rFonts w:hint="eastAsia"/>
          <w:sz w:val="24"/>
          <w:szCs w:val="24"/>
        </w:rPr>
        <w:t>在超级电容的算法设计以及程序设计方面遇到了一些问题并成功解决，以下是我们的超级电容软件部分开发心得，包括遇到的问题以及我们的解决方案。</w:t>
      </w:r>
    </w:p>
    <w:p w:rsidR="00847379" w:rsidRDefault="00847379" w:rsidP="00847379">
      <w:pPr>
        <w:spacing w:line="360" w:lineRule="auto"/>
        <w:jc w:val="left"/>
        <w:rPr>
          <w:rFonts w:hint="eastAsia"/>
          <w:sz w:val="24"/>
          <w:szCs w:val="24"/>
        </w:rPr>
      </w:pPr>
      <w:r>
        <w:rPr>
          <w:rFonts w:hint="eastAsia"/>
          <w:sz w:val="24"/>
          <w:szCs w:val="24"/>
        </w:rPr>
        <w:t>1.</w:t>
      </w:r>
      <w:r w:rsidR="00FB530E">
        <w:rPr>
          <w:rFonts w:hint="eastAsia"/>
          <w:sz w:val="24"/>
          <w:szCs w:val="24"/>
        </w:rPr>
        <w:t>对超级电容以恒功率进行充电控制</w:t>
      </w:r>
    </w:p>
    <w:p w:rsidR="00FB530E" w:rsidRDefault="00FB530E" w:rsidP="00847379">
      <w:pPr>
        <w:spacing w:line="360" w:lineRule="auto"/>
        <w:jc w:val="left"/>
        <w:rPr>
          <w:rFonts w:hint="eastAsia"/>
          <w:sz w:val="24"/>
          <w:szCs w:val="24"/>
        </w:rPr>
      </w:pPr>
      <w:proofErr w:type="gramStart"/>
      <w:r>
        <w:rPr>
          <w:rFonts w:hint="eastAsia"/>
          <w:sz w:val="24"/>
          <w:szCs w:val="24"/>
        </w:rPr>
        <w:t>恒</w:t>
      </w:r>
      <w:proofErr w:type="gramEnd"/>
      <w:r>
        <w:rPr>
          <w:rFonts w:hint="eastAsia"/>
          <w:sz w:val="24"/>
          <w:szCs w:val="24"/>
        </w:rPr>
        <w:t>功率控制需要包含以下三个部分：</w:t>
      </w:r>
    </w:p>
    <w:p w:rsidR="00FB530E" w:rsidRDefault="0034750B" w:rsidP="00847379">
      <w:pPr>
        <w:spacing w:line="360" w:lineRule="auto"/>
        <w:jc w:val="left"/>
        <w:rPr>
          <w:rFonts w:hint="eastAsia"/>
          <w:sz w:val="24"/>
          <w:szCs w:val="24"/>
        </w:rPr>
      </w:pPr>
      <w:r>
        <w:rPr>
          <w:rFonts w:hint="eastAsia"/>
          <w:sz w:val="24"/>
          <w:szCs w:val="24"/>
        </w:rPr>
        <w:t>一、</w:t>
      </w:r>
      <w:r w:rsidR="00FB530E">
        <w:rPr>
          <w:rFonts w:hint="eastAsia"/>
          <w:sz w:val="24"/>
          <w:szCs w:val="24"/>
        </w:rPr>
        <w:t>最大充电电流保护：考虑到超级电容固有特性，在充电初期由于</w:t>
      </w:r>
      <w:r>
        <w:rPr>
          <w:rFonts w:hint="eastAsia"/>
          <w:sz w:val="24"/>
          <w:szCs w:val="24"/>
        </w:rPr>
        <w:t>其电压较小，以大功率进行充电时很容易导致电流过大</w:t>
      </w:r>
      <w:r w:rsidR="00BA0F6A">
        <w:rPr>
          <w:rFonts w:hint="eastAsia"/>
          <w:sz w:val="24"/>
          <w:szCs w:val="24"/>
        </w:rPr>
        <w:t>，进而可能被裁判系统判定为超功率的情况</w:t>
      </w:r>
      <w:r>
        <w:rPr>
          <w:rFonts w:hint="eastAsia"/>
          <w:sz w:val="24"/>
          <w:szCs w:val="24"/>
        </w:rPr>
        <w:t>。因此我们采用</w:t>
      </w:r>
      <w:r>
        <w:rPr>
          <w:rFonts w:hint="eastAsia"/>
          <w:sz w:val="24"/>
          <w:szCs w:val="24"/>
        </w:rPr>
        <w:t>STM32F103C8Tx</w:t>
      </w:r>
      <w:r>
        <w:rPr>
          <w:rFonts w:hint="eastAsia"/>
          <w:sz w:val="24"/>
          <w:szCs w:val="24"/>
        </w:rPr>
        <w:t>的</w:t>
      </w:r>
      <w:r>
        <w:rPr>
          <w:rFonts w:hint="eastAsia"/>
          <w:sz w:val="24"/>
          <w:szCs w:val="24"/>
        </w:rPr>
        <w:t>MCU</w:t>
      </w:r>
      <w:r>
        <w:rPr>
          <w:rFonts w:hint="eastAsia"/>
          <w:sz w:val="24"/>
          <w:szCs w:val="24"/>
        </w:rPr>
        <w:t>进行功率实时监测，并让</w:t>
      </w:r>
      <w:r>
        <w:rPr>
          <w:rFonts w:hint="eastAsia"/>
          <w:sz w:val="24"/>
          <w:szCs w:val="24"/>
        </w:rPr>
        <w:t>MCU</w:t>
      </w:r>
      <w:r>
        <w:rPr>
          <w:rFonts w:hint="eastAsia"/>
          <w:sz w:val="24"/>
          <w:szCs w:val="24"/>
        </w:rPr>
        <w:t>发送指令控制</w:t>
      </w:r>
      <w:r>
        <w:rPr>
          <w:rFonts w:hint="eastAsia"/>
          <w:sz w:val="24"/>
          <w:szCs w:val="24"/>
        </w:rPr>
        <w:t>DAC</w:t>
      </w:r>
      <w:r>
        <w:rPr>
          <w:rFonts w:hint="eastAsia"/>
          <w:sz w:val="24"/>
          <w:szCs w:val="24"/>
        </w:rPr>
        <w:t>从而设定充电最大电流与电压的大小</w:t>
      </w:r>
      <w:r w:rsidR="00BA0F6A">
        <w:rPr>
          <w:rFonts w:hint="eastAsia"/>
          <w:sz w:val="24"/>
          <w:szCs w:val="24"/>
        </w:rPr>
        <w:t>，实现开始时的暂时降低充电功率的保护功能。</w:t>
      </w:r>
    </w:p>
    <w:p w:rsidR="0034750B" w:rsidRDefault="0034750B" w:rsidP="00847379">
      <w:pPr>
        <w:spacing w:line="360" w:lineRule="auto"/>
        <w:jc w:val="left"/>
        <w:rPr>
          <w:rFonts w:hint="eastAsia"/>
          <w:sz w:val="24"/>
          <w:szCs w:val="24"/>
        </w:rPr>
      </w:pPr>
      <w:r>
        <w:rPr>
          <w:rFonts w:hint="eastAsia"/>
          <w:sz w:val="24"/>
          <w:szCs w:val="24"/>
        </w:rPr>
        <w:t>二、对超级电容进行</w:t>
      </w:r>
      <w:proofErr w:type="gramStart"/>
      <w:r>
        <w:rPr>
          <w:rFonts w:hint="eastAsia"/>
          <w:sz w:val="24"/>
          <w:szCs w:val="24"/>
        </w:rPr>
        <w:t>恒</w:t>
      </w:r>
      <w:proofErr w:type="gramEnd"/>
      <w:r>
        <w:rPr>
          <w:rFonts w:hint="eastAsia"/>
          <w:sz w:val="24"/>
          <w:szCs w:val="24"/>
        </w:rPr>
        <w:t>功率充电</w:t>
      </w:r>
    </w:p>
    <w:p w:rsidR="0034750B" w:rsidRDefault="0034750B" w:rsidP="00847379">
      <w:pPr>
        <w:spacing w:line="360" w:lineRule="auto"/>
        <w:jc w:val="left"/>
        <w:rPr>
          <w:rFonts w:hint="eastAsia"/>
          <w:sz w:val="24"/>
          <w:szCs w:val="24"/>
        </w:rPr>
      </w:pPr>
      <w:r>
        <w:rPr>
          <w:rFonts w:hint="eastAsia"/>
          <w:sz w:val="24"/>
          <w:szCs w:val="24"/>
        </w:rPr>
        <w:t>初期进行电流电压保护之后，电容控制模块便以恒功率对超级电容进行充电，对电容进行充电的功率要根据底盘实时功率以及功率限制共同决定</w:t>
      </w:r>
      <w:r w:rsidR="00DB707E">
        <w:rPr>
          <w:rFonts w:hint="eastAsia"/>
          <w:sz w:val="24"/>
          <w:szCs w:val="24"/>
        </w:rPr>
        <w:t>，因此我们采用</w:t>
      </w:r>
      <w:r w:rsidR="00DB707E">
        <w:rPr>
          <w:rFonts w:hint="eastAsia"/>
          <w:sz w:val="24"/>
          <w:szCs w:val="24"/>
        </w:rPr>
        <w:t>PID</w:t>
      </w:r>
      <w:r w:rsidR="00DB707E">
        <w:rPr>
          <w:rFonts w:hint="eastAsia"/>
          <w:sz w:val="24"/>
          <w:szCs w:val="24"/>
        </w:rPr>
        <w:t>闭环控制以实现对电容的恒功率充电。</w:t>
      </w:r>
    </w:p>
    <w:p w:rsidR="00DB707E" w:rsidRDefault="00DB707E" w:rsidP="00847379">
      <w:pPr>
        <w:spacing w:line="360" w:lineRule="auto"/>
        <w:jc w:val="left"/>
        <w:rPr>
          <w:rFonts w:hint="eastAsia"/>
          <w:sz w:val="24"/>
          <w:szCs w:val="24"/>
        </w:rPr>
      </w:pPr>
      <w:r>
        <w:rPr>
          <w:rFonts w:hint="eastAsia"/>
          <w:sz w:val="24"/>
          <w:szCs w:val="24"/>
        </w:rPr>
        <w:t>三、超级电容的电压保护：</w:t>
      </w:r>
    </w:p>
    <w:p w:rsidR="00DB707E" w:rsidRDefault="00DB707E" w:rsidP="00847379">
      <w:pPr>
        <w:spacing w:line="360" w:lineRule="auto"/>
        <w:jc w:val="left"/>
        <w:rPr>
          <w:rFonts w:hint="eastAsia"/>
          <w:sz w:val="24"/>
          <w:szCs w:val="24"/>
        </w:rPr>
      </w:pPr>
      <w:r>
        <w:rPr>
          <w:rFonts w:hint="eastAsia"/>
          <w:sz w:val="24"/>
          <w:szCs w:val="24"/>
        </w:rPr>
        <w:t>当充电模块的充电电压达到超级电容的满充电压时，通过</w:t>
      </w:r>
      <w:r>
        <w:rPr>
          <w:rFonts w:hint="eastAsia"/>
          <w:sz w:val="24"/>
          <w:szCs w:val="24"/>
        </w:rPr>
        <w:t>MCU</w:t>
      </w:r>
      <w:r>
        <w:rPr>
          <w:rFonts w:hint="eastAsia"/>
          <w:sz w:val="24"/>
          <w:szCs w:val="24"/>
        </w:rPr>
        <w:t>控制实现限幅管理，防止电容电压进一步升高。</w:t>
      </w:r>
    </w:p>
    <w:p w:rsidR="00DB707E" w:rsidRDefault="00C90345" w:rsidP="00847379">
      <w:pPr>
        <w:spacing w:line="360" w:lineRule="auto"/>
        <w:jc w:val="left"/>
        <w:rPr>
          <w:rFonts w:hint="eastAsia"/>
          <w:sz w:val="24"/>
          <w:szCs w:val="24"/>
        </w:rPr>
      </w:pPr>
      <w:r>
        <w:rPr>
          <w:rFonts w:hint="eastAsia"/>
          <w:sz w:val="24"/>
          <w:szCs w:val="24"/>
        </w:rPr>
        <w:t>2.</w:t>
      </w:r>
      <w:r w:rsidR="00DB707E">
        <w:rPr>
          <w:rFonts w:hint="eastAsia"/>
          <w:sz w:val="24"/>
          <w:szCs w:val="24"/>
        </w:rPr>
        <w:t>关键设计模块：电容控制模块对超级电容的恒功率充电</w:t>
      </w:r>
    </w:p>
    <w:p w:rsidR="00C90345" w:rsidRDefault="00CE501E" w:rsidP="00847379">
      <w:pPr>
        <w:spacing w:line="360" w:lineRule="auto"/>
        <w:jc w:val="left"/>
        <w:rPr>
          <w:rFonts w:hint="eastAsia"/>
          <w:sz w:val="24"/>
          <w:szCs w:val="24"/>
        </w:rPr>
      </w:pPr>
      <w:r>
        <w:rPr>
          <w:rFonts w:hint="eastAsia"/>
          <w:sz w:val="24"/>
          <w:szCs w:val="24"/>
        </w:rPr>
        <w:t>考虑到时间以及技术实现复杂度的因素，我们在软件部分采用了</w:t>
      </w:r>
      <w:r>
        <w:rPr>
          <w:rFonts w:hint="eastAsia"/>
          <w:sz w:val="24"/>
          <w:szCs w:val="24"/>
        </w:rPr>
        <w:t>PID</w:t>
      </w:r>
      <w:r>
        <w:rPr>
          <w:rFonts w:hint="eastAsia"/>
          <w:sz w:val="24"/>
          <w:szCs w:val="24"/>
        </w:rPr>
        <w:t>闭环控制充电功率的算法，即从软件上实现闭环控制，</w:t>
      </w:r>
      <w:r w:rsidR="00E97CC6">
        <w:rPr>
          <w:rFonts w:hint="eastAsia"/>
          <w:sz w:val="24"/>
          <w:szCs w:val="24"/>
        </w:rPr>
        <w:t>在充电开始时设置限制功率任务，限制功率的程度随着充电时间的增加而减小，在结束限功率任务后，</w:t>
      </w:r>
      <w:r w:rsidR="00E97CC6">
        <w:rPr>
          <w:rFonts w:hint="eastAsia"/>
          <w:sz w:val="24"/>
          <w:szCs w:val="24"/>
        </w:rPr>
        <w:t>MCU</w:t>
      </w:r>
      <w:r w:rsidR="00E97CC6">
        <w:rPr>
          <w:rFonts w:hint="eastAsia"/>
          <w:sz w:val="24"/>
          <w:szCs w:val="24"/>
        </w:rPr>
        <w:t>进入</w:t>
      </w:r>
      <w:proofErr w:type="gramStart"/>
      <w:r w:rsidR="00E97CC6">
        <w:rPr>
          <w:rFonts w:hint="eastAsia"/>
          <w:sz w:val="24"/>
          <w:szCs w:val="24"/>
        </w:rPr>
        <w:t>恒</w:t>
      </w:r>
      <w:proofErr w:type="gramEnd"/>
      <w:r w:rsidR="00E97CC6">
        <w:rPr>
          <w:rFonts w:hint="eastAsia"/>
          <w:sz w:val="24"/>
          <w:szCs w:val="24"/>
        </w:rPr>
        <w:t>功率控制充电模式，由于</w:t>
      </w:r>
      <w:r w:rsidR="00E97CC6">
        <w:rPr>
          <w:rFonts w:hint="eastAsia"/>
          <w:sz w:val="24"/>
          <w:szCs w:val="24"/>
        </w:rPr>
        <w:t>PID</w:t>
      </w:r>
      <w:r w:rsidR="00E97CC6">
        <w:rPr>
          <w:rFonts w:hint="eastAsia"/>
          <w:sz w:val="24"/>
          <w:szCs w:val="24"/>
        </w:rPr>
        <w:t>闭环控制存在着一定的延时，系统的响应速度有限，因此我们</w:t>
      </w:r>
      <w:r w:rsidR="006C72E8">
        <w:rPr>
          <w:rFonts w:hint="eastAsia"/>
          <w:sz w:val="24"/>
          <w:szCs w:val="24"/>
        </w:rPr>
        <w:t>在分给电容的充电功率设置冗余量</w:t>
      </w:r>
      <w:r w:rsidR="006C72E8">
        <w:rPr>
          <w:rFonts w:hint="eastAsia"/>
          <w:sz w:val="24"/>
          <w:szCs w:val="24"/>
        </w:rPr>
        <w:t>20W</w:t>
      </w:r>
      <w:r w:rsidR="006C72E8">
        <w:rPr>
          <w:rFonts w:hint="eastAsia"/>
          <w:sz w:val="24"/>
          <w:szCs w:val="24"/>
        </w:rPr>
        <w:t>，以避免超功率的情况发生</w:t>
      </w:r>
      <w:r w:rsidR="00BA0F6A">
        <w:rPr>
          <w:rFonts w:hint="eastAsia"/>
          <w:sz w:val="24"/>
          <w:szCs w:val="24"/>
        </w:rPr>
        <w:t>。</w:t>
      </w:r>
      <w:r w:rsidR="00C90345">
        <w:rPr>
          <w:rFonts w:hint="eastAsia"/>
          <w:sz w:val="24"/>
          <w:szCs w:val="24"/>
        </w:rPr>
        <w:t>当给电容充电时：</w:t>
      </w:r>
    </w:p>
    <w:p w:rsidR="00C90345" w:rsidRDefault="009D176E" w:rsidP="00847379">
      <w:pPr>
        <w:spacing w:line="360" w:lineRule="auto"/>
        <w:jc w:val="left"/>
        <w:rPr>
          <w:rFonts w:hint="eastAsia"/>
          <w:sz w:val="24"/>
          <w:szCs w:val="24"/>
        </w:rPr>
      </w:pPr>
      <w:r>
        <w:rPr>
          <w:rFonts w:hint="eastAsia"/>
          <w:sz w:val="24"/>
          <w:szCs w:val="24"/>
        </w:rPr>
        <w:t>（</w:t>
      </w:r>
      <w:r>
        <w:rPr>
          <w:rFonts w:hint="eastAsia"/>
          <w:sz w:val="24"/>
          <w:szCs w:val="24"/>
        </w:rPr>
        <w:t>1</w:t>
      </w:r>
      <w:r>
        <w:rPr>
          <w:rFonts w:hint="eastAsia"/>
          <w:sz w:val="24"/>
          <w:szCs w:val="24"/>
        </w:rPr>
        <w:t>）</w:t>
      </w:r>
      <w:r w:rsidR="00C90345">
        <w:rPr>
          <w:rFonts w:hint="eastAsia"/>
          <w:sz w:val="24"/>
          <w:szCs w:val="24"/>
        </w:rPr>
        <w:t>超级电容在供电时：充电功率</w:t>
      </w:r>
      <w:r w:rsidR="00C90345">
        <w:rPr>
          <w:rFonts w:hint="eastAsia"/>
          <w:sz w:val="24"/>
          <w:szCs w:val="24"/>
        </w:rPr>
        <w:t xml:space="preserve"> = </w:t>
      </w:r>
      <w:r w:rsidR="00C90345">
        <w:rPr>
          <w:rFonts w:hint="eastAsia"/>
          <w:sz w:val="24"/>
          <w:szCs w:val="24"/>
        </w:rPr>
        <w:t>功率限制</w:t>
      </w:r>
      <w:r w:rsidR="00C90345">
        <w:rPr>
          <w:rFonts w:hint="eastAsia"/>
          <w:sz w:val="24"/>
          <w:szCs w:val="24"/>
        </w:rPr>
        <w:t xml:space="preserve"> </w:t>
      </w:r>
      <w:r w:rsidR="00C90345">
        <w:rPr>
          <w:sz w:val="24"/>
          <w:szCs w:val="24"/>
        </w:rPr>
        <w:t>–</w:t>
      </w:r>
      <w:r w:rsidR="00C90345">
        <w:rPr>
          <w:rFonts w:hint="eastAsia"/>
          <w:sz w:val="24"/>
          <w:szCs w:val="24"/>
        </w:rPr>
        <w:t xml:space="preserve"> </w:t>
      </w:r>
      <w:r w:rsidR="00C90345">
        <w:rPr>
          <w:rFonts w:hint="eastAsia"/>
          <w:sz w:val="24"/>
          <w:szCs w:val="24"/>
        </w:rPr>
        <w:t>冗余量；</w:t>
      </w:r>
    </w:p>
    <w:p w:rsidR="00C90345" w:rsidRDefault="009D176E" w:rsidP="00847379">
      <w:pPr>
        <w:spacing w:line="360" w:lineRule="auto"/>
        <w:jc w:val="left"/>
        <w:rPr>
          <w:rFonts w:hint="eastAsia"/>
          <w:sz w:val="24"/>
          <w:szCs w:val="24"/>
        </w:rPr>
      </w:pPr>
      <w:r>
        <w:rPr>
          <w:rFonts w:hint="eastAsia"/>
          <w:sz w:val="24"/>
          <w:szCs w:val="24"/>
        </w:rPr>
        <w:t>（</w:t>
      </w:r>
      <w:r>
        <w:rPr>
          <w:rFonts w:hint="eastAsia"/>
          <w:sz w:val="24"/>
          <w:szCs w:val="24"/>
        </w:rPr>
        <w:t>2</w:t>
      </w:r>
      <w:r>
        <w:rPr>
          <w:rFonts w:hint="eastAsia"/>
          <w:sz w:val="24"/>
          <w:szCs w:val="24"/>
        </w:rPr>
        <w:t>）</w:t>
      </w:r>
      <w:r w:rsidR="00C90345">
        <w:rPr>
          <w:rFonts w:hint="eastAsia"/>
          <w:sz w:val="24"/>
          <w:szCs w:val="24"/>
        </w:rPr>
        <w:t>底盘在供电时：充电功率</w:t>
      </w:r>
      <w:r w:rsidR="00C90345">
        <w:rPr>
          <w:rFonts w:hint="eastAsia"/>
          <w:sz w:val="24"/>
          <w:szCs w:val="24"/>
        </w:rPr>
        <w:t xml:space="preserve"> = </w:t>
      </w:r>
      <w:r>
        <w:rPr>
          <w:rFonts w:hint="eastAsia"/>
          <w:sz w:val="24"/>
          <w:szCs w:val="24"/>
        </w:rPr>
        <w:t>功率限制</w:t>
      </w:r>
      <w:r>
        <w:rPr>
          <w:rFonts w:hint="eastAsia"/>
          <w:sz w:val="24"/>
          <w:szCs w:val="24"/>
        </w:rPr>
        <w:t xml:space="preserve"> </w:t>
      </w:r>
      <w:r>
        <w:rPr>
          <w:sz w:val="24"/>
          <w:szCs w:val="24"/>
        </w:rPr>
        <w:t>–</w:t>
      </w:r>
      <w:r>
        <w:rPr>
          <w:rFonts w:hint="eastAsia"/>
          <w:sz w:val="24"/>
          <w:szCs w:val="24"/>
        </w:rPr>
        <w:t xml:space="preserve"> </w:t>
      </w:r>
      <w:r>
        <w:rPr>
          <w:rFonts w:hint="eastAsia"/>
          <w:sz w:val="24"/>
          <w:szCs w:val="24"/>
        </w:rPr>
        <w:t>冗余量</w:t>
      </w:r>
      <w:r>
        <w:rPr>
          <w:rFonts w:hint="eastAsia"/>
          <w:sz w:val="24"/>
          <w:szCs w:val="24"/>
        </w:rPr>
        <w:t xml:space="preserve"> </w:t>
      </w:r>
      <w:r>
        <w:rPr>
          <w:sz w:val="24"/>
          <w:szCs w:val="24"/>
        </w:rPr>
        <w:t>–</w:t>
      </w:r>
      <w:r>
        <w:rPr>
          <w:rFonts w:hint="eastAsia"/>
          <w:sz w:val="24"/>
          <w:szCs w:val="24"/>
        </w:rPr>
        <w:t xml:space="preserve"> </w:t>
      </w:r>
      <w:r>
        <w:rPr>
          <w:rFonts w:hint="eastAsia"/>
          <w:sz w:val="24"/>
          <w:szCs w:val="24"/>
        </w:rPr>
        <w:t>底盘功率。</w:t>
      </w:r>
    </w:p>
    <w:p w:rsidR="00DB707E" w:rsidRDefault="00BA0F6A" w:rsidP="00847379">
      <w:pPr>
        <w:spacing w:line="360" w:lineRule="auto"/>
        <w:jc w:val="left"/>
        <w:rPr>
          <w:rFonts w:hint="eastAsia"/>
          <w:sz w:val="24"/>
          <w:szCs w:val="24"/>
        </w:rPr>
      </w:pPr>
      <w:r>
        <w:rPr>
          <w:rFonts w:hint="eastAsia"/>
          <w:sz w:val="24"/>
          <w:szCs w:val="24"/>
        </w:rPr>
        <w:lastRenderedPageBreak/>
        <w:t>超级电容控制板的</w:t>
      </w:r>
      <w:r>
        <w:rPr>
          <w:rFonts w:hint="eastAsia"/>
          <w:sz w:val="24"/>
          <w:szCs w:val="24"/>
        </w:rPr>
        <w:t>MCU</w:t>
      </w:r>
      <w:r>
        <w:rPr>
          <w:rFonts w:hint="eastAsia"/>
          <w:sz w:val="24"/>
          <w:szCs w:val="24"/>
        </w:rPr>
        <w:t>连接</w:t>
      </w:r>
      <w:r>
        <w:rPr>
          <w:rFonts w:hint="eastAsia"/>
          <w:sz w:val="24"/>
          <w:szCs w:val="24"/>
        </w:rPr>
        <w:t>DAC</w:t>
      </w:r>
      <w:r>
        <w:rPr>
          <w:rFonts w:hint="eastAsia"/>
          <w:sz w:val="24"/>
          <w:szCs w:val="24"/>
        </w:rPr>
        <w:t>，</w:t>
      </w:r>
      <w:r>
        <w:rPr>
          <w:rFonts w:hint="eastAsia"/>
          <w:sz w:val="24"/>
          <w:szCs w:val="24"/>
        </w:rPr>
        <w:t>DAC</w:t>
      </w:r>
      <w:r>
        <w:rPr>
          <w:rFonts w:hint="eastAsia"/>
          <w:sz w:val="24"/>
          <w:szCs w:val="24"/>
        </w:rPr>
        <w:t>的输出端连接压降模块的恒流设置端，从而根据检测到的功率控制电容放电电流的大小。在软件中我们设置的</w:t>
      </w:r>
      <w:r>
        <w:rPr>
          <w:rFonts w:hint="eastAsia"/>
          <w:sz w:val="24"/>
          <w:szCs w:val="24"/>
        </w:rPr>
        <w:t>PID</w:t>
      </w:r>
      <w:r>
        <w:rPr>
          <w:rFonts w:hint="eastAsia"/>
          <w:sz w:val="24"/>
          <w:szCs w:val="24"/>
        </w:rPr>
        <w:t>参数中电流的最大电流是</w:t>
      </w:r>
      <w:r>
        <w:rPr>
          <w:rFonts w:hint="eastAsia"/>
          <w:sz w:val="24"/>
          <w:szCs w:val="24"/>
        </w:rPr>
        <w:t>10A</w:t>
      </w:r>
      <w:r>
        <w:rPr>
          <w:rFonts w:hint="eastAsia"/>
          <w:sz w:val="24"/>
          <w:szCs w:val="24"/>
        </w:rPr>
        <w:t>，最大电压是</w:t>
      </w:r>
      <w:r>
        <w:rPr>
          <w:rFonts w:hint="eastAsia"/>
          <w:sz w:val="24"/>
          <w:szCs w:val="24"/>
        </w:rPr>
        <w:t>23.5</w:t>
      </w:r>
      <w:r>
        <w:rPr>
          <w:rFonts w:hint="eastAsia"/>
          <w:sz w:val="24"/>
          <w:szCs w:val="24"/>
        </w:rPr>
        <w:t>伏特，</w:t>
      </w:r>
      <w:r>
        <w:rPr>
          <w:rFonts w:hint="eastAsia"/>
          <w:sz w:val="24"/>
          <w:szCs w:val="24"/>
        </w:rPr>
        <w:t>PID</w:t>
      </w:r>
      <w:r>
        <w:rPr>
          <w:rFonts w:hint="eastAsia"/>
          <w:sz w:val="24"/>
          <w:szCs w:val="24"/>
        </w:rPr>
        <w:t>的比例、微分、积分系数分别为</w:t>
      </w:r>
      <w:r>
        <w:rPr>
          <w:rFonts w:hint="eastAsia"/>
          <w:sz w:val="24"/>
          <w:szCs w:val="24"/>
        </w:rPr>
        <w:t>1.0</w:t>
      </w:r>
      <w:r>
        <w:rPr>
          <w:rFonts w:hint="eastAsia"/>
          <w:sz w:val="24"/>
          <w:szCs w:val="24"/>
        </w:rPr>
        <w:t>、</w:t>
      </w:r>
      <w:r>
        <w:rPr>
          <w:rFonts w:hint="eastAsia"/>
          <w:sz w:val="24"/>
          <w:szCs w:val="24"/>
        </w:rPr>
        <w:t>0.07</w:t>
      </w:r>
      <w:r>
        <w:rPr>
          <w:rFonts w:hint="eastAsia"/>
          <w:sz w:val="24"/>
          <w:szCs w:val="24"/>
        </w:rPr>
        <w:t>、</w:t>
      </w:r>
      <w:r>
        <w:rPr>
          <w:rFonts w:hint="eastAsia"/>
          <w:sz w:val="24"/>
          <w:szCs w:val="24"/>
        </w:rPr>
        <w:t>0.025</w:t>
      </w:r>
      <w:r w:rsidR="00C90345">
        <w:rPr>
          <w:rFonts w:hint="eastAsia"/>
          <w:sz w:val="24"/>
          <w:szCs w:val="24"/>
        </w:rPr>
        <w:t>。超级电容的控制板与主控的通信采用</w:t>
      </w:r>
      <w:r w:rsidR="00C90345">
        <w:rPr>
          <w:rFonts w:hint="eastAsia"/>
          <w:sz w:val="24"/>
          <w:szCs w:val="24"/>
        </w:rPr>
        <w:t>CAN</w:t>
      </w:r>
      <w:r w:rsidR="00C90345">
        <w:rPr>
          <w:rFonts w:hint="eastAsia"/>
          <w:sz w:val="24"/>
          <w:szCs w:val="24"/>
        </w:rPr>
        <w:t>通信，超级电容主控板接收到机器人种类指令进而据此进行不同的功率上限与缓冲热量的限制，并根据主控板发送来的电源切换指令并进行电路供电的切换。通过</w:t>
      </w:r>
      <w:r w:rsidR="00C90345">
        <w:rPr>
          <w:rFonts w:hint="eastAsia"/>
          <w:sz w:val="24"/>
          <w:szCs w:val="24"/>
        </w:rPr>
        <w:t>CAN</w:t>
      </w:r>
      <w:r w:rsidR="00C90345">
        <w:rPr>
          <w:rFonts w:hint="eastAsia"/>
          <w:sz w:val="24"/>
          <w:szCs w:val="24"/>
        </w:rPr>
        <w:t>通信给主控板发送被启动的供电电源的类型、底盘的实时功率、超级电容所剩的电量、充电电压。</w:t>
      </w:r>
    </w:p>
    <w:p w:rsidR="009D176E" w:rsidRDefault="009D176E" w:rsidP="00847379">
      <w:pPr>
        <w:spacing w:line="360" w:lineRule="auto"/>
        <w:jc w:val="left"/>
        <w:rPr>
          <w:rFonts w:hint="eastAsia"/>
          <w:sz w:val="24"/>
          <w:szCs w:val="24"/>
        </w:rPr>
      </w:pPr>
      <w:r>
        <w:rPr>
          <w:rFonts w:hint="eastAsia"/>
          <w:sz w:val="24"/>
          <w:szCs w:val="24"/>
        </w:rPr>
        <w:t>3.</w:t>
      </w:r>
      <w:r>
        <w:rPr>
          <w:rFonts w:hint="eastAsia"/>
          <w:sz w:val="24"/>
          <w:szCs w:val="24"/>
        </w:rPr>
        <w:t>软件程序设计中遇到的问题及解决方案</w:t>
      </w:r>
    </w:p>
    <w:p w:rsidR="009D176E" w:rsidRPr="00847379" w:rsidRDefault="009D176E" w:rsidP="00847379">
      <w:pPr>
        <w:spacing w:line="360" w:lineRule="auto"/>
        <w:jc w:val="left"/>
        <w:rPr>
          <w:sz w:val="24"/>
          <w:szCs w:val="24"/>
        </w:rPr>
      </w:pPr>
      <w:r>
        <w:rPr>
          <w:rFonts w:hint="eastAsia"/>
          <w:sz w:val="24"/>
          <w:szCs w:val="24"/>
        </w:rPr>
        <w:t>在开始的程序</w:t>
      </w:r>
      <w:proofErr w:type="gramStart"/>
      <w:r>
        <w:rPr>
          <w:rFonts w:hint="eastAsia"/>
          <w:sz w:val="24"/>
          <w:szCs w:val="24"/>
        </w:rPr>
        <w:t>恒</w:t>
      </w:r>
      <w:proofErr w:type="gramEnd"/>
      <w:r>
        <w:rPr>
          <w:rFonts w:hint="eastAsia"/>
          <w:sz w:val="24"/>
          <w:szCs w:val="24"/>
        </w:rPr>
        <w:t>功率闭环控制中，我们未考虑到初始时电容电压较小从而充电电流与功率较大的问题，只是全过程单一的利用</w:t>
      </w:r>
      <w:r>
        <w:rPr>
          <w:rFonts w:hint="eastAsia"/>
          <w:sz w:val="24"/>
          <w:szCs w:val="24"/>
        </w:rPr>
        <w:t>PID</w:t>
      </w:r>
      <w:r>
        <w:rPr>
          <w:rFonts w:hint="eastAsia"/>
          <w:sz w:val="24"/>
          <w:szCs w:val="24"/>
        </w:rPr>
        <w:t>进行闭环控制，并没有根据充电的具体情况进行限幅，在硬件组的同学进行仿真指出问题后，我们采用了限幅函数，在开始充电前十秒左右的时间内进行降功率充电，降功率的幅度随着时间的推移而变得越来越弱，以此实现开始时的限功率充电目的。</w:t>
      </w:r>
      <w:bookmarkStart w:id="0" w:name="_GoBack"/>
      <w:bookmarkEnd w:id="0"/>
    </w:p>
    <w:sectPr w:rsidR="009D176E" w:rsidRPr="008473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61"/>
    <w:rsid w:val="0034750B"/>
    <w:rsid w:val="006C72E8"/>
    <w:rsid w:val="00847379"/>
    <w:rsid w:val="009C4F61"/>
    <w:rsid w:val="009D176E"/>
    <w:rsid w:val="00BA0F6A"/>
    <w:rsid w:val="00C90345"/>
    <w:rsid w:val="00CE501E"/>
    <w:rsid w:val="00DB707E"/>
    <w:rsid w:val="00E97CC6"/>
    <w:rsid w:val="00FB530E"/>
    <w:rsid w:val="00FD7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T430</dc:creator>
  <cp:keywords/>
  <dc:description/>
  <cp:lastModifiedBy>T430</cp:lastModifiedBy>
  <cp:revision>2</cp:revision>
  <dcterms:created xsi:type="dcterms:W3CDTF">2020-08-04T09:25:00Z</dcterms:created>
  <dcterms:modified xsi:type="dcterms:W3CDTF">2020-08-04T12:16:00Z</dcterms:modified>
</cp:coreProperties>
</file>