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182D7">
      <w:pPr>
        <w:pStyle w:val="31"/>
      </w:pPr>
      <w:r>
        <w:rPr>
          <w:color w:val="6A1D8A"/>
        </w:rPr>
        <w:t>RNA Gene Therapy Portfolio – Clinical Trial &amp; Patent Analysis</w:t>
      </w:r>
    </w:p>
    <w:p w14:paraId="26A8F7E2">
      <w:r>
        <w:t>Indication:    Multiple indications</w:t>
      </w:r>
      <w:r>
        <w:br w:type="textWrapping"/>
      </w:r>
      <w:r>
        <w:t xml:space="preserve">Company:       </w:t>
      </w:r>
      <w:r>
        <w:rPr>
          <w:rFonts w:hint="eastAsia" w:eastAsia="宋体"/>
          <w:lang w:eastAsia="zh-CN"/>
        </w:rPr>
        <w:t>abc_pharma</w:t>
      </w:r>
      <w:r>
        <w:br w:type="textWrapping"/>
      </w:r>
      <w:r>
        <w:t>Focus Area:    Gene therapy and RNA therapeutics</w:t>
      </w:r>
      <w:r>
        <w:br w:type="textWrapping"/>
      </w:r>
      <w:r>
        <w:t>Data Source:   PubMed + Lens Patents</w:t>
      </w:r>
      <w:r>
        <w:br w:type="textWrapping"/>
      </w:r>
      <w:r>
        <w:t>Structured Fields: extracted with source sentences</w:t>
      </w:r>
      <w:r>
        <w:br w:type="textWrapping"/>
      </w:r>
      <w:r>
        <w:t>Summary &amp; Analysis: LLM inferred (marked)</w:t>
      </w:r>
      <w:r>
        <w:br w:type="textWrapping"/>
      </w:r>
      <w:r>
        <w:t>Purpose:       BD / Strategy / Due Diligence</w:t>
      </w:r>
    </w:p>
    <w:p w14:paraId="4DCA1F71">
      <w:pPr>
        <w:pStyle w:val="3"/>
      </w:pPr>
      <w:r>
        <w:t>Visual Intelligence Overview</w:t>
      </w:r>
    </w:p>
    <w:p w14:paraId="6D2FFA4D">
      <w:r>
        <w:t xml:space="preserve">The two charts below provide an at-a-glance strategic perspective on </w:t>
      </w:r>
      <w:r>
        <w:rPr>
          <w:rFonts w:hint="eastAsia" w:eastAsia="宋体"/>
          <w:lang w:eastAsia="zh-CN"/>
        </w:rPr>
        <w:t>abc_pharma</w:t>
      </w:r>
      <w:r>
        <w:t>'s gene and RNA therapy pipeline, synthesising data extracted from PubMed literature and Lens patent filings.</w:t>
      </w:r>
    </w:p>
    <w:p w14:paraId="3BDD6B60">
      <w:pPr>
        <w:pStyle w:val="4"/>
      </w:pPr>
      <w:r>
        <w:t>Figure 1 – Clinical Phase Distribution</w:t>
      </w:r>
    </w:p>
    <w:p w14:paraId="36F0A882">
      <w:r>
        <w:t>Distribution of retrieved records across development stages. Includes supplementary pipeline data from public disclosures.</w:t>
      </w:r>
    </w:p>
    <w:p w14:paraId="5BD8AC1D">
      <w:pPr>
        <w:jc w:val="center"/>
      </w:pPr>
      <w:r>
        <w:drawing>
          <wp:inline distT="0" distB="0" distL="114300" distR="114300">
            <wp:extent cx="5029200" cy="3933825"/>
            <wp:effectExtent l="0" t="0" r="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029200" cy="3933825"/>
                    </a:xfrm>
                    <a:prstGeom prst="rect">
                      <a:avLst/>
                    </a:prstGeom>
                    <a:noFill/>
                    <a:ln>
                      <a:noFill/>
                    </a:ln>
                  </pic:spPr>
                </pic:pic>
              </a:graphicData>
            </a:graphic>
          </wp:inline>
        </w:drawing>
      </w:r>
      <w:bookmarkStart w:id="0" w:name="_GoBack"/>
      <w:bookmarkEnd w:id="0"/>
    </w:p>
    <w:p w14:paraId="21B4A170"/>
    <w:p w14:paraId="4660FD7B">
      <w:pPr>
        <w:pStyle w:val="4"/>
      </w:pPr>
      <w:r>
        <w:t>Figure 2 – Therapeutic Modality Strategic Scorecard</w:t>
      </w:r>
    </w:p>
    <w:p w14:paraId="6BC4E1DB">
      <w:r>
        <w:t>Expert-scored evaluation of Gene Therapy versus RNA Therapy across six strategic BD metrics (scale 0–10). Derived from published literature, patent filings, and domain expertise.</w:t>
      </w:r>
    </w:p>
    <w:p w14:paraId="12FEF92C">
      <w:pPr>
        <w:jc w:val="center"/>
      </w:pPr>
      <w:r>
        <w:drawing>
          <wp:inline distT="0" distB="0" distL="114300" distR="114300">
            <wp:extent cx="5486400" cy="34861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486400" cy="3486150"/>
                    </a:xfrm>
                    <a:prstGeom prst="rect">
                      <a:avLst/>
                    </a:prstGeom>
                    <a:noFill/>
                    <a:ln>
                      <a:noFill/>
                    </a:ln>
                  </pic:spPr>
                </pic:pic>
              </a:graphicData>
            </a:graphic>
          </wp:inline>
        </w:drawing>
      </w:r>
    </w:p>
    <w:p w14:paraId="7BB71F3B"/>
    <w:p w14:paraId="3A186D4E">
      <w:pPr>
        <w:pStyle w:val="3"/>
      </w:pPr>
      <w:r>
        <w:t>Structured Evidence</w:t>
      </w:r>
    </w:p>
    <w:p w14:paraId="4B5F3296">
      <w:pPr>
        <w:pStyle w:val="156"/>
      </w:pPr>
      <w:r>
        <w:t>Source ID: 41751951</w:t>
      </w:r>
    </w:p>
    <w:p w14:paraId="7FE8A8EE">
      <w:r>
        <w:t>SAMPLE_SIZE:</w:t>
      </w:r>
      <w:r>
        <w:br w:type="textWrapping"/>
      </w:r>
      <w:r>
        <w:t xml:space="preserve">  Value:  null</w:t>
      </w:r>
      <w:r>
        <w:br w:type="textWrapping"/>
      </w:r>
      <w:r>
        <w:t xml:space="preserve">  Source: </w:t>
      </w:r>
    </w:p>
    <w:p w14:paraId="4CB14A48">
      <w:r>
        <w:t>STUDY_DESIGN:</w:t>
      </w:r>
      <w:r>
        <w:br w:type="textWrapping"/>
      </w:r>
      <w:r>
        <w:t xml:space="preserve">  Value:  null</w:t>
      </w:r>
      <w:r>
        <w:br w:type="textWrapping"/>
      </w:r>
      <w:r>
        <w:t xml:space="preserve">  Source: </w:t>
      </w:r>
    </w:p>
    <w:p w14:paraId="621B91AF">
      <w:r>
        <w:t>PHASE:</w:t>
      </w:r>
      <w:r>
        <w:br w:type="textWrapping"/>
      </w:r>
      <w:r>
        <w:t xml:space="preserve">  Value:  null</w:t>
      </w:r>
      <w:r>
        <w:br w:type="textWrapping"/>
      </w:r>
      <w:r>
        <w:t xml:space="preserve">  Source: </w:t>
      </w:r>
    </w:p>
    <w:p w14:paraId="234E726B">
      <w:r>
        <w:t>PRIMARY_ENDPOINT:</w:t>
      </w:r>
      <w:r>
        <w:br w:type="textWrapping"/>
      </w:r>
      <w:r>
        <w:t xml:space="preserve">  Value:  null</w:t>
      </w:r>
      <w:r>
        <w:br w:type="textWrapping"/>
      </w:r>
      <w:r>
        <w:t xml:space="preserve">  Source: </w:t>
      </w:r>
    </w:p>
    <w:p w14:paraId="3C05CC72">
      <w:r>
        <w:t>EFFICACY_RESULTS:</w:t>
      </w:r>
      <w:r>
        <w:br w:type="textWrapping"/>
      </w:r>
      <w:r>
        <w:t xml:space="preserve">  Value:  SFRP1 knockdown prolonged anagen, increased hair matrix keratinocyte proliferation, reduced apoptosis, and increased DKK1 levels in HFs ex vivo, whereas DKK1 knockdown had no effect, and combined knockdown did not enhance SFRP1's benefits.</w:t>
      </w:r>
      <w:r>
        <w:br w:type="textWrapping"/>
      </w:r>
      <w:r>
        <w:t xml:space="preserve">  Source: SFRP1 knockdown prolonged anagen, increased hair matrix keratinocyte proliferation, reduced apoptosis, and increased DKK1 levels in HFs ex vivo, whereas DKK1 knockdown had no effect, and combined knockdown did not enhance SFRP1's benefits.</w:t>
      </w:r>
    </w:p>
    <w:p w14:paraId="6BBEE573">
      <w:r>
        <w:t>SAFETY_RESULTS:</w:t>
      </w:r>
      <w:r>
        <w:br w:type="textWrapping"/>
      </w:r>
      <w:r>
        <w:t xml:space="preserve">  Value:  null</w:t>
      </w:r>
      <w:r>
        <w:br w:type="textWrapping"/>
      </w:r>
      <w:r>
        <w:t xml:space="preserve">  Source: </w:t>
      </w:r>
    </w:p>
    <w:p w14:paraId="7525D62D">
      <w:pPr>
        <w:pStyle w:val="156"/>
      </w:pPr>
      <w:r>
        <w:t>Source ID: 41725292</w:t>
      </w:r>
    </w:p>
    <w:p w14:paraId="3F83F1FE">
      <w:r>
        <w:t>SAMPLE_SIZE:</w:t>
      </w:r>
      <w:r>
        <w:br w:type="textWrapping"/>
      </w:r>
      <w:r>
        <w:t xml:space="preserve">  Value:  887</w:t>
      </w:r>
      <w:r>
        <w:br w:type="textWrapping"/>
      </w:r>
      <w:r>
        <w:t xml:space="preserve">  Source: Of 887 patients identified,</w:t>
      </w:r>
    </w:p>
    <w:p w14:paraId="6210AA8C">
      <w:r>
        <w:t>STUDY_DESIGN:</w:t>
      </w:r>
      <w:r>
        <w:br w:type="textWrapping"/>
      </w:r>
      <w:r>
        <w:t xml:space="preserve">  Value:  retrospective claims analysis</w:t>
      </w:r>
      <w:r>
        <w:br w:type="textWrapping"/>
      </w:r>
      <w:r>
        <w:t xml:space="preserve">  Source: a retrospective claims analysis.</w:t>
      </w:r>
    </w:p>
    <w:p w14:paraId="2F376CCE">
      <w:r>
        <w:t>PHASE:</w:t>
      </w:r>
      <w:r>
        <w:br w:type="textWrapping"/>
      </w:r>
      <w:r>
        <w:t xml:space="preserve">  Value:  null</w:t>
      </w:r>
      <w:r>
        <w:br w:type="textWrapping"/>
      </w:r>
      <w:r>
        <w:t xml:space="preserve">  Source: </w:t>
      </w:r>
    </w:p>
    <w:p w14:paraId="17569768">
      <w:r>
        <w:t>PRIMARY_ENDPOINT:</w:t>
      </w:r>
      <w:r>
        <w:br w:type="textWrapping"/>
      </w:r>
      <w:r>
        <w:t xml:space="preserve">  Value:  treatment switching and healthcare costs of onabotulinumtoxinA and calcitonin gene-related peptide monoclonal antibodies in Medicare patients with chronic migraine</w:t>
      </w:r>
      <w:r>
        <w:br w:type="textWrapping"/>
      </w:r>
      <w:r>
        <w:t xml:space="preserve">  Source: Real-world treatment switching and healthcare costs of onabotulinumtoxinA and calcitonin gene-related peptide monoclonal antibodies in Medicare patients with chronic migraine: a retrospective claims analysis.</w:t>
      </w:r>
    </w:p>
    <w:p w14:paraId="7B416CDA">
      <w:r>
        <w:t>EFFICACY_RESULTS:</w:t>
      </w:r>
      <w:r>
        <w:br w:type="textWrapping"/>
      </w:r>
      <w:r>
        <w:t xml:space="preserve">  Value:  8.7% of onabotA users and 18.3% of CGRP mAb users initiated a different branded migraine preventive treatment</w:t>
      </w:r>
      <w:r>
        <w:br w:type="textWrapping"/>
      </w:r>
      <w:r>
        <w:t xml:space="preserve">  Source: After 12 months of follow-up, 8.7% of onabotA users and 18.3% of CGRP mAb users initiated a different branded migraine preventive treatment.</w:t>
      </w:r>
    </w:p>
    <w:p w14:paraId="0067FE1F">
      <w:r>
        <w:t>SAFETY_RESULTS:</w:t>
      </w:r>
      <w:r>
        <w:br w:type="textWrapping"/>
      </w:r>
      <w:r>
        <w:t xml:space="preserve">  Value:  null</w:t>
      </w:r>
      <w:r>
        <w:br w:type="textWrapping"/>
      </w:r>
      <w:r>
        <w:t xml:space="preserve">  Source: </w:t>
      </w:r>
    </w:p>
    <w:p w14:paraId="7EFCCAE6">
      <w:pPr>
        <w:pStyle w:val="156"/>
      </w:pPr>
      <w:r>
        <w:t>Source ID: 41685725</w:t>
      </w:r>
    </w:p>
    <w:p w14:paraId="29B77586">
      <w:r>
        <w:t>SAMPLE_SIZE:</w:t>
      </w:r>
      <w:r>
        <w:br w:type="textWrapping"/>
      </w:r>
      <w:r>
        <w:t xml:space="preserve">  Value:  null</w:t>
      </w:r>
      <w:r>
        <w:br w:type="textWrapping"/>
      </w:r>
      <w:r>
        <w:t xml:space="preserve">  Source: null</w:t>
      </w:r>
    </w:p>
    <w:p w14:paraId="2EE8B87D">
      <w:r>
        <w:t>STUDY_DESIGN:</w:t>
      </w:r>
      <w:r>
        <w:br w:type="textWrapping"/>
      </w:r>
      <w:r>
        <w:t xml:space="preserve">  Value:  null</w:t>
      </w:r>
      <w:r>
        <w:br w:type="textWrapping"/>
      </w:r>
      <w:r>
        <w:t xml:space="preserve">  Source: null</w:t>
      </w:r>
    </w:p>
    <w:p w14:paraId="64B6EA25">
      <w:r>
        <w:t>PHASE:</w:t>
      </w:r>
      <w:r>
        <w:br w:type="textWrapping"/>
      </w:r>
      <w:r>
        <w:t xml:space="preserve">  Value:  null</w:t>
      </w:r>
      <w:r>
        <w:br w:type="textWrapping"/>
      </w:r>
      <w:r>
        <w:t xml:space="preserve">  Source: null</w:t>
      </w:r>
    </w:p>
    <w:p w14:paraId="60A9007C">
      <w:r>
        <w:t>PRIMARY_ENDPOINT:</w:t>
      </w:r>
      <w:r>
        <w:br w:type="textWrapping"/>
      </w:r>
      <w:r>
        <w:t xml:space="preserve">  Value:  null</w:t>
      </w:r>
      <w:r>
        <w:br w:type="textWrapping"/>
      </w:r>
      <w:r>
        <w:t xml:space="preserve">  Source: null</w:t>
      </w:r>
    </w:p>
    <w:p w14:paraId="7C82FE61">
      <w:r>
        <w:t>EFFICACY_RESULTS:</w:t>
      </w:r>
      <w:r>
        <w:br w:type="textWrapping"/>
      </w:r>
      <w:r>
        <w:t xml:space="preserve">  Value:  null</w:t>
      </w:r>
      <w:r>
        <w:br w:type="textWrapping"/>
      </w:r>
      <w:r>
        <w:t xml:space="preserve">  Source: null</w:t>
      </w:r>
    </w:p>
    <w:p w14:paraId="68991B46">
      <w:r>
        <w:t>SAFETY_RESULTS:</w:t>
      </w:r>
      <w:r>
        <w:br w:type="textWrapping"/>
      </w:r>
      <w:r>
        <w:t xml:space="preserve">  Value:  null</w:t>
      </w:r>
      <w:r>
        <w:br w:type="textWrapping"/>
      </w:r>
      <w:r>
        <w:t xml:space="preserve">  Source: null</w:t>
      </w:r>
    </w:p>
    <w:p w14:paraId="0B35C21A">
      <w:pPr>
        <w:pStyle w:val="156"/>
      </w:pPr>
      <w:r>
        <w:t>Source ID: 41565778</w:t>
      </w:r>
    </w:p>
    <w:p w14:paraId="66932964">
      <w:r>
        <w:t>SAMPLE_SIZE:</w:t>
      </w:r>
      <w:r>
        <w:br w:type="textWrapping"/>
      </w:r>
      <w:r>
        <w:t xml:space="preserve">  Value:  718</w:t>
      </w:r>
      <w:r>
        <w:br w:type="textWrapping"/>
      </w:r>
      <w:r>
        <w:t xml:space="preserve">  Source: We performed comprehensive RNA sequencing of skin and blood (n = 718) from prospectively-recruited, deeply-phenotyped discovery and replication cohorts of 146 subjects with moderate-to-severe chronic plaque psoriasis initiating TNF-inhibitor (adalimumab) or IL-12/23-inhibitor (ustekinumab) therapy.</w:t>
      </w:r>
    </w:p>
    <w:p w14:paraId="42188321">
      <w:r>
        <w:t>STUDY_DESIGN:</w:t>
      </w:r>
      <w:r>
        <w:br w:type="textWrapping"/>
      </w:r>
      <w:r>
        <w:t xml:space="preserve">  Value:  comprehensive RNA sequencing</w:t>
      </w:r>
      <w:r>
        <w:br w:type="textWrapping"/>
      </w:r>
      <w:r>
        <w:t xml:space="preserve">  Source: We performed comprehensive RNA sequencing of skin and blood (n = 718) from prospectively-recruited, deeply-phenotyped discovery and replication cohorts of 146 subjects with moderate-to-severe chronic plaque psoriasis initiating TNF-inhibitor (adalimumab) or IL-12/23-inhibitor (ustekinumab) therapy.</w:t>
      </w:r>
    </w:p>
    <w:p w14:paraId="3745C1E5">
      <w:r>
        <w:t>PHASE:</w:t>
      </w:r>
      <w:r>
        <w:br w:type="textWrapping"/>
      </w:r>
      <w:r>
        <w:t xml:space="preserve">  Value:  null</w:t>
      </w:r>
      <w:r>
        <w:br w:type="textWrapping"/>
      </w:r>
      <w:r>
        <w:t xml:space="preserve">  Source: null</w:t>
      </w:r>
    </w:p>
    <w:p w14:paraId="64481D70">
      <w:r>
        <w:t>PRIMARY_ENDPOINT:</w:t>
      </w:r>
      <w:r>
        <w:br w:type="textWrapping"/>
      </w:r>
      <w:r>
        <w:t xml:space="preserve">  Value:  null</w:t>
      </w:r>
      <w:r>
        <w:br w:type="textWrapping"/>
      </w:r>
      <w:r>
        <w:t xml:space="preserve">  Source: null</w:t>
      </w:r>
    </w:p>
    <w:p w14:paraId="59956453">
      <w:r>
        <w:t>EFFICACY_RESULTS:</w:t>
      </w:r>
      <w:r>
        <w:br w:type="textWrapping"/>
      </w:r>
      <w:r>
        <w:t xml:space="preserve">  Value:  We identify a 14-gene signature negatively associated with BMI in nonlesional skin and with disease severity in lesional skin. Genotype integration reveals that HLA-DQA1*01 and HLA-DRB1*15 genotypes are positively associated with baseline psoriasis severity. Using explainable machine learning models, we define two disease severity-associated gene modules in lesional skin - one positive, one negatively-associated - and a 9-gene signature in lesional skin predictive of disease severity.</w:t>
      </w:r>
      <w:r>
        <w:br w:type="textWrapping"/>
      </w:r>
      <w:r>
        <w:t xml:space="preserve">  Source: RESULTS: Here we show, using two complementary dimensionality reduction methods, that co-expressed gene modules and factors within skin and blood are significantly associated with psoriasis phenotypes and disease severity. We identify a 14-gene signature negatively associated with BMI in nonlesional skin and with disease severity in lesional skin. Genotype integration reveals that HLA-DQA1*01 and HLA-DRB1*15 genotypes are positively associated with baseline psoriasis severity. Using explainable machine learning models, we define two disease severity-associated gene modules in lesional skin - one positive, one negatively-associated - and a 9-gene signature in lesional skin predictive of disease severity.</w:t>
      </w:r>
    </w:p>
    <w:p w14:paraId="7FEEA4A0">
      <w:r>
        <w:t>SAFETY_RESULTS:</w:t>
      </w:r>
      <w:r>
        <w:br w:type="textWrapping"/>
      </w:r>
      <w:r>
        <w:t xml:space="preserve">  Value:  Disease severity signatures in blood are only seen following adalimumab exposure, suggesting greater systemic impact of adalimumab compared to ustekinumab, in line with its side effect profile.</w:t>
      </w:r>
      <w:r>
        <w:br w:type="textWrapping"/>
      </w:r>
      <w:r>
        <w:t xml:space="preserve">  Source: CONCLUSIONS: These findings delineate gene-environmental and genetic effects on the psoriasis transcriptome linked to disease severity.</w:t>
      </w:r>
    </w:p>
    <w:p w14:paraId="17B11C26">
      <w:pPr>
        <w:pStyle w:val="156"/>
      </w:pPr>
      <w:r>
        <w:t>Source ID: 41565351</w:t>
      </w:r>
    </w:p>
    <w:p w14:paraId="18A28637">
      <w:r>
        <w:t>SAMPLE_SIZE:</w:t>
      </w:r>
      <w:r>
        <w:br w:type="textWrapping"/>
      </w:r>
      <w:r>
        <w:t xml:space="preserve">  Value:  null</w:t>
      </w:r>
      <w:r>
        <w:br w:type="textWrapping"/>
      </w:r>
      <w:r>
        <w:t xml:space="preserve">  Source: null</w:t>
      </w:r>
    </w:p>
    <w:p w14:paraId="7B2B187B">
      <w:r>
        <w:t>STUDY_DESIGN:</w:t>
      </w:r>
      <w:r>
        <w:br w:type="textWrapping"/>
      </w:r>
      <w:r>
        <w:t xml:space="preserve">  Value:  null</w:t>
      </w:r>
      <w:r>
        <w:br w:type="textWrapping"/>
      </w:r>
      <w:r>
        <w:t xml:space="preserve">  Source: null</w:t>
      </w:r>
    </w:p>
    <w:p w14:paraId="62467E91">
      <w:r>
        <w:t>PHASE:</w:t>
      </w:r>
      <w:r>
        <w:br w:type="textWrapping"/>
      </w:r>
      <w:r>
        <w:t xml:space="preserve">  Value:  null</w:t>
      </w:r>
      <w:r>
        <w:br w:type="textWrapping"/>
      </w:r>
      <w:r>
        <w:t xml:space="preserve">  Source: null</w:t>
      </w:r>
    </w:p>
    <w:p w14:paraId="52DBF0E9">
      <w:r>
        <w:t>PRIMARY_ENDPOINT:</w:t>
      </w:r>
      <w:r>
        <w:br w:type="textWrapping"/>
      </w:r>
      <w:r>
        <w:t xml:space="preserve">  Value:  null</w:t>
      </w:r>
      <w:r>
        <w:br w:type="textWrapping"/>
      </w:r>
      <w:r>
        <w:t xml:space="preserve">  Source: null</w:t>
      </w:r>
    </w:p>
    <w:p w14:paraId="49DA3579">
      <w:r>
        <w:t>EFFICACY_RESULTS:</w:t>
      </w:r>
      <w:r>
        <w:br w:type="textWrapping"/>
      </w:r>
      <w:r>
        <w:t xml:space="preserve">  Value:  null</w:t>
      </w:r>
      <w:r>
        <w:br w:type="textWrapping"/>
      </w:r>
      <w:r>
        <w:t xml:space="preserve">  Source: null</w:t>
      </w:r>
    </w:p>
    <w:p w14:paraId="45A6FB60">
      <w:r>
        <w:t>SAFETY_RESULTS:</w:t>
      </w:r>
      <w:r>
        <w:br w:type="textWrapping"/>
      </w:r>
      <w:r>
        <w:t xml:space="preserve">  Value:  null</w:t>
      </w:r>
      <w:r>
        <w:br w:type="textWrapping"/>
      </w:r>
      <w:r>
        <w:t xml:space="preserve">  Source: null</w:t>
      </w:r>
    </w:p>
    <w:p w14:paraId="1BC462F1">
      <w:pPr>
        <w:pStyle w:val="156"/>
      </w:pPr>
      <w:r>
        <w:t>Source ID: 41508855</w:t>
      </w:r>
    </w:p>
    <w:p w14:paraId="689D0DEF">
      <w:r>
        <w:t>SAMPLE_SIZE:</w:t>
      </w:r>
      <w:r>
        <w:br w:type="textWrapping"/>
      </w:r>
      <w:r>
        <w:t xml:space="preserve">  Value:  null</w:t>
      </w:r>
      <w:r>
        <w:br w:type="textWrapping"/>
      </w:r>
      <w:r>
        <w:t xml:space="preserve">  Source: </w:t>
      </w:r>
    </w:p>
    <w:p w14:paraId="26E9A82E">
      <w:r>
        <w:t>STUDY_DESIGN:</w:t>
      </w:r>
      <w:r>
        <w:br w:type="textWrapping"/>
      </w:r>
      <w:r>
        <w:t xml:space="preserve">  Value:  null</w:t>
      </w:r>
      <w:r>
        <w:br w:type="textWrapping"/>
      </w:r>
      <w:r>
        <w:t xml:space="preserve">  Source: </w:t>
      </w:r>
    </w:p>
    <w:p w14:paraId="10C19276">
      <w:r>
        <w:t>PHASE:</w:t>
      </w:r>
      <w:r>
        <w:br w:type="textWrapping"/>
      </w:r>
      <w:r>
        <w:t xml:space="preserve">  Value:  null</w:t>
      </w:r>
      <w:r>
        <w:br w:type="textWrapping"/>
      </w:r>
      <w:r>
        <w:t xml:space="preserve">  Source: </w:t>
      </w:r>
    </w:p>
    <w:p w14:paraId="4E3B5FA9">
      <w:r>
        <w:t>PRIMARY_ENDPOINT:</w:t>
      </w:r>
      <w:r>
        <w:br w:type="textWrapping"/>
      </w:r>
      <w:r>
        <w:t xml:space="preserve">  Value:  null</w:t>
      </w:r>
      <w:r>
        <w:br w:type="textWrapping"/>
      </w:r>
      <w:r>
        <w:t xml:space="preserve">  Source: </w:t>
      </w:r>
    </w:p>
    <w:p w14:paraId="18DCE920">
      <w:r>
        <w:t>EFFICACY_RESULTS:</w:t>
      </w:r>
      <w:r>
        <w:br w:type="textWrapping"/>
      </w:r>
      <w:r>
        <w:t xml:space="preserve">  Value:  null</w:t>
      </w:r>
      <w:r>
        <w:br w:type="textWrapping"/>
      </w:r>
      <w:r>
        <w:t xml:space="preserve">  Source: </w:t>
      </w:r>
    </w:p>
    <w:p w14:paraId="1E8C5B24">
      <w:r>
        <w:t>SAFETY_RESULTS:</w:t>
      </w:r>
      <w:r>
        <w:br w:type="textWrapping"/>
      </w:r>
      <w:r>
        <w:t xml:space="preserve">  Value:  null</w:t>
      </w:r>
      <w:r>
        <w:br w:type="textWrapping"/>
      </w:r>
      <w:r>
        <w:t xml:space="preserve">  Source: </w:t>
      </w:r>
    </w:p>
    <w:p w14:paraId="126649D3">
      <w:pPr>
        <w:pStyle w:val="156"/>
      </w:pPr>
      <w:r>
        <w:t>Source ID: 41501023</w:t>
      </w:r>
    </w:p>
    <w:p w14:paraId="349E85C4">
      <w:r>
        <w:t>SAMPLE_SIZE:</w:t>
      </w:r>
      <w:r>
        <w:br w:type="textWrapping"/>
      </w:r>
      <w:r>
        <w:t xml:space="preserve">  Value:  null</w:t>
      </w:r>
      <w:r>
        <w:br w:type="textWrapping"/>
      </w:r>
      <w:r>
        <w:t xml:space="preserve">  Source: null</w:t>
      </w:r>
    </w:p>
    <w:p w14:paraId="662EB30E">
      <w:r>
        <w:t>STUDY_DESIGN:</w:t>
      </w:r>
      <w:r>
        <w:br w:type="textWrapping"/>
      </w:r>
      <w:r>
        <w:t xml:space="preserve">  Value:  null</w:t>
      </w:r>
      <w:r>
        <w:br w:type="textWrapping"/>
      </w:r>
      <w:r>
        <w:t xml:space="preserve">  Source: null</w:t>
      </w:r>
    </w:p>
    <w:p w14:paraId="2B40174A">
      <w:r>
        <w:t>PHASE:</w:t>
      </w:r>
      <w:r>
        <w:br w:type="textWrapping"/>
      </w:r>
      <w:r>
        <w:t xml:space="preserve">  Value:  null</w:t>
      </w:r>
      <w:r>
        <w:br w:type="textWrapping"/>
      </w:r>
      <w:r>
        <w:t xml:space="preserve">  Source: null</w:t>
      </w:r>
    </w:p>
    <w:p w14:paraId="3647B923">
      <w:r>
        <w:t>PRIMARY_ENDPOINT:</w:t>
      </w:r>
      <w:r>
        <w:br w:type="textWrapping"/>
      </w:r>
      <w:r>
        <w:t xml:space="preserve">  Value:  null</w:t>
      </w:r>
      <w:r>
        <w:br w:type="textWrapping"/>
      </w:r>
      <w:r>
        <w:t xml:space="preserve">  Source: null</w:t>
      </w:r>
    </w:p>
    <w:p w14:paraId="36B8A3BE">
      <w:r>
        <w:t>EFFICACY_RESULTS:</w:t>
      </w:r>
      <w:r>
        <w:br w:type="textWrapping"/>
      </w:r>
      <w:r>
        <w:t xml:space="preserve">  Value:  null</w:t>
      </w:r>
      <w:r>
        <w:br w:type="textWrapping"/>
      </w:r>
      <w:r>
        <w:t xml:space="preserve">  Source: null</w:t>
      </w:r>
    </w:p>
    <w:p w14:paraId="1AF8F624">
      <w:r>
        <w:t>SAFETY_RESULTS:</w:t>
      </w:r>
      <w:r>
        <w:br w:type="textWrapping"/>
      </w:r>
      <w:r>
        <w:t xml:space="preserve">  Value:  null</w:t>
      </w:r>
      <w:r>
        <w:br w:type="textWrapping"/>
      </w:r>
      <w:r>
        <w:t xml:space="preserve">  Source: null</w:t>
      </w:r>
    </w:p>
    <w:p w14:paraId="4AB497DF">
      <w:pPr>
        <w:pStyle w:val="156"/>
      </w:pPr>
      <w:r>
        <w:t>Source ID: 41492841</w:t>
      </w:r>
    </w:p>
    <w:p w14:paraId="5514CDD7">
      <w:r>
        <w:t>SAMPLE_SIZE:</w:t>
      </w:r>
      <w:r>
        <w:br w:type="textWrapping"/>
      </w:r>
      <w:r>
        <w:t xml:space="preserve">  Value:  null</w:t>
      </w:r>
      <w:r>
        <w:br w:type="textWrapping"/>
      </w:r>
      <w:r>
        <w:t xml:space="preserve">  Source: </w:t>
      </w:r>
    </w:p>
    <w:p w14:paraId="630018E8">
      <w:r>
        <w:t>STUDY_DESIGN:</w:t>
      </w:r>
      <w:r>
        <w:br w:type="textWrapping"/>
      </w:r>
      <w:r>
        <w:t xml:space="preserve">  Value:  null</w:t>
      </w:r>
      <w:r>
        <w:br w:type="textWrapping"/>
      </w:r>
      <w:r>
        <w:t xml:space="preserve">  Source: </w:t>
      </w:r>
    </w:p>
    <w:p w14:paraId="12B85A4A">
      <w:r>
        <w:t>PHASE:</w:t>
      </w:r>
      <w:r>
        <w:br w:type="textWrapping"/>
      </w:r>
      <w:r>
        <w:t xml:space="preserve">  Value:  null</w:t>
      </w:r>
      <w:r>
        <w:br w:type="textWrapping"/>
      </w:r>
      <w:r>
        <w:t xml:space="preserve">  Source: </w:t>
      </w:r>
    </w:p>
    <w:p w14:paraId="51EBECDE">
      <w:r>
        <w:t>PRIMARY_ENDPOINT:</w:t>
      </w:r>
      <w:r>
        <w:br w:type="textWrapping"/>
      </w:r>
      <w:r>
        <w:t xml:space="preserve">  Value:  null</w:t>
      </w:r>
      <w:r>
        <w:br w:type="textWrapping"/>
      </w:r>
      <w:r>
        <w:t xml:space="preserve">  Source: </w:t>
      </w:r>
    </w:p>
    <w:p w14:paraId="7D854788">
      <w:r>
        <w:t>EFFICACY_RESULTS:</w:t>
      </w:r>
      <w:r>
        <w:br w:type="textWrapping"/>
      </w:r>
      <w:r>
        <w:t xml:space="preserve">  Value:  null</w:t>
      </w:r>
      <w:r>
        <w:br w:type="textWrapping"/>
      </w:r>
      <w:r>
        <w:t xml:space="preserve">  Source: </w:t>
      </w:r>
    </w:p>
    <w:p w14:paraId="57F8B1DD">
      <w:r>
        <w:t>SAFETY_RESULTS:</w:t>
      </w:r>
      <w:r>
        <w:br w:type="textWrapping"/>
      </w:r>
      <w:r>
        <w:t xml:space="preserve">  Value:  null</w:t>
      </w:r>
      <w:r>
        <w:br w:type="textWrapping"/>
      </w:r>
      <w:r>
        <w:t xml:space="preserve">  Source: </w:t>
      </w:r>
    </w:p>
    <w:p w14:paraId="20CC7A91">
      <w:pPr>
        <w:pStyle w:val="156"/>
      </w:pPr>
      <w:r>
        <w:t>Source ID: 41491842</w:t>
      </w:r>
    </w:p>
    <w:p w14:paraId="66D6D0FA">
      <w:r>
        <w:t>SAMPLE_SIZE:</w:t>
      </w:r>
      <w:r>
        <w:br w:type="textWrapping"/>
      </w:r>
      <w:r>
        <w:t xml:space="preserve">  Value:  null</w:t>
      </w:r>
      <w:r>
        <w:br w:type="textWrapping"/>
      </w:r>
      <w:r>
        <w:t xml:space="preserve">  Source: null</w:t>
      </w:r>
    </w:p>
    <w:p w14:paraId="6E675827">
      <w:r>
        <w:t>STUDY_DESIGN:</w:t>
      </w:r>
      <w:r>
        <w:br w:type="textWrapping"/>
      </w:r>
      <w:r>
        <w:t xml:space="preserve">  Value:  null</w:t>
      </w:r>
      <w:r>
        <w:br w:type="textWrapping"/>
      </w:r>
      <w:r>
        <w:t xml:space="preserve">  Source: null</w:t>
      </w:r>
    </w:p>
    <w:p w14:paraId="75504002">
      <w:r>
        <w:t>PHASE:</w:t>
      </w:r>
      <w:r>
        <w:br w:type="textWrapping"/>
      </w:r>
      <w:r>
        <w:t xml:space="preserve">  Value:  null</w:t>
      </w:r>
      <w:r>
        <w:br w:type="textWrapping"/>
      </w:r>
      <w:r>
        <w:t xml:space="preserve">  Source: null</w:t>
      </w:r>
    </w:p>
    <w:p w14:paraId="4A437F22">
      <w:r>
        <w:t>PRIMARY_ENDPOINT:</w:t>
      </w:r>
      <w:r>
        <w:br w:type="textWrapping"/>
      </w:r>
      <w:r>
        <w:t xml:space="preserve">  Value:  null</w:t>
      </w:r>
      <w:r>
        <w:br w:type="textWrapping"/>
      </w:r>
      <w:r>
        <w:t xml:space="preserve">  Source: null</w:t>
      </w:r>
    </w:p>
    <w:p w14:paraId="6FB8871C">
      <w:r>
        <w:t>EFFICACY_RESULTS:</w:t>
      </w:r>
      <w:r>
        <w:br w:type="textWrapping"/>
      </w:r>
      <w:r>
        <w:t xml:space="preserve">  Value:  RO4938581, a GABAA-α5 negative allosteric modulator rescued behavioral and EEG phenotypes of a mouse model of Dup15q syndrome.</w:t>
      </w:r>
      <w:r>
        <w:br w:type="textWrapping"/>
      </w:r>
      <w:r>
        <w:t xml:space="preserve">  Source: RO4938581, a GABAA-α5 negative allosteric modulator rescued behavioral and EEG phenotypes of a mouse model of Dup15q syndrome.</w:t>
      </w:r>
    </w:p>
    <w:p w14:paraId="75E63985">
      <w:r>
        <w:t>SAFETY_RESULTS:</w:t>
      </w:r>
      <w:r>
        <w:br w:type="textWrapping"/>
      </w:r>
      <w:r>
        <w:t xml:space="preserve">  Value:  null</w:t>
      </w:r>
      <w:r>
        <w:br w:type="textWrapping"/>
      </w:r>
      <w:r>
        <w:t xml:space="preserve">  Source: null</w:t>
      </w:r>
    </w:p>
    <w:p w14:paraId="104112F6">
      <w:pPr>
        <w:pStyle w:val="156"/>
      </w:pPr>
      <w:r>
        <w:t>Source ID: 41451771</w:t>
      </w:r>
    </w:p>
    <w:p w14:paraId="3F989617">
      <w:r>
        <w:t>SAMPLE_SIZE:</w:t>
      </w:r>
      <w:r>
        <w:br w:type="textWrapping"/>
      </w:r>
      <w:r>
        <w:t xml:space="preserve">  Value:  93</w:t>
      </w:r>
      <w:r>
        <w:br w:type="textWrapping"/>
      </w:r>
      <w:r>
        <w:t xml:space="preserve">  Source: Among the 93 patients included,</w:t>
      </w:r>
    </w:p>
    <w:p w14:paraId="7CD706E6">
      <w:r>
        <w:t>STUDY_DESIGN:</w:t>
      </w:r>
      <w:r>
        <w:br w:type="textWrapping"/>
      </w:r>
      <w:r>
        <w:t xml:space="preserve">  Value:  Multicentric, prospective, non-interventional</w:t>
      </w:r>
      <w:r>
        <w:br w:type="textWrapping"/>
      </w:r>
      <w:r>
        <w:t xml:space="preserve">  Source: Multicentric, prospective, non-interventional study conducted in France from May 2020 to July 2022.</w:t>
      </w:r>
    </w:p>
    <w:p w14:paraId="0D041367">
      <w:r>
        <w:t>PHASE:</w:t>
      </w:r>
      <w:r>
        <w:br w:type="textWrapping"/>
      </w:r>
      <w:r>
        <w:t xml:space="preserve">  Value:  null</w:t>
      </w:r>
      <w:r>
        <w:br w:type="textWrapping"/>
      </w:r>
      <w:r>
        <w:t xml:space="preserve">  Source: </w:t>
      </w:r>
    </w:p>
    <w:p w14:paraId="3FC08081">
      <w:r>
        <w:t>PRIMARY_ENDPOINT:</w:t>
      </w:r>
      <w:r>
        <w:br w:type="textWrapping"/>
      </w:r>
      <w:r>
        <w:t xml:space="preserve">  Value:  null</w:t>
      </w:r>
      <w:r>
        <w:br w:type="textWrapping"/>
      </w:r>
      <w:r>
        <w:t xml:space="preserve">  Source: </w:t>
      </w:r>
    </w:p>
    <w:p w14:paraId="1F1A5278">
      <w:r>
        <w:t>EFFICACY_RESULTS:</w:t>
      </w:r>
      <w:r>
        <w:br w:type="textWrapping"/>
      </w:r>
      <w:r>
        <w:t xml:space="preserve">  Value:  After G/P treatment initiation, all but 2 (which were reinfections) achieved SVR 12 and maintained virological response 6 months later.</w:t>
      </w:r>
      <w:r>
        <w:br w:type="textWrapping"/>
      </w:r>
      <w:r>
        <w:t xml:space="preserve">  Source: After G/P treatment initiation, all but 2 (which were reinfections) achieved SVR 12 and maintained virological response 6 months later.</w:t>
      </w:r>
    </w:p>
    <w:p w14:paraId="5CD03DE5">
      <w:r>
        <w:t>SAFETY_RESULTS:</w:t>
      </w:r>
      <w:r>
        <w:br w:type="textWrapping"/>
      </w:r>
      <w:r>
        <w:t xml:space="preserve">  Value:  No AEs with a frequency &gt; 3% were reported.</w:t>
      </w:r>
      <w:r>
        <w:br w:type="textWrapping"/>
      </w:r>
      <w:r>
        <w:t xml:space="preserve">  Source: No AEs with a frequency &gt; 3% were reported.</w:t>
      </w:r>
    </w:p>
    <w:p w14:paraId="2EC54F9F">
      <w:pPr>
        <w:pStyle w:val="156"/>
      </w:pPr>
      <w:r>
        <w:t>Source ID: 41388366</w:t>
      </w:r>
    </w:p>
    <w:p w14:paraId="1CD99995">
      <w:r>
        <w:t>SAMPLE_SIZE:</w:t>
      </w:r>
      <w:r>
        <w:br w:type="textWrapping"/>
      </w:r>
      <w:r>
        <w:t xml:space="preserve">  Value:  null</w:t>
      </w:r>
      <w:r>
        <w:br w:type="textWrapping"/>
      </w:r>
      <w:r>
        <w:t xml:space="preserve">  Source: null</w:t>
      </w:r>
    </w:p>
    <w:p w14:paraId="3E92879C">
      <w:r>
        <w:t>STUDY_DESIGN:</w:t>
      </w:r>
      <w:r>
        <w:br w:type="textWrapping"/>
      </w:r>
      <w:r>
        <w:t xml:space="preserve">  Value:  null</w:t>
      </w:r>
      <w:r>
        <w:br w:type="textWrapping"/>
      </w:r>
      <w:r>
        <w:t xml:space="preserve">  Source: null</w:t>
      </w:r>
    </w:p>
    <w:p w14:paraId="101E0A9C">
      <w:r>
        <w:t>PHASE:</w:t>
      </w:r>
      <w:r>
        <w:br w:type="textWrapping"/>
      </w:r>
      <w:r>
        <w:t xml:space="preserve">  Value:  null</w:t>
      </w:r>
      <w:r>
        <w:br w:type="textWrapping"/>
      </w:r>
      <w:r>
        <w:t xml:space="preserve">  Source: null</w:t>
      </w:r>
    </w:p>
    <w:p w14:paraId="2DE2E352">
      <w:r>
        <w:t>PRIMARY_ENDPOINT:</w:t>
      </w:r>
      <w:r>
        <w:br w:type="textWrapping"/>
      </w:r>
      <w:r>
        <w:t xml:space="preserve">  Value:  null</w:t>
      </w:r>
      <w:r>
        <w:br w:type="textWrapping"/>
      </w:r>
      <w:r>
        <w:t xml:space="preserve">  Source: null</w:t>
      </w:r>
    </w:p>
    <w:p w14:paraId="5953BA2C">
      <w:r>
        <w:t>EFFICACY_RESULTS:</w:t>
      </w:r>
      <w:r>
        <w:br w:type="textWrapping"/>
      </w:r>
      <w:r>
        <w:t xml:space="preserve">  Value:  We showed a significant improvement in predictive performance using a large database of synthetic gene expression profiles.</w:t>
      </w:r>
      <w:r>
        <w:br w:type="textWrapping"/>
      </w:r>
      <w:r>
        <w:t xml:space="preserve">  Source: RESULTS: We developed the tauX machine learning framework to refine gene expression features and improve the predictive performance of RNA-sequencing data.</w:t>
      </w:r>
    </w:p>
    <w:p w14:paraId="72258D39">
      <w:r>
        <w:t>SAFETY_RESULTS:</w:t>
      </w:r>
      <w:r>
        <w:br w:type="textWrapping"/>
      </w:r>
      <w:r>
        <w:t xml:space="preserve">  Value:  null</w:t>
      </w:r>
      <w:r>
        <w:br w:type="textWrapping"/>
      </w:r>
      <w:r>
        <w:t xml:space="preserve">  Source: null</w:t>
      </w:r>
    </w:p>
    <w:p w14:paraId="5EA4ADA1">
      <w:pPr>
        <w:pStyle w:val="156"/>
      </w:pPr>
      <w:r>
        <w:t>Source ID: 41370738</w:t>
      </w:r>
    </w:p>
    <w:p w14:paraId="52CB1FEF">
      <w:r>
        <w:t>SAMPLE_SIZE:</w:t>
      </w:r>
      <w:r>
        <w:br w:type="textWrapping"/>
      </w:r>
      <w:r>
        <w:t xml:space="preserve">  Value:  263</w:t>
      </w:r>
      <w:r>
        <w:br w:type="textWrapping"/>
      </w:r>
      <w:r>
        <w:t xml:space="preserve">  Source: Overall, 263 patients were randomly assigned (venetoclax-dexamethasone, n = 133; pomalidomide-dexamethasone, n = 130).</w:t>
      </w:r>
    </w:p>
    <w:p w14:paraId="491617F3">
      <w:r>
        <w:t>STUDY_DESIGN:</w:t>
      </w:r>
      <w:r>
        <w:br w:type="textWrapping"/>
      </w:r>
      <w:r>
        <w:t xml:space="preserve">  Value:  Randomized, open-label</w:t>
      </w:r>
      <w:r>
        <w:br w:type="textWrapping"/>
      </w:r>
      <w:r>
        <w:t xml:space="preserve">  Source: The randomized, open-label, phase III CANOVA study (ClinicalTrials.gov identifier: NCT03539744)</w:t>
      </w:r>
    </w:p>
    <w:p w14:paraId="6B2A81F9">
      <w:r>
        <w:t>PHASE:</w:t>
      </w:r>
      <w:r>
        <w:br w:type="textWrapping"/>
      </w:r>
      <w:r>
        <w:t xml:space="preserve">  Value:  III</w:t>
      </w:r>
      <w:r>
        <w:br w:type="textWrapping"/>
      </w:r>
      <w:r>
        <w:t xml:space="preserve">  Source: The randomized, open-label, phase III CANOVA study</w:t>
      </w:r>
    </w:p>
    <w:p w14:paraId="71D9405C">
      <w:r>
        <w:t>PRIMARY_ENDPOINT:</w:t>
      </w:r>
      <w:r>
        <w:br w:type="textWrapping"/>
      </w:r>
      <w:r>
        <w:t xml:space="preserve">  Value:  Independent review committee assessed-progression-free survival (PFS)</w:t>
      </w:r>
      <w:r>
        <w:br w:type="textWrapping"/>
      </w:r>
      <w:r>
        <w:t xml:space="preserve">  Source: The primary end point was independent review committee assessed-progression-free survival (PFS) in the intention-to-treat population analyzed by stratified log-rank test</w:t>
      </w:r>
    </w:p>
    <w:p w14:paraId="26593733">
      <w:r>
        <w:t>EFFICACY_RESULTS:</w:t>
      </w:r>
      <w:r>
        <w:br w:type="textWrapping"/>
      </w:r>
      <w:r>
        <w:t xml:space="preserve">  Value:  Median PFS was 9.9 months (95% CI, 6.9 to 12.6) with venetoclax-dexamethasone versus 5.8 months (95% CI, 3.8 to 9.2) with pomalidomide-dexamethasone</w:t>
      </w:r>
      <w:r>
        <w:br w:type="textWrapping"/>
      </w:r>
      <w:r>
        <w:t xml:space="preserve">  Source: Median PFS was 9.9 months (95% CI, 6.9 to 12.6) with venetoclax-dexamethasone versus 5.8 months (95% CI, 3.8 to 9.2) with pomalidomide-dexamethasone</w:t>
      </w:r>
    </w:p>
    <w:p w14:paraId="6E47B1F0">
      <w:r>
        <w:t>SAFETY_RESULTS:</w:t>
      </w:r>
      <w:r>
        <w:br w:type="textWrapping"/>
      </w:r>
      <w:r>
        <w:t xml:space="preserve">  Value:  Grade ≥3 treatment-emergent adverse event rates were 67% with venetoclax-dexamethasone versus 83% with pomalidomide-dexamethasone</w:t>
      </w:r>
      <w:r>
        <w:br w:type="textWrapping"/>
      </w:r>
      <w:r>
        <w:t xml:space="preserve">  Source: Grade ≥3 treatment-emergent adverse event rates were 67% with venetoclax-dexamethasone versus 83% with pomalidomide-dexamethasone</w:t>
      </w:r>
    </w:p>
    <w:p w14:paraId="32751542">
      <w:pPr>
        <w:pStyle w:val="156"/>
      </w:pPr>
      <w:r>
        <w:t>Source ID: 41362291</w:t>
      </w:r>
    </w:p>
    <w:p w14:paraId="71A125F4">
      <w:r>
        <w:t>SAMPLE_SIZE:</w:t>
      </w:r>
      <w:r>
        <w:br w:type="textWrapping"/>
      </w:r>
      <w:r>
        <w:t xml:space="preserve">  Value:  24</w:t>
      </w:r>
      <w:r>
        <w:br w:type="textWrapping"/>
      </w:r>
      <w:r>
        <w:t xml:space="preserve">  Source: the EFPIA Gene Therapy Working Group surveyed 24 AAV gene therapy programs across 13 companies</w:t>
      </w:r>
    </w:p>
    <w:p w14:paraId="5E736C9C">
      <w:r>
        <w:t>STUDY_DESIGN:</w:t>
      </w:r>
      <w:r>
        <w:br w:type="textWrapping"/>
      </w:r>
      <w:r>
        <w:t xml:space="preserve">  Value:  nonclinical toxicity study</w:t>
      </w:r>
      <w:r>
        <w:br w:type="textWrapping"/>
      </w:r>
      <w:r>
        <w:t xml:space="preserve">  Source: Nonclinical toxicity study duration in AAV gene therapy development</w:t>
      </w:r>
    </w:p>
    <w:p w14:paraId="0EEDA72A">
      <w:r>
        <w:t>PHASE:</w:t>
      </w:r>
      <w:r>
        <w:br w:type="textWrapping"/>
      </w:r>
      <w:r>
        <w:t xml:space="preserve">  Value:  null</w:t>
      </w:r>
      <w:r>
        <w:br w:type="textWrapping"/>
      </w:r>
      <w:r>
        <w:t xml:space="preserve">  Source: </w:t>
      </w:r>
    </w:p>
    <w:p w14:paraId="50CA4671">
      <w:r>
        <w:t>PRIMARY_ENDPOINT:</w:t>
      </w:r>
      <w:r>
        <w:br w:type="textWrapping"/>
      </w:r>
      <w:r>
        <w:t xml:space="preserve">  Value:  null</w:t>
      </w:r>
      <w:r>
        <w:br w:type="textWrapping"/>
      </w:r>
      <w:r>
        <w:t xml:space="preserve">  Source: </w:t>
      </w:r>
    </w:p>
    <w:p w14:paraId="6E7A3CD3">
      <w:r>
        <w:t>EFFICACY_RESULTS:</w:t>
      </w:r>
      <w:r>
        <w:br w:type="textWrapping"/>
      </w:r>
      <w:r>
        <w:t xml:space="preserve">  Value:  null</w:t>
      </w:r>
      <w:r>
        <w:br w:type="textWrapping"/>
      </w:r>
      <w:r>
        <w:t xml:space="preserve">  Source: </w:t>
      </w:r>
    </w:p>
    <w:p w14:paraId="22BBA22B">
      <w:r>
        <w:t>SAFETY_RESULTS:</w:t>
      </w:r>
      <w:r>
        <w:br w:type="textWrapping"/>
      </w:r>
      <w:r>
        <w:t xml:space="preserve">  Value:  87.5% of programs that completed a toxicity assessment in a ≥6-month long-term chronic studies</w:t>
      </w:r>
      <w:r>
        <w:br w:type="textWrapping"/>
      </w:r>
      <w:r>
        <w:t xml:space="preserve">  Source: Results showed that ≤3-month studies were sufficient to characterize the toxicology profile in 87.5% of programs that completed a toxicity assessment in a ≥6-month long-term chronic studies</w:t>
      </w:r>
    </w:p>
    <w:p w14:paraId="5991A2CC">
      <w:pPr>
        <w:pStyle w:val="156"/>
      </w:pPr>
      <w:r>
        <w:t>Source ID: 41308689</w:t>
      </w:r>
    </w:p>
    <w:p w14:paraId="3CC393BB">
      <w:r>
        <w:t>SAMPLE_SIZE:</w:t>
      </w:r>
      <w:r>
        <w:br w:type="textWrapping"/>
      </w:r>
      <w:r>
        <w:t xml:space="preserve">  Value:  null</w:t>
      </w:r>
      <w:r>
        <w:br w:type="textWrapping"/>
      </w:r>
      <w:r>
        <w:t xml:space="preserve">  Source: null</w:t>
      </w:r>
    </w:p>
    <w:p w14:paraId="7485A0DC">
      <w:r>
        <w:t>STUDY_DESIGN:</w:t>
      </w:r>
      <w:r>
        <w:br w:type="textWrapping"/>
      </w:r>
      <w:r>
        <w:t xml:space="preserve">  Value:  null</w:t>
      </w:r>
      <w:r>
        <w:br w:type="textWrapping"/>
      </w:r>
      <w:r>
        <w:t xml:space="preserve">  Source: null</w:t>
      </w:r>
    </w:p>
    <w:p w14:paraId="1B3D9879">
      <w:r>
        <w:t>PHASE:</w:t>
      </w:r>
      <w:r>
        <w:br w:type="textWrapping"/>
      </w:r>
      <w:r>
        <w:t xml:space="preserve">  Value:  null</w:t>
      </w:r>
      <w:r>
        <w:br w:type="textWrapping"/>
      </w:r>
      <w:r>
        <w:t xml:space="preserve">  Source: null</w:t>
      </w:r>
    </w:p>
    <w:p w14:paraId="1C44B28C">
      <w:r>
        <w:t>PRIMARY_ENDPOINT:</w:t>
      </w:r>
      <w:r>
        <w:br w:type="textWrapping"/>
      </w:r>
      <w:r>
        <w:t xml:space="preserve">  Value:  null</w:t>
      </w:r>
      <w:r>
        <w:br w:type="textWrapping"/>
      </w:r>
      <w:r>
        <w:t xml:space="preserve">  Source: null</w:t>
      </w:r>
    </w:p>
    <w:p w14:paraId="2459732C">
      <w:r>
        <w:t>EFFICACY_RESULTS:</w:t>
      </w:r>
      <w:r>
        <w:br w:type="textWrapping"/>
      </w:r>
      <w:r>
        <w:t xml:space="preserve">  Value:  null</w:t>
      </w:r>
      <w:r>
        <w:br w:type="textWrapping"/>
      </w:r>
      <w:r>
        <w:t xml:space="preserve">  Source: null</w:t>
      </w:r>
    </w:p>
    <w:p w14:paraId="42F2278E">
      <w:r>
        <w:t>SAFETY_RESULTS:</w:t>
      </w:r>
      <w:r>
        <w:br w:type="textWrapping"/>
      </w:r>
      <w:r>
        <w:t xml:space="preserve">  Value:  null</w:t>
      </w:r>
      <w:r>
        <w:br w:type="textWrapping"/>
      </w:r>
      <w:r>
        <w:t xml:space="preserve">  Source: null</w:t>
      </w:r>
    </w:p>
    <w:p w14:paraId="474259B0">
      <w:pPr>
        <w:pStyle w:val="156"/>
      </w:pPr>
      <w:r>
        <w:t>Source ID: 41274513</w:t>
      </w:r>
    </w:p>
    <w:p w14:paraId="6FC54218">
      <w:r>
        <w:t>SAMPLE_SIZE:</w:t>
      </w:r>
      <w:r>
        <w:br w:type="textWrapping"/>
      </w:r>
      <w:r>
        <w:t xml:space="preserve">  Value:  over 900,000</w:t>
      </w:r>
      <w:r>
        <w:br w:type="textWrapping"/>
      </w:r>
      <w:r>
        <w:t xml:space="preserve">  Source: In this study, we detail the development of a robust PicoGreen assay, which facilitated the screening of </w:t>
      </w:r>
      <w:r>
        <w:rPr>
          <w:rFonts w:hint="eastAsia" w:eastAsia="宋体"/>
          <w:lang w:eastAsia="zh-CN"/>
        </w:rPr>
        <w:t>abc_pharma</w:t>
      </w:r>
      <w:r>
        <w:t>'s extensive chemical library, encompassing over 900,000 small molecules, against the SARS-CoV-2 RdRp.</w:t>
      </w:r>
    </w:p>
    <w:p w14:paraId="4525D343">
      <w:r>
        <w:t>STUDY_DESIGN:</w:t>
      </w:r>
      <w:r>
        <w:br w:type="textWrapping"/>
      </w:r>
      <w:r>
        <w:t xml:space="preserve">  Value:  High-throughput screening</w:t>
      </w:r>
      <w:r>
        <w:br w:type="textWrapping"/>
      </w:r>
      <w:r>
        <w:t xml:space="preserve">  Source: High-throughput screening identifies non-nucleoside inhibitors of the SARS-CoV-2 polymerase with novel mechanisms.</w:t>
      </w:r>
    </w:p>
    <w:p w14:paraId="6E2F62C4">
      <w:r>
        <w:t>PHASE:</w:t>
      </w:r>
      <w:r>
        <w:br w:type="textWrapping"/>
      </w:r>
      <w:r>
        <w:t xml:space="preserve">  Value:  null</w:t>
      </w:r>
      <w:r>
        <w:br w:type="textWrapping"/>
      </w:r>
      <w:r>
        <w:t xml:space="preserve">  Source: </w:t>
      </w:r>
    </w:p>
    <w:p w14:paraId="14525E07">
      <w:r>
        <w:t>PRIMARY_ENDPOINT:</w:t>
      </w:r>
      <w:r>
        <w:br w:type="textWrapping"/>
      </w:r>
      <w:r>
        <w:t xml:space="preserve">  Value:  null</w:t>
      </w:r>
      <w:r>
        <w:br w:type="textWrapping"/>
      </w:r>
      <w:r>
        <w:t xml:space="preserve">  Source: </w:t>
      </w:r>
    </w:p>
    <w:p w14:paraId="68208514">
      <w:r>
        <w:t>EFFICACY_RESULTS:</w:t>
      </w:r>
      <w:r>
        <w:br w:type="textWrapping"/>
      </w:r>
      <w:r>
        <w:t xml:space="preserve">  Value:  Two potent non-nucleoside compounds with activity against our PicoGreen beta-coronavirus panel were identified.</w:t>
      </w:r>
      <w:r>
        <w:br w:type="textWrapping"/>
      </w:r>
      <w:r>
        <w:t xml:space="preserve">  Source: Through a combination of biochemical and biophysical assays, we identified two potent non-nucleoside compounds with activity against our PicoGreen beta-coronavirus panel.</w:t>
      </w:r>
    </w:p>
    <w:p w14:paraId="6FDD9084">
      <w:r>
        <w:t>SAFETY_RESULTS:</w:t>
      </w:r>
      <w:r>
        <w:br w:type="textWrapping"/>
      </w:r>
      <w:r>
        <w:t xml:space="preserve">  Value:  null</w:t>
      </w:r>
      <w:r>
        <w:br w:type="textWrapping"/>
      </w:r>
      <w:r>
        <w:t xml:space="preserve">  Source: </w:t>
      </w:r>
    </w:p>
    <w:p w14:paraId="4FE21309">
      <w:pPr>
        <w:pStyle w:val="156"/>
      </w:pPr>
      <w:r>
        <w:t>Source ID: 41272937</w:t>
      </w:r>
    </w:p>
    <w:p w14:paraId="6B3C630B">
      <w:r>
        <w:t>SAMPLE_SIZE:</w:t>
      </w:r>
      <w:r>
        <w:br w:type="textWrapping"/>
      </w:r>
      <w:r>
        <w:t xml:space="preserve">  Value:  null</w:t>
      </w:r>
      <w:r>
        <w:br w:type="textWrapping"/>
      </w:r>
      <w:r>
        <w:t xml:space="preserve">  Source: null</w:t>
      </w:r>
    </w:p>
    <w:p w14:paraId="19690E66">
      <w:r>
        <w:t>STUDY_DESIGN:</w:t>
      </w:r>
      <w:r>
        <w:br w:type="textWrapping"/>
      </w:r>
      <w:r>
        <w:t xml:space="preserve">  Value:  null</w:t>
      </w:r>
      <w:r>
        <w:br w:type="textWrapping"/>
      </w:r>
      <w:r>
        <w:t xml:space="preserve">  Source: null</w:t>
      </w:r>
    </w:p>
    <w:p w14:paraId="280C0E1F">
      <w:r>
        <w:t>PHASE:</w:t>
      </w:r>
      <w:r>
        <w:br w:type="textWrapping"/>
      </w:r>
      <w:r>
        <w:t xml:space="preserve">  Value:  2b/3 and 3</w:t>
      </w:r>
      <w:r>
        <w:br w:type="textWrapping"/>
      </w:r>
      <w:r>
        <w:t xml:space="preserve">  Source: The ERR between atogepant concentration and MMD over time was analyzed utilizing data from one phase 2b/3 and three phase 3 studies in patients with episodic or chronic migraine (EM/CM).</w:t>
      </w:r>
    </w:p>
    <w:p w14:paraId="0E85DC35">
      <w:r>
        <w:t>PRIMARY_ENDPOINT:</w:t>
      </w:r>
      <w:r>
        <w:br w:type="textWrapping"/>
      </w:r>
      <w:r>
        <w:t xml:space="preserve">  Value:  null</w:t>
      </w:r>
      <w:r>
        <w:br w:type="textWrapping"/>
      </w:r>
      <w:r>
        <w:t xml:space="preserve">  Source: null</w:t>
      </w:r>
    </w:p>
    <w:p w14:paraId="78A7FBBF">
      <w:r>
        <w:t>EFFICACY_RESULTS:</w:t>
      </w:r>
      <w:r>
        <w:br w:type="textWrapping"/>
      </w:r>
      <w:r>
        <w:t xml:space="preserve">  Value:  The final MMD exposure-response model was able to model patients with EM/CM simultaneously and was based on a modified normal distribution with Emax ERR on Cmin. The model adequately described the observed data over time. Due to the Emax relationship, MMD at Week 9-12 plateaued around their model-based atogepant Cmin-EC90 of 3.71 nM, which is similar to most Cmin exposures seen at the 10 mg once-daily regimen. All approved atogepant dosages for EM/CM achieve effective concentrations to inhibit the calcitonin gene-peptide receptor by 90%. Patients who have been failed by conventional oral migraine preventive treatments or patients with a higher baseline MMD may require a longer treatment period to reach atogepant's maximal effect. No significant difference in efficacy was evident in patients exposed to prior oral migraine preventives compared to treatment-naïve patients.</w:t>
      </w:r>
      <w:r>
        <w:br w:type="textWrapping"/>
      </w:r>
      <w:r>
        <w:t xml:space="preserve">  Source: This work aimed to develop an appropriate model to evaluate the exposure-response relationship (ERR) for monthly migraine days (MMD) in atogepant's key migraine prevention clinical trials to support dose selection.</w:t>
      </w:r>
    </w:p>
    <w:p w14:paraId="7FB73D71">
      <w:r>
        <w:t>SAFETY_RESULTS:</w:t>
      </w:r>
      <w:r>
        <w:br w:type="textWrapping"/>
      </w:r>
      <w:r>
        <w:t xml:space="preserve">  Value:  null</w:t>
      </w:r>
      <w:r>
        <w:br w:type="textWrapping"/>
      </w:r>
      <w:r>
        <w:t xml:space="preserve">  Source: null</w:t>
      </w:r>
    </w:p>
    <w:p w14:paraId="49CCAAC1">
      <w:pPr>
        <w:pStyle w:val="156"/>
      </w:pPr>
      <w:r>
        <w:t>Source ID: 41269778</w:t>
      </w:r>
    </w:p>
    <w:p w14:paraId="665D6DE2">
      <w:r>
        <w:t>SAMPLE_SIZE:</w:t>
      </w:r>
      <w:r>
        <w:br w:type="textWrapping"/>
      </w:r>
      <w:r>
        <w:t xml:space="preserve">  Value:  139</w:t>
      </w:r>
      <w:r>
        <w:br w:type="textWrapping"/>
      </w:r>
      <w:r>
        <w:t xml:space="preserve">  Source: Surprisingly, neither the ELN 2022 criteria nor the 4-gene azacitidine-venetoclax classifier model adequately stratified prognosis in a cohort of 139 patients receiving LDAC plus venetoclax.</w:t>
      </w:r>
    </w:p>
    <w:p w14:paraId="29D10AA3">
      <w:r>
        <w:t>STUDY_DESIGN:</w:t>
      </w:r>
      <w:r>
        <w:br w:type="textWrapping"/>
      </w:r>
      <w:r>
        <w:t xml:space="preserve">  Value:  cohort study</w:t>
      </w:r>
      <w:r>
        <w:br w:type="textWrapping"/>
      </w:r>
      <w:r>
        <w:t xml:space="preserve">  Source: Surprisingly, neither the ELN 2022 criteria nor the 4-gene azacitidine-venetoclax classifier model adequately stratified prognosis in a cohort of 139 patients receiving LDAC plus venetoclax.</w:t>
      </w:r>
    </w:p>
    <w:p w14:paraId="7ACB4494">
      <w:r>
        <w:t>PHASE:</w:t>
      </w:r>
      <w:r>
        <w:br w:type="textWrapping"/>
      </w:r>
      <w:r>
        <w:t xml:space="preserve">  Value:  null</w:t>
      </w:r>
      <w:r>
        <w:br w:type="textWrapping"/>
      </w:r>
      <w:r>
        <w:t xml:space="preserve">  Source: null</w:t>
      </w:r>
    </w:p>
    <w:p w14:paraId="6BB344D5">
      <w:r>
        <w:t>PRIMARY_ENDPOINT:</w:t>
      </w:r>
      <w:r>
        <w:br w:type="textWrapping"/>
      </w:r>
      <w:r>
        <w:t xml:space="preserve">  Value:  null</w:t>
      </w:r>
      <w:r>
        <w:br w:type="textWrapping"/>
      </w:r>
      <w:r>
        <w:t xml:space="preserve">  Source: null</w:t>
      </w:r>
    </w:p>
    <w:p w14:paraId="77C41A67">
      <w:r>
        <w:t>EFFICACY_RESULTS:</w:t>
      </w:r>
      <w:r>
        <w:br w:type="textWrapping"/>
      </w:r>
      <w:r>
        <w:t xml:space="preserve">  Value:  Patients with concurrent NPM1 and FLT3-ITD/RAS variants performed surprisingly well with LDAC plus venetoclax (complete remission [CR]/CR with incomplete blood count recovery [CRi] rate, 92%; median overall survival [OS], 29.67 months).</w:t>
      </w:r>
      <w:r>
        <w:br w:type="textWrapping"/>
      </w:r>
      <w:r>
        <w:t xml:space="preserve">  Source: Patients with concurrent NPM1 and FLT3-ITD/RAS variants performed surprisingly well with LDAC plus venetoclax (complete remission [CR]/CR with incomplete blood count recovery [CRi] rate, 92%; median overall survival [OS], 29.67 months).</w:t>
      </w:r>
    </w:p>
    <w:p w14:paraId="461909AC">
      <w:r>
        <w:t>SAFETY_RESULTS:</w:t>
      </w:r>
      <w:r>
        <w:br w:type="textWrapping"/>
      </w:r>
      <w:r>
        <w:t xml:space="preserve">  Value:  Patients with complex karyotype and/or presence of TP53 mutation displayed poor clinical outcomes (CR/CRi, 25%; median OS, 3.48 months).</w:t>
      </w:r>
      <w:r>
        <w:br w:type="textWrapping"/>
      </w:r>
      <w:r>
        <w:t xml:space="preserve">  Source: Patients with complex karyotype and/or presence of TP53 mutation displayed poor clinical outcomes (CR/CRi, 25%; median OS, 3.48 months).</w:t>
      </w:r>
    </w:p>
    <w:p w14:paraId="05931B6B">
      <w:pPr>
        <w:pStyle w:val="156"/>
      </w:pPr>
      <w:r>
        <w:t>Source ID: 41255162</w:t>
      </w:r>
    </w:p>
    <w:p w14:paraId="63C00C7D">
      <w:r>
        <w:t>SAMPLE_SIZE:</w:t>
      </w:r>
      <w:r>
        <w:br w:type="textWrapping"/>
      </w:r>
      <w:r>
        <w:t xml:space="preserve">  Value:  211</w:t>
      </w:r>
      <w:r>
        <w:br w:type="textWrapping"/>
      </w:r>
      <w:r>
        <w:t xml:space="preserve">  Source: Of 694 participants, 211 were included after screening and accounting for dropouts (triptan, n = 100; ubrogepant, n = 111).</w:t>
      </w:r>
    </w:p>
    <w:p w14:paraId="5150A0CB">
      <w:r>
        <w:t>STUDY_DESIGN:</w:t>
      </w:r>
      <w:r>
        <w:br w:type="textWrapping"/>
      </w:r>
      <w:r>
        <w:t xml:space="preserve">  Value:  Prospective, longitudinal, survey-based, real-world study</w:t>
      </w:r>
      <w:r>
        <w:br w:type="textWrapping"/>
      </w:r>
      <w:r>
        <w:t xml:space="preserve">  Source: METHODS: UNIVERSE II was a prospective, longitudinal, survey-based, real-world study conducted in adult Migraine Buddy application users who self-reported a switch from an oral triptan to another oral triptan or ubrogepant.</w:t>
      </w:r>
    </w:p>
    <w:p w14:paraId="5CCF107C">
      <w:r>
        <w:t>PHASE:</w:t>
      </w:r>
      <w:r>
        <w:br w:type="textWrapping"/>
      </w:r>
      <w:r>
        <w:t xml:space="preserve">  Value:  null</w:t>
      </w:r>
      <w:r>
        <w:br w:type="textWrapping"/>
      </w:r>
      <w:r>
        <w:t xml:space="preserve">  Source: </w:t>
      </w:r>
    </w:p>
    <w:p w14:paraId="6BAC4A14">
      <w:r>
        <w:t>PRIMARY_ENDPOINT:</w:t>
      </w:r>
      <w:r>
        <w:br w:type="textWrapping"/>
      </w:r>
      <w:r>
        <w:t xml:space="preserve">  Value:  null</w:t>
      </w:r>
      <w:r>
        <w:br w:type="textWrapping"/>
      </w:r>
      <w:r>
        <w:t xml:space="preserve">  Source: </w:t>
      </w:r>
    </w:p>
    <w:p w14:paraId="695291F9">
      <w:r>
        <w:t>EFFICACY_RESULTS:</w:t>
      </w:r>
      <w:r>
        <w:br w:type="textWrapping"/>
      </w:r>
      <w:r>
        <w:t xml:space="preserve">  Value:  At Day 30, significantly greater proportion of the ubrogepant cohort reported satisfaction with treating pain associated with migraine (69.4% vs 42.0%; adjusted odds ratio [OR] = 3.22; [95% confidence interval [CI], 1.80-5.88]; p &lt; 0.001) and alleviating their most bothersome symptom (69.4% vs 42.0%; adjusted OR = 3.10; [95% CI, 1.75-5.60]; p &lt; 0.001) compared with those who switched triptans.</w:t>
      </w:r>
      <w:r>
        <w:br w:type="textWrapping"/>
      </w:r>
      <w:r>
        <w:t xml:space="preserve">  Source: RESULTS: Of 694 participants, 211 were included after screening and accounting for dropouts (triptan, n = 100; ubrogepant, n = 111). At Day 30, significantly greater proportion of the ubrogepant cohort reported satisfaction with treating pain associated with migraine (69.4% vs 42.0%; adjusted odds ratio [OR] = 3.22; [95% confidence interval [CI], 1.80-5.88]; p &lt; 0.001) and alleviating their most bothersome symptom (69.4% vs 42.0%; adjusted OR = 3.10; [95% CI, 1.75-5.60]; p &lt; 0.001) compared with those who switched triptans.</w:t>
      </w:r>
    </w:p>
    <w:p w14:paraId="69F4926E">
      <w:r>
        <w:t>SAFETY_RESULTS:</w:t>
      </w:r>
      <w:r>
        <w:br w:type="textWrapping"/>
      </w:r>
      <w:r>
        <w:t xml:space="preserve">  Value:  null</w:t>
      </w:r>
      <w:r>
        <w:br w:type="textWrapping"/>
      </w:r>
      <w:r>
        <w:t xml:space="preserve">  Source: </w:t>
      </w:r>
    </w:p>
    <w:p w14:paraId="529CEE5B">
      <w:pPr>
        <w:pStyle w:val="156"/>
      </w:pPr>
      <w:r>
        <w:t>Source ID: 41254996</w:t>
      </w:r>
    </w:p>
    <w:p w14:paraId="0F0FC9AC">
      <w:r>
        <w:t>SAMPLE_SIZE:</w:t>
      </w:r>
      <w:r>
        <w:br w:type="textWrapping"/>
      </w:r>
      <w:r>
        <w:t xml:space="preserve">  Value:  305 and 84</w:t>
      </w:r>
      <w:r>
        <w:br w:type="textWrapping"/>
      </w:r>
      <w:r>
        <w:t xml:space="preserve">  Source: In total, 305 and 84 patients were included in the biomarker prevalence and outcome analyses, respectively.</w:t>
      </w:r>
    </w:p>
    <w:p w14:paraId="07C2A5D0">
      <w:r>
        <w:t>STUDY_DESIGN:</w:t>
      </w:r>
      <w:r>
        <w:br w:type="textWrapping"/>
      </w:r>
      <w:r>
        <w:t xml:space="preserve">  Value:  retrospective</w:t>
      </w:r>
      <w:r>
        <w:br w:type="textWrapping"/>
      </w:r>
      <w:r>
        <w:t xml:space="preserve">  Source: This retrospective analysis of tumor samples and clinical data from real-world patients with non-squamous NSCLC characterized the prevalence of c-Met protein OE,</w:t>
      </w:r>
    </w:p>
    <w:p w14:paraId="66731ABB">
      <w:r>
        <w:t>PHASE:</w:t>
      </w:r>
      <w:r>
        <w:br w:type="textWrapping"/>
      </w:r>
      <w:r>
        <w:t xml:space="preserve">  Value:  null</w:t>
      </w:r>
      <w:r>
        <w:br w:type="textWrapping"/>
      </w:r>
      <w:r>
        <w:t xml:space="preserve">  Source: </w:t>
      </w:r>
    </w:p>
    <w:p w14:paraId="420BC572">
      <w:r>
        <w:t>PRIMARY_ENDPOINT:</w:t>
      </w:r>
      <w:r>
        <w:br w:type="textWrapping"/>
      </w:r>
      <w:r>
        <w:t xml:space="preserve">  Value:  null</w:t>
      </w:r>
      <w:r>
        <w:br w:type="textWrapping"/>
      </w:r>
      <w:r>
        <w:t xml:space="preserve">  Source: </w:t>
      </w:r>
    </w:p>
    <w:p w14:paraId="7F6A5426">
      <w:r>
        <w:t>EFFICACY_RESULTS:</w:t>
      </w:r>
      <w:r>
        <w:br w:type="textWrapping"/>
      </w:r>
      <w:r>
        <w:t xml:space="preserve">  Value:  c-Met protein OE was detected in 25% of tissue samples. Concordance of c-Met protein OE with MET mRNA levels was observed with area under the concentration-time curve values of 0.738 and 0.736 in MET OE or MET high OE, respectively, using Receiver Operating Characteristic analysis. c-Met protein OE was associated with poor prognosis (unadjusted hazard ratio for death of 2.04).</w:t>
      </w:r>
      <w:r>
        <w:br w:type="textWrapping"/>
      </w:r>
      <w:r>
        <w:t xml:space="preserve">  Source: RESULTS: In total, 305 and 84 patients were included in the biomarker prevalence and outcome analyses, respectively. Overall, c-Met protein OE was detected in 25% of tissue samples. Of the 212 samples with fluorescence in situ hybridization data, MET amplification was seen in 9%. Concordance of c-Met protein OE with MET mRNA levels was observed with area under the concentration-time curve values of 0.738 and 0.736 in MET OE or MET high OE, respectively, using Receiver Operating Characteristic analysis. c-Met protein OE was associated with poor prognosis (unadjusted hazard ratio for death of 2.04).</w:t>
      </w:r>
    </w:p>
    <w:p w14:paraId="4FE9BB18">
      <w:r>
        <w:t>SAFETY_RESULTS:</w:t>
      </w:r>
      <w:r>
        <w:br w:type="textWrapping"/>
      </w:r>
      <w:r>
        <w:t xml:space="preserve">  Value:  null</w:t>
      </w:r>
      <w:r>
        <w:br w:type="textWrapping"/>
      </w:r>
      <w:r>
        <w:t xml:space="preserve">  Source: </w:t>
      </w:r>
    </w:p>
    <w:p w14:paraId="7CAF5CD0">
      <w:pPr>
        <w:pStyle w:val="156"/>
      </w:pPr>
      <w:r>
        <w:t>Source ID: 41240911</w:t>
      </w:r>
    </w:p>
    <w:p w14:paraId="1BF95136">
      <w:r>
        <w:t>SAMPLE_SIZE:</w:t>
      </w:r>
      <w:r>
        <w:br w:type="textWrapping"/>
      </w:r>
      <w:r>
        <w:t xml:space="preserve">  Value:  null</w:t>
      </w:r>
      <w:r>
        <w:br w:type="textWrapping"/>
      </w:r>
      <w:r>
        <w:t xml:space="preserve">  Source: </w:t>
      </w:r>
    </w:p>
    <w:p w14:paraId="12DDA162">
      <w:r>
        <w:t>STUDY_DESIGN:</w:t>
      </w:r>
      <w:r>
        <w:br w:type="textWrapping"/>
      </w:r>
      <w:r>
        <w:t xml:space="preserve">  Value:  null</w:t>
      </w:r>
      <w:r>
        <w:br w:type="textWrapping"/>
      </w:r>
      <w:r>
        <w:t xml:space="preserve">  Source: </w:t>
      </w:r>
    </w:p>
    <w:p w14:paraId="6CC1AE46">
      <w:r>
        <w:t>PHASE:</w:t>
      </w:r>
      <w:r>
        <w:br w:type="textWrapping"/>
      </w:r>
      <w:r>
        <w:t xml:space="preserve">  Value:  null</w:t>
      </w:r>
      <w:r>
        <w:br w:type="textWrapping"/>
      </w:r>
      <w:r>
        <w:t xml:space="preserve">  Source: </w:t>
      </w:r>
    </w:p>
    <w:p w14:paraId="6EB596EE">
      <w:r>
        <w:t>PRIMARY_ENDPOINT:</w:t>
      </w:r>
      <w:r>
        <w:br w:type="textWrapping"/>
      </w:r>
      <w:r>
        <w:t xml:space="preserve">  Value:  null</w:t>
      </w:r>
      <w:r>
        <w:br w:type="textWrapping"/>
      </w:r>
      <w:r>
        <w:t xml:space="preserve">  Source: </w:t>
      </w:r>
    </w:p>
    <w:p w14:paraId="7DB560A3">
      <w:r>
        <w:t>EFFICACY_RESULTS:</w:t>
      </w:r>
      <w:r>
        <w:br w:type="textWrapping"/>
      </w:r>
      <w:r>
        <w:t xml:space="preserve">  Value:  Selinexor also demonstrated efficacy in DCC-MBM models and low toxicity on hCOs, suggesting a promising therapeutic window in clinically applied doses.</w:t>
      </w:r>
      <w:r>
        <w:br w:type="textWrapping"/>
      </w:r>
      <w:r>
        <w:t xml:space="preserve">  Source: Selinexor also demonstrated efficacy in DCC-MBM models and low toxicity on hCOs, suggesting a promising therapeutic window in clinically applied doses.</w:t>
      </w:r>
    </w:p>
    <w:p w14:paraId="1D40FADD">
      <w:r>
        <w:t>SAFETY_RESULTS:</w:t>
      </w:r>
      <w:r>
        <w:br w:type="textWrapping"/>
      </w:r>
      <w:r>
        <w:t xml:space="preserve">  Value:  low toxicity on hCOs</w:t>
      </w:r>
      <w:r>
        <w:br w:type="textWrapping"/>
      </w:r>
      <w:r>
        <w:t xml:space="preserve">  Source: Selinexor also demonstrated efficacy in DCC-MBM models and low toxicity on hCOs, suggesting a promising therapeutic window in clinically applied doses.</w:t>
      </w:r>
    </w:p>
    <w:p w14:paraId="3592BD4C">
      <w:pPr>
        <w:pStyle w:val="156"/>
      </w:pPr>
      <w:r>
        <w:t>Source ID: 41220317</w:t>
      </w:r>
    </w:p>
    <w:p w14:paraId="1E03B91E">
      <w:r>
        <w:t>SAMPLE_SIZE:</w:t>
      </w:r>
      <w:r>
        <w:br w:type="textWrapping"/>
      </w:r>
      <w:r>
        <w:t xml:space="preserve">  Value:  null</w:t>
      </w:r>
      <w:r>
        <w:br w:type="textWrapping"/>
      </w:r>
      <w:r>
        <w:t xml:space="preserve">  Source: null</w:t>
      </w:r>
    </w:p>
    <w:p w14:paraId="13FB1E00">
      <w:r>
        <w:t>STUDY_DESIGN:</w:t>
      </w:r>
      <w:r>
        <w:br w:type="textWrapping"/>
      </w:r>
      <w:r>
        <w:t xml:space="preserve">  Value:  null</w:t>
      </w:r>
      <w:r>
        <w:br w:type="textWrapping"/>
      </w:r>
      <w:r>
        <w:t xml:space="preserve">  Source: null</w:t>
      </w:r>
    </w:p>
    <w:p w14:paraId="6311BCF9">
      <w:r>
        <w:t>PHASE:</w:t>
      </w:r>
      <w:r>
        <w:br w:type="textWrapping"/>
      </w:r>
      <w:r>
        <w:t xml:space="preserve">  Value:  null</w:t>
      </w:r>
      <w:r>
        <w:br w:type="textWrapping"/>
      </w:r>
      <w:r>
        <w:t xml:space="preserve">  Source: null</w:t>
      </w:r>
    </w:p>
    <w:p w14:paraId="02732BF1">
      <w:r>
        <w:t>PRIMARY_ENDPOINT:</w:t>
      </w:r>
      <w:r>
        <w:br w:type="textWrapping"/>
      </w:r>
      <w:r>
        <w:t xml:space="preserve">  Value:  null</w:t>
      </w:r>
      <w:r>
        <w:br w:type="textWrapping"/>
      </w:r>
      <w:r>
        <w:t xml:space="preserve">  Source: null</w:t>
      </w:r>
    </w:p>
    <w:p w14:paraId="79EDC53A">
      <w:r>
        <w:t>EFFICACY_RESULTS:</w:t>
      </w:r>
      <w:r>
        <w:br w:type="textWrapping"/>
      </w:r>
      <w:r>
        <w:t xml:space="preserve">  Value:  null</w:t>
      </w:r>
      <w:r>
        <w:br w:type="textWrapping"/>
      </w:r>
      <w:r>
        <w:t xml:space="preserve">  Source: null</w:t>
      </w:r>
    </w:p>
    <w:p w14:paraId="375AC5AC">
      <w:r>
        <w:t>SAFETY_RESULTS:</w:t>
      </w:r>
      <w:r>
        <w:br w:type="textWrapping"/>
      </w:r>
      <w:r>
        <w:t xml:space="preserve">  Value:  null</w:t>
      </w:r>
      <w:r>
        <w:br w:type="textWrapping"/>
      </w:r>
      <w:r>
        <w:t xml:space="preserve">  Source: null</w:t>
      </w:r>
    </w:p>
    <w:p w14:paraId="73B71E99">
      <w:pPr>
        <w:pStyle w:val="156"/>
      </w:pPr>
      <w:r>
        <w:t>Source ID: 41218692</w:t>
      </w:r>
    </w:p>
    <w:p w14:paraId="6C7E90A8">
      <w:r>
        <w:t>SAMPLE_SIZE:</w:t>
      </w:r>
      <w:r>
        <w:br w:type="textWrapping"/>
      </w:r>
      <w:r>
        <w:t xml:space="preserve">  Value:  null</w:t>
      </w:r>
      <w:r>
        <w:br w:type="textWrapping"/>
      </w:r>
      <w:r>
        <w:t xml:space="preserve">  Source: null</w:t>
      </w:r>
    </w:p>
    <w:p w14:paraId="6F7B54C2">
      <w:r>
        <w:t>STUDY_DESIGN:</w:t>
      </w:r>
      <w:r>
        <w:br w:type="textWrapping"/>
      </w:r>
      <w:r>
        <w:t xml:space="preserve">  Value:  randomized, placebo-controlled, phase 2 clinical trial</w:t>
      </w:r>
      <w:r>
        <w:br w:type="textWrapping"/>
      </w:r>
      <w:r>
        <w:t xml:space="preserve">  Source: Herein, we describe an ongoing, global, proof-of-concept, randomized, placebo-controlled, phase 2 clinical trial...</w:t>
      </w:r>
    </w:p>
    <w:p w14:paraId="73929679">
      <w:r>
        <w:t>PHASE:</w:t>
      </w:r>
      <w:r>
        <w:br w:type="textWrapping"/>
      </w:r>
      <w:r>
        <w:t xml:space="preserve">  Value:  2</w:t>
      </w:r>
      <w:r>
        <w:br w:type="textWrapping"/>
      </w:r>
      <w:r>
        <w:t xml:space="preserve">  Source: Herein, we describe an ongoing, global, proof-of-concept, randomized, placebo-controlled, phase 2 clinical trial...</w:t>
      </w:r>
    </w:p>
    <w:p w14:paraId="38646816">
      <w:r>
        <w:t>PRIMARY_ENDPOINT:</w:t>
      </w:r>
      <w:r>
        <w:br w:type="textWrapping"/>
      </w:r>
      <w:r>
        <w:t xml:space="preserve">  Value:  the proportion of participants achieving viral control (HIV-1 RNA &lt;1000 copies/mL) without restarting ART at week 24</w:t>
      </w:r>
      <w:r>
        <w:br w:type="textWrapping"/>
      </w:r>
      <w:r>
        <w:t xml:space="preserve">  Source: The primary efficacy endpoint is the proportion of participants achieving viral control (HIV-1 RNA &lt;1000 copies/mL) without restarting ART at week 24.</w:t>
      </w:r>
    </w:p>
    <w:p w14:paraId="628B5175">
      <w:r>
        <w:t>EFFICACY_RESULTS:</w:t>
      </w:r>
      <w:r>
        <w:br w:type="textWrapping"/>
      </w:r>
      <w:r>
        <w:t xml:space="preserve">  Value:  null</w:t>
      </w:r>
      <w:r>
        <w:br w:type="textWrapping"/>
      </w:r>
      <w:r>
        <w:t xml:space="preserve">  Source: null</w:t>
      </w:r>
    </w:p>
    <w:p w14:paraId="01E40A9F">
      <w:r>
        <w:t>SAFETY_RESULTS:</w:t>
      </w:r>
      <w:r>
        <w:br w:type="textWrapping"/>
      </w:r>
      <w:r>
        <w:t xml:space="preserve">  Value:  null</w:t>
      </w:r>
      <w:r>
        <w:br w:type="textWrapping"/>
      </w:r>
      <w:r>
        <w:t xml:space="preserve">  Source: null</w:t>
      </w:r>
    </w:p>
    <w:p w14:paraId="5C436D06">
      <w:pPr>
        <w:pStyle w:val="156"/>
      </w:pPr>
      <w:r>
        <w:t>Source ID: 41204722</w:t>
      </w:r>
    </w:p>
    <w:p w14:paraId="617BB884">
      <w:r>
        <w:t>SAMPLE_SIZE:</w:t>
      </w:r>
      <w:r>
        <w:br w:type="textWrapping"/>
      </w:r>
      <w:r>
        <w:t xml:space="preserve">  Value:  null</w:t>
      </w:r>
      <w:r>
        <w:br w:type="textWrapping"/>
      </w:r>
      <w:r>
        <w:t xml:space="preserve">  Source: null</w:t>
      </w:r>
    </w:p>
    <w:p w14:paraId="2A9683C8">
      <w:r>
        <w:t>STUDY_DESIGN:</w:t>
      </w:r>
      <w:r>
        <w:br w:type="textWrapping"/>
      </w:r>
      <w:r>
        <w:t xml:space="preserve">  Value:  null</w:t>
      </w:r>
      <w:r>
        <w:br w:type="textWrapping"/>
      </w:r>
      <w:r>
        <w:t xml:space="preserve">  Source: null</w:t>
      </w:r>
    </w:p>
    <w:p w14:paraId="6079E4CD">
      <w:r>
        <w:t>PHASE:</w:t>
      </w:r>
      <w:r>
        <w:br w:type="textWrapping"/>
      </w:r>
      <w:r>
        <w:t xml:space="preserve">  Value:  null</w:t>
      </w:r>
      <w:r>
        <w:br w:type="textWrapping"/>
      </w:r>
      <w:r>
        <w:t xml:space="preserve">  Source: null</w:t>
      </w:r>
    </w:p>
    <w:p w14:paraId="492CE48B">
      <w:r>
        <w:t>PRIMARY_ENDPOINT:</w:t>
      </w:r>
      <w:r>
        <w:br w:type="textWrapping"/>
      </w:r>
      <w:r>
        <w:t xml:space="preserve">  Value:  null</w:t>
      </w:r>
      <w:r>
        <w:br w:type="textWrapping"/>
      </w:r>
      <w:r>
        <w:t xml:space="preserve">  Source: null</w:t>
      </w:r>
    </w:p>
    <w:p w14:paraId="2EC9DF7C">
      <w:r>
        <w:t>EFFICACY_RESULTS:</w:t>
      </w:r>
      <w:r>
        <w:br w:type="textWrapping"/>
      </w:r>
      <w:r>
        <w:t xml:space="preserve">  Value:  null</w:t>
      </w:r>
      <w:r>
        <w:br w:type="textWrapping"/>
      </w:r>
      <w:r>
        <w:t xml:space="preserve">  Source: null</w:t>
      </w:r>
    </w:p>
    <w:p w14:paraId="63125D4B">
      <w:r>
        <w:t>SAFETY_RESULTS:</w:t>
      </w:r>
      <w:r>
        <w:br w:type="textWrapping"/>
      </w:r>
      <w:r>
        <w:t xml:space="preserve">  Value:  null</w:t>
      </w:r>
      <w:r>
        <w:br w:type="textWrapping"/>
      </w:r>
      <w:r>
        <w:t xml:space="preserve">  Source: null</w:t>
      </w:r>
    </w:p>
    <w:p w14:paraId="124C66DA">
      <w:pPr>
        <w:pStyle w:val="156"/>
      </w:pPr>
      <w:r>
        <w:t>Source ID: 41102176</w:t>
      </w:r>
    </w:p>
    <w:p w14:paraId="53EAFF14">
      <w:r>
        <w:t>SAMPLE_SIZE:</w:t>
      </w:r>
      <w:r>
        <w:br w:type="textWrapping"/>
      </w:r>
      <w:r>
        <w:t xml:space="preserve">  Value:  null</w:t>
      </w:r>
      <w:r>
        <w:br w:type="textWrapping"/>
      </w:r>
      <w:r>
        <w:t xml:space="preserve">  Source: null</w:t>
      </w:r>
    </w:p>
    <w:p w14:paraId="425DFDC1">
      <w:r>
        <w:t>STUDY_DESIGN:</w:t>
      </w:r>
      <w:r>
        <w:br w:type="textWrapping"/>
      </w:r>
      <w:r>
        <w:t xml:space="preserve">  Value:  null</w:t>
      </w:r>
      <w:r>
        <w:br w:type="textWrapping"/>
      </w:r>
      <w:r>
        <w:t xml:space="preserve">  Source: null</w:t>
      </w:r>
    </w:p>
    <w:p w14:paraId="433E6D4B">
      <w:r>
        <w:t>PHASE:</w:t>
      </w:r>
      <w:r>
        <w:br w:type="textWrapping"/>
      </w:r>
      <w:r>
        <w:t xml:space="preserve">  Value:  null</w:t>
      </w:r>
      <w:r>
        <w:br w:type="textWrapping"/>
      </w:r>
      <w:r>
        <w:t xml:space="preserve">  Source: null</w:t>
      </w:r>
    </w:p>
    <w:p w14:paraId="16158B2A">
      <w:r>
        <w:t>PRIMARY_ENDPOINT:</w:t>
      </w:r>
      <w:r>
        <w:br w:type="textWrapping"/>
      </w:r>
      <w:r>
        <w:t xml:space="preserve">  Value:  null</w:t>
      </w:r>
      <w:r>
        <w:br w:type="textWrapping"/>
      </w:r>
      <w:r>
        <w:t xml:space="preserve">  Source: null</w:t>
      </w:r>
    </w:p>
    <w:p w14:paraId="1F48E9FE">
      <w:r>
        <w:t>EFFICACY_RESULTS:</w:t>
      </w:r>
      <w:r>
        <w:br w:type="textWrapping"/>
      </w:r>
      <w:r>
        <w:t xml:space="preserve">  Value:  Deleting Tak1 impaired in vivo tumor growth, enhanced α-PD-1 immunotherapy, and lead to durable anti-tumor memory, dependent on CD8 T cells and intact TNF-α signaling.</w:t>
      </w:r>
      <w:r>
        <w:br w:type="textWrapping"/>
      </w:r>
      <w:r>
        <w:t xml:space="preserve">  Source: Our results collectively demonstrate that compromising TAK1 function within tumor cells leverages the cytotoxic capacity of TNF to enhance anti-tumor immunity and generate deeper and more durable anti-tumor immune responses in preclinical models of cancer.</w:t>
      </w:r>
    </w:p>
    <w:p w14:paraId="5EAC5F55">
      <w:r>
        <w:t>SAFETY_RESULTS:</w:t>
      </w:r>
      <w:r>
        <w:br w:type="textWrapping"/>
      </w:r>
      <w:r>
        <w:t xml:space="preserve">  Value:  null</w:t>
      </w:r>
      <w:r>
        <w:br w:type="textWrapping"/>
      </w:r>
      <w:r>
        <w:t xml:space="preserve">  Source: null</w:t>
      </w:r>
    </w:p>
    <w:p w14:paraId="19B47611">
      <w:pPr>
        <w:pStyle w:val="156"/>
      </w:pPr>
      <w:r>
        <w:t>Source ID: 41056949</w:t>
      </w:r>
    </w:p>
    <w:p w14:paraId="70614412">
      <w:r>
        <w:t>SAMPLE_SIZE:</w:t>
      </w:r>
      <w:r>
        <w:br w:type="textWrapping"/>
      </w:r>
      <w:r>
        <w:t xml:space="preserve">  Value:  null</w:t>
      </w:r>
      <w:r>
        <w:br w:type="textWrapping"/>
      </w:r>
      <w:r>
        <w:t xml:space="preserve">  Source: </w:t>
      </w:r>
    </w:p>
    <w:p w14:paraId="4BC93C2E">
      <w:r>
        <w:t>STUDY_DESIGN:</w:t>
      </w:r>
      <w:r>
        <w:br w:type="textWrapping"/>
      </w:r>
      <w:r>
        <w:t xml:space="preserve">  Value:  null</w:t>
      </w:r>
      <w:r>
        <w:br w:type="textWrapping"/>
      </w:r>
      <w:r>
        <w:t xml:space="preserve">  Source: </w:t>
      </w:r>
    </w:p>
    <w:p w14:paraId="0966CB22">
      <w:r>
        <w:t>PHASE:</w:t>
      </w:r>
      <w:r>
        <w:br w:type="textWrapping"/>
      </w:r>
      <w:r>
        <w:t xml:space="preserve">  Value:  null</w:t>
      </w:r>
      <w:r>
        <w:br w:type="textWrapping"/>
      </w:r>
      <w:r>
        <w:t xml:space="preserve">  Source: </w:t>
      </w:r>
    </w:p>
    <w:p w14:paraId="0311D666">
      <w:r>
        <w:t>PRIMARY_ENDPOINT:</w:t>
      </w:r>
      <w:r>
        <w:br w:type="textWrapping"/>
      </w:r>
      <w:r>
        <w:t xml:space="preserve">  Value:  null</w:t>
      </w:r>
      <w:r>
        <w:br w:type="textWrapping"/>
      </w:r>
      <w:r>
        <w:t xml:space="preserve">  Source: </w:t>
      </w:r>
    </w:p>
    <w:p w14:paraId="613EE595">
      <w:r>
        <w:t>EFFICACY_RESULTS:</w:t>
      </w:r>
      <w:r>
        <w:br w:type="textWrapping"/>
      </w:r>
      <w:r>
        <w:t xml:space="preserve">  Value:  We identified and optimized an indole-amine compound that potently and extensively clears tau aggregates in two human tauopathy models.</w:t>
      </w:r>
      <w:r>
        <w:br w:type="textWrapping"/>
      </w:r>
      <w:r>
        <w:t xml:space="preserve">  Source: Here, we employ an integrated chemoproteomic phenotypic strategy to identify druggable targets and corresponding chemical probes for the treatment of tauopathies. We identified and optimized an indole-amine compound that potently and extensively clears tau aggregates in two human tauopathy models.</w:t>
      </w:r>
    </w:p>
    <w:p w14:paraId="361B13C9">
      <w:r>
        <w:t>SAFETY_RESULTS:</w:t>
      </w:r>
      <w:r>
        <w:br w:type="textWrapping"/>
      </w:r>
      <w:r>
        <w:t xml:space="preserve">  Value:  Functional characterization revealed the compound induces mild endoplasmic reticulum (ER)-stress responses as assessed by RNA sequencing and whole proteomic profiling.</w:t>
      </w:r>
      <w:r>
        <w:br w:type="textWrapping"/>
      </w:r>
      <w:r>
        <w:t xml:space="preserve">  Source: Functional characterization revealed the compound induces mild endoplasmic reticulum (ER)-stress responses as assessed by RNA sequencing and whole proteomic profiling.</w:t>
      </w:r>
    </w:p>
    <w:p w14:paraId="24D492E9">
      <w:pPr>
        <w:pStyle w:val="156"/>
      </w:pPr>
      <w:r>
        <w:t>Source ID: 41020498</w:t>
      </w:r>
    </w:p>
    <w:p w14:paraId="0C1DC2B7">
      <w:r>
        <w:t>SAMPLE_SIZE:</w:t>
      </w:r>
      <w:r>
        <w:br w:type="textWrapping"/>
      </w:r>
      <w:r>
        <w:t xml:space="preserve">  Value:  null</w:t>
      </w:r>
      <w:r>
        <w:br w:type="textWrapping"/>
      </w:r>
      <w:r>
        <w:t xml:space="preserve">  Source: </w:t>
      </w:r>
    </w:p>
    <w:p w14:paraId="1CF726E1">
      <w:r>
        <w:t>STUDY_DESIGN:</w:t>
      </w:r>
      <w:r>
        <w:br w:type="textWrapping"/>
      </w:r>
      <w:r>
        <w:t xml:space="preserve">  Value:  null</w:t>
      </w:r>
      <w:r>
        <w:br w:type="textWrapping"/>
      </w:r>
      <w:r>
        <w:t xml:space="preserve">  Source: </w:t>
      </w:r>
    </w:p>
    <w:p w14:paraId="30A41BAE">
      <w:r>
        <w:t>PHASE:</w:t>
      </w:r>
      <w:r>
        <w:br w:type="textWrapping"/>
      </w:r>
      <w:r>
        <w:t xml:space="preserve">  Value:  null</w:t>
      </w:r>
      <w:r>
        <w:br w:type="textWrapping"/>
      </w:r>
      <w:r>
        <w:t xml:space="preserve">  Source: </w:t>
      </w:r>
    </w:p>
    <w:p w14:paraId="78231115">
      <w:r>
        <w:t>PRIMARY_ENDPOINT:</w:t>
      </w:r>
      <w:r>
        <w:br w:type="textWrapping"/>
      </w:r>
      <w:r>
        <w:t xml:space="preserve">  Value:  null</w:t>
      </w:r>
      <w:r>
        <w:br w:type="textWrapping"/>
      </w:r>
      <w:r>
        <w:t xml:space="preserve">  Source: </w:t>
      </w:r>
    </w:p>
    <w:p w14:paraId="7FEA6032">
      <w:r>
        <w:t>EFFICACY_RESULTS:</w:t>
      </w:r>
      <w:r>
        <w:br w:type="textWrapping"/>
      </w:r>
      <w:r>
        <w:t xml:space="preserve">  Value:  null</w:t>
      </w:r>
      <w:r>
        <w:br w:type="textWrapping"/>
      </w:r>
      <w:r>
        <w:t xml:space="preserve">  Source: </w:t>
      </w:r>
    </w:p>
    <w:p w14:paraId="1D0FCB31">
      <w:r>
        <w:t>SAFETY_RESULTS:</w:t>
      </w:r>
      <w:r>
        <w:br w:type="textWrapping"/>
      </w:r>
      <w:r>
        <w:t xml:space="preserve">  Value:  null</w:t>
      </w:r>
      <w:r>
        <w:br w:type="textWrapping"/>
      </w:r>
      <w:r>
        <w:t xml:space="preserve">  Source: </w:t>
      </w:r>
    </w:p>
    <w:p w14:paraId="1CBBBD5E">
      <w:pPr>
        <w:pStyle w:val="156"/>
      </w:pPr>
      <w:r>
        <w:t>Source ID: 41017733</w:t>
      </w:r>
    </w:p>
    <w:p w14:paraId="70108D60">
      <w:r>
        <w:t>SAMPLE_SIZE:</w:t>
      </w:r>
      <w:r>
        <w:br w:type="textWrapping"/>
      </w:r>
      <w:r>
        <w:t xml:space="preserve">  Value:  46,646,661</w:t>
      </w:r>
      <w:r>
        <w:br w:type="textWrapping"/>
      </w:r>
      <w:r>
        <w:t xml:space="preserve">  Source: During 1/1/2014 to 12/31/2021, a total of 46,646,661 persons were tested for HCV antibody of whom 2,253,500 (4.8%) were positive.</w:t>
      </w:r>
    </w:p>
    <w:p w14:paraId="64CC7704">
      <w:r>
        <w:t>STUDY_DESIGN:</w:t>
      </w:r>
      <w:r>
        <w:br w:type="textWrapping"/>
      </w:r>
      <w:r>
        <w:t xml:space="preserve">  Value:  Observational</w:t>
      </w:r>
      <w:r>
        <w:br w:type="textWrapping"/>
      </w:r>
      <w:r>
        <w:t xml:space="preserve">  Source: De-identified data were analysed from persons who were screened for HCV antibody and/or tested for HCV RNA by two large U.S. commercial laboratories from 1/1/2014 to 12/31/2021.</w:t>
      </w:r>
    </w:p>
    <w:p w14:paraId="56C540CE">
      <w:r>
        <w:t>PHASE:</w:t>
      </w:r>
      <w:r>
        <w:br w:type="textWrapping"/>
      </w:r>
      <w:r>
        <w:t xml:space="preserve">  Value:  null</w:t>
      </w:r>
      <w:r>
        <w:br w:type="textWrapping"/>
      </w:r>
      <w:r>
        <w:t xml:space="preserve">  Source: </w:t>
      </w:r>
    </w:p>
    <w:p w14:paraId="07FF28F3">
      <w:r>
        <w:t>PRIMARY_ENDPOINT:</w:t>
      </w:r>
      <w:r>
        <w:br w:type="textWrapping"/>
      </w:r>
      <w:r>
        <w:t xml:space="preserve">  Value:  null</w:t>
      </w:r>
      <w:r>
        <w:br w:type="textWrapping"/>
      </w:r>
      <w:r>
        <w:t xml:space="preserve">  Source: </w:t>
      </w:r>
    </w:p>
    <w:p w14:paraId="50B8BFCA">
      <w:r>
        <w:t>EFFICACY_RESULTS:</w:t>
      </w:r>
      <w:r>
        <w:br w:type="textWrapping"/>
      </w:r>
      <w:r>
        <w:t xml:space="preserve">  Value:  An estimated 643,043 (96%) were cured.</w:t>
      </w:r>
      <w:r>
        <w:br w:type="textWrapping"/>
      </w:r>
      <w:r>
        <w:t xml:space="preserve">  Source: Cumulatively, a total of 672,745/1,951,742 (34.5%) viremic persons were treated; an estimated 643,043 (96%) were cured.</w:t>
      </w:r>
    </w:p>
    <w:p w14:paraId="68ED01CA">
      <w:r>
        <w:t>SAFETY_RESULTS:</w:t>
      </w:r>
      <w:r>
        <w:br w:type="textWrapping"/>
      </w:r>
      <w:r>
        <w:t xml:space="preserve">  Value:  null</w:t>
      </w:r>
      <w:r>
        <w:br w:type="textWrapping"/>
      </w:r>
      <w:r>
        <w:t xml:space="preserve">  Source: </w:t>
      </w:r>
    </w:p>
    <w:p w14:paraId="2143EEB5">
      <w:pPr>
        <w:pStyle w:val="156"/>
      </w:pPr>
      <w:r>
        <w:t>Source ID: 40989744</w:t>
      </w:r>
    </w:p>
    <w:p w14:paraId="5E81A6F6">
      <w:r>
        <w:t>SAMPLE_SIZE:</w:t>
      </w:r>
      <w:r>
        <w:br w:type="textWrapping"/>
      </w:r>
      <w:r>
        <w:t xml:space="preserve">  Value:  null</w:t>
      </w:r>
      <w:r>
        <w:br w:type="textWrapping"/>
      </w:r>
      <w:r>
        <w:t xml:space="preserve">  Source: </w:t>
      </w:r>
    </w:p>
    <w:p w14:paraId="7A6209C9">
      <w:r>
        <w:t>STUDY_DESIGN:</w:t>
      </w:r>
      <w:r>
        <w:br w:type="textWrapping"/>
      </w:r>
      <w:r>
        <w:t xml:space="preserve">  Value:  null</w:t>
      </w:r>
      <w:r>
        <w:br w:type="textWrapping"/>
      </w:r>
      <w:r>
        <w:t xml:space="preserve">  Source: </w:t>
      </w:r>
    </w:p>
    <w:p w14:paraId="63392DE3">
      <w:r>
        <w:t>PHASE:</w:t>
      </w:r>
      <w:r>
        <w:br w:type="textWrapping"/>
      </w:r>
      <w:r>
        <w:t xml:space="preserve">  Value:  null</w:t>
      </w:r>
      <w:r>
        <w:br w:type="textWrapping"/>
      </w:r>
      <w:r>
        <w:t xml:space="preserve">  Source: </w:t>
      </w:r>
    </w:p>
    <w:p w14:paraId="51F16F2F">
      <w:r>
        <w:t>PRIMARY_ENDPOINT:</w:t>
      </w:r>
      <w:r>
        <w:br w:type="textWrapping"/>
      </w:r>
      <w:r>
        <w:t xml:space="preserve">  Value:  null</w:t>
      </w:r>
      <w:r>
        <w:br w:type="textWrapping"/>
      </w:r>
      <w:r>
        <w:t xml:space="preserve">  Source: </w:t>
      </w:r>
    </w:p>
    <w:p w14:paraId="63DBED34">
      <w:r>
        <w:t>EFFICACY_RESULTS:</w:t>
      </w:r>
      <w:r>
        <w:br w:type="textWrapping"/>
      </w:r>
      <w:r>
        <w:t xml:space="preserve">  Value:  null</w:t>
      </w:r>
      <w:r>
        <w:br w:type="textWrapping"/>
      </w:r>
      <w:r>
        <w:t xml:space="preserve">  Source: </w:t>
      </w:r>
    </w:p>
    <w:p w14:paraId="5E0E7118">
      <w:r>
        <w:t>SAFETY_RESULTS:</w:t>
      </w:r>
      <w:r>
        <w:br w:type="textWrapping"/>
      </w:r>
      <w:r>
        <w:t xml:space="preserve">  Value:  null</w:t>
      </w:r>
      <w:r>
        <w:br w:type="textWrapping"/>
      </w:r>
      <w:r>
        <w:t xml:space="preserve">  Source: </w:t>
      </w:r>
    </w:p>
    <w:p w14:paraId="58B79891">
      <w:pPr>
        <w:pStyle w:val="156"/>
      </w:pPr>
      <w:r>
        <w:t>Source ID: 40956003</w:t>
      </w:r>
    </w:p>
    <w:p w14:paraId="5FBEB36D">
      <w:r>
        <w:t>SAMPLE_SIZE:</w:t>
      </w:r>
      <w:r>
        <w:br w:type="textWrapping"/>
      </w:r>
      <w:r>
        <w:t xml:space="preserve">  Value:  null</w:t>
      </w:r>
      <w:r>
        <w:br w:type="textWrapping"/>
      </w:r>
      <w:r>
        <w:t xml:space="preserve">  Source: null</w:t>
      </w:r>
    </w:p>
    <w:p w14:paraId="5D984239">
      <w:r>
        <w:t>STUDY_DESIGN:</w:t>
      </w:r>
      <w:r>
        <w:br w:type="textWrapping"/>
      </w:r>
      <w:r>
        <w:t xml:space="preserve">  Value:  null</w:t>
      </w:r>
      <w:r>
        <w:br w:type="textWrapping"/>
      </w:r>
      <w:r>
        <w:t xml:space="preserve">  Source: null</w:t>
      </w:r>
    </w:p>
    <w:p w14:paraId="4DA1F517">
      <w:r>
        <w:t>PHASE:</w:t>
      </w:r>
      <w:r>
        <w:br w:type="textWrapping"/>
      </w:r>
      <w:r>
        <w:t xml:space="preserve">  Value:  null</w:t>
      </w:r>
      <w:r>
        <w:br w:type="textWrapping"/>
      </w:r>
      <w:r>
        <w:t xml:space="preserve">  Source: null</w:t>
      </w:r>
    </w:p>
    <w:p w14:paraId="1AE1DB82">
      <w:r>
        <w:t>PRIMARY_ENDPOINT:</w:t>
      </w:r>
      <w:r>
        <w:br w:type="textWrapping"/>
      </w:r>
      <w:r>
        <w:t xml:space="preserve">  Value:  null</w:t>
      </w:r>
      <w:r>
        <w:br w:type="textWrapping"/>
      </w:r>
      <w:r>
        <w:t xml:space="preserve">  Source: null</w:t>
      </w:r>
    </w:p>
    <w:p w14:paraId="4DB42B4F">
      <w:r>
        <w:t>EFFICACY_RESULTS:</w:t>
      </w:r>
      <w:r>
        <w:br w:type="textWrapping"/>
      </w:r>
      <w:r>
        <w:t xml:space="preserve">  Value:  BoNT/A disrupted soluble N-ethylmaleimide-sensitive factor attachment protein receptor (SNARE) protein complexes in human DRG neurons as demonstrated by SNAP-25 cleavage in most somatosensory neurons and a reduction in capsaicin-evoked CGRP release, indicating impaired vesicle fusion.</w:t>
      </w:r>
      <w:r>
        <w:br w:type="textWrapping"/>
      </w:r>
      <w:r>
        <w:t xml:space="preserve">  Source: Moreover, bulk RNA sequencing experiments revealed downregulated expression of a large subset of genes responsible for neurotransmitter and neuropeptide release from neurons, suggesting a novel mechanism through which BoNT/A regulates neurotransmission.</w:t>
      </w:r>
    </w:p>
    <w:p w14:paraId="21CAF189">
      <w:r>
        <w:t>SAFETY_RESULTS:</w:t>
      </w:r>
      <w:r>
        <w:br w:type="textWrapping"/>
      </w:r>
      <w:r>
        <w:t xml:space="preserve">  Value:  null</w:t>
      </w:r>
      <w:r>
        <w:br w:type="textWrapping"/>
      </w:r>
      <w:r>
        <w:t xml:space="preserve">  Source: null</w:t>
      </w:r>
    </w:p>
    <w:p w14:paraId="0F1EF655">
      <w:pPr>
        <w:pStyle w:val="156"/>
      </w:pPr>
      <w:r>
        <w:t>Source ID: 40911496</w:t>
      </w:r>
    </w:p>
    <w:p w14:paraId="1BCB101D">
      <w:r>
        <w:t>SAMPLE_SIZE:</w:t>
      </w:r>
      <w:r>
        <w:br w:type="textWrapping"/>
      </w:r>
      <w:r>
        <w:t xml:space="preserve">  Value:  16,000</w:t>
      </w:r>
      <w:r>
        <w:br w:type="textWrapping"/>
      </w:r>
      <w:r>
        <w:t xml:space="preserve">  Source: We analyzed health insurance records from over 16,000 Japanese patients who started migraine prevention treatments between April 2021 and January 2024,</w:t>
      </w:r>
    </w:p>
    <w:p w14:paraId="0F77104D">
      <w:r>
        <w:t>STUDY_DESIGN:</w:t>
      </w:r>
      <w:r>
        <w:br w:type="textWrapping"/>
      </w:r>
      <w:r>
        <w:t xml:space="preserve">  Value:  retrospective cohort study</w:t>
      </w:r>
      <w:r>
        <w:br w:type="textWrapping"/>
      </w:r>
      <w:r>
        <w:t xml:space="preserve">  Source: This retrospective cohort study analyzed JMDC (previously Japan Medical Data Center) claims data (index date: April 2021 to January 2024)</w:t>
      </w:r>
    </w:p>
    <w:p w14:paraId="4DD42A4D">
      <w:r>
        <w:t>PHASE:</w:t>
      </w:r>
      <w:r>
        <w:br w:type="textWrapping"/>
      </w:r>
      <w:r>
        <w:t xml:space="preserve">  Value:  null</w:t>
      </w:r>
      <w:r>
        <w:br w:type="textWrapping"/>
      </w:r>
      <w:r>
        <w:t xml:space="preserve">  Source: </w:t>
      </w:r>
    </w:p>
    <w:p w14:paraId="4FCF26A1">
      <w:r>
        <w:t>PRIMARY_ENDPOINT:</w:t>
      </w:r>
      <w:r>
        <w:br w:type="textWrapping"/>
      </w:r>
      <w:r>
        <w:t xml:space="preserve">  Value:  null</w:t>
      </w:r>
      <w:r>
        <w:br w:type="textWrapping"/>
      </w:r>
      <w:r>
        <w:t xml:space="preserve">  Source: </w:t>
      </w:r>
    </w:p>
    <w:p w14:paraId="4ED09BE1">
      <w:r>
        <w:t>EFFICACY_RESULTS:</w:t>
      </w:r>
      <w:r>
        <w:br w:type="textWrapping"/>
      </w:r>
      <w:r>
        <w:t xml:space="preserve">  Value:  For traditional oral medications, only about half of patients were still taking them after 3 months, dropping to just 22% after a year. The newer injectable treatments showed better initial results (86% at 3 months), but also declined significantly to 37% after a year.</w:t>
      </w:r>
      <w:r>
        <w:br w:type="textWrapping"/>
      </w:r>
      <w:r>
        <w:t xml:space="preserve">  Source: For traditional oral medications, only about half of patients were still taking them after 3 months, dropping to just 22% after a year. The newer injectable treatments showed better initial results (86% at 3 months), but also declined significantly to 37% after a year.</w:t>
      </w:r>
    </w:p>
    <w:p w14:paraId="23A32BF6">
      <w:r>
        <w:t>SAFETY_RESULTS:</w:t>
      </w:r>
      <w:r>
        <w:br w:type="textWrapping"/>
      </w:r>
      <w:r>
        <w:t xml:space="preserve">  Value:  null</w:t>
      </w:r>
      <w:r>
        <w:br w:type="textWrapping"/>
      </w:r>
      <w:r>
        <w:t xml:space="preserve">  Source: </w:t>
      </w:r>
    </w:p>
    <w:p w14:paraId="53284A05">
      <w:pPr>
        <w:pStyle w:val="156"/>
      </w:pPr>
      <w:r>
        <w:t>Source ID: 40851193</w:t>
      </w:r>
    </w:p>
    <w:p w14:paraId="41552ED1">
      <w:r>
        <w:t>SAMPLE_SIZE:</w:t>
      </w:r>
      <w:r>
        <w:br w:type="textWrapping"/>
      </w:r>
      <w:r>
        <w:t xml:space="preserve">  Value:  null</w:t>
      </w:r>
      <w:r>
        <w:br w:type="textWrapping"/>
      </w:r>
      <w:r>
        <w:t xml:space="preserve">  Source: null</w:t>
      </w:r>
    </w:p>
    <w:p w14:paraId="2CB15D92">
      <w:r>
        <w:t>STUDY_DESIGN:</w:t>
      </w:r>
      <w:r>
        <w:br w:type="textWrapping"/>
      </w:r>
      <w:r>
        <w:t xml:space="preserve">  Value:  null</w:t>
      </w:r>
      <w:r>
        <w:br w:type="textWrapping"/>
      </w:r>
      <w:r>
        <w:t xml:space="preserve">  Source: null</w:t>
      </w:r>
    </w:p>
    <w:p w14:paraId="072D808E">
      <w:r>
        <w:t>PHASE:</w:t>
      </w:r>
      <w:r>
        <w:br w:type="textWrapping"/>
      </w:r>
      <w:r>
        <w:t xml:space="preserve">  Value:  null</w:t>
      </w:r>
      <w:r>
        <w:br w:type="textWrapping"/>
      </w:r>
      <w:r>
        <w:t xml:space="preserve">  Source: null</w:t>
      </w:r>
    </w:p>
    <w:p w14:paraId="75FDC71E">
      <w:r>
        <w:t>PRIMARY_ENDPOINT:</w:t>
      </w:r>
      <w:r>
        <w:br w:type="textWrapping"/>
      </w:r>
      <w:r>
        <w:t xml:space="preserve">  Value:  null</w:t>
      </w:r>
      <w:r>
        <w:br w:type="textWrapping"/>
      </w:r>
      <w:r>
        <w:t xml:space="preserve">  Source: null</w:t>
      </w:r>
    </w:p>
    <w:p w14:paraId="44C0C7BA">
      <w:r>
        <w:t>EFFICACY_RESULTS:</w:t>
      </w:r>
      <w:r>
        <w:br w:type="textWrapping"/>
      </w:r>
      <w:r>
        <w:t xml:space="preserve">  Value:  null</w:t>
      </w:r>
      <w:r>
        <w:br w:type="textWrapping"/>
      </w:r>
      <w:r>
        <w:t xml:space="preserve">  Source: null</w:t>
      </w:r>
    </w:p>
    <w:p w14:paraId="5CA8384E">
      <w:r>
        <w:t>SAFETY_RESULTS:</w:t>
      </w:r>
      <w:r>
        <w:br w:type="textWrapping"/>
      </w:r>
      <w:r>
        <w:t xml:space="preserve">  Value:  null</w:t>
      </w:r>
      <w:r>
        <w:br w:type="textWrapping"/>
      </w:r>
      <w:r>
        <w:t xml:space="preserve">  Source: null</w:t>
      </w:r>
    </w:p>
    <w:p w14:paraId="583C5AA2">
      <w:pPr>
        <w:pStyle w:val="156"/>
      </w:pPr>
      <w:r>
        <w:t>Source ID: 40841621</w:t>
      </w:r>
    </w:p>
    <w:p w14:paraId="021AC4DE">
      <w:r>
        <w:t>SAMPLE_SIZE:</w:t>
      </w:r>
      <w:r>
        <w:br w:type="textWrapping"/>
      </w:r>
      <w:r>
        <w:t xml:space="preserve">  Value:  32</w:t>
      </w:r>
      <w:r>
        <w:br w:type="textWrapping"/>
      </w:r>
      <w:r>
        <w:t xml:space="preserve">  Source: Thirty-two adult male and female Thy1-ChR2-EYFP transgenic mice (3-5 months, 18-30 g) housed in 12/12-hr light/dark cycles were used.</w:t>
      </w:r>
    </w:p>
    <w:p w14:paraId="234ECA67">
      <w:r>
        <w:t>STUDY_DESIGN:</w:t>
      </w:r>
      <w:r>
        <w:br w:type="textWrapping"/>
      </w:r>
      <w:r>
        <w:t xml:space="preserve">  Value:  Randomized</w:t>
      </w:r>
      <w:r>
        <w:br w:type="textWrapping"/>
      </w:r>
      <w:r>
        <w:t xml:space="preserve">  Source: Groups were randomly assigned</w:t>
      </w:r>
    </w:p>
    <w:p w14:paraId="6837812B">
      <w:r>
        <w:t>PHASE:</w:t>
      </w:r>
      <w:r>
        <w:br w:type="textWrapping"/>
      </w:r>
      <w:r>
        <w:t xml:space="preserve">  Value:  null</w:t>
      </w:r>
      <w:r>
        <w:br w:type="textWrapping"/>
      </w:r>
      <w:r>
        <w:t xml:space="preserve">  Source: null</w:t>
      </w:r>
    </w:p>
    <w:p w14:paraId="62344385">
      <w:r>
        <w:t>PRIMARY_ENDPOINT:</w:t>
      </w:r>
      <w:r>
        <w:br w:type="textWrapping"/>
      </w:r>
      <w:r>
        <w:t xml:space="preserve">  Value:  Spreading depolarization-induced pain and anxiety behavior</w:t>
      </w:r>
      <w:r>
        <w:br w:type="textWrapping"/>
      </w:r>
      <w:r>
        <w:t xml:space="preserve">  Source: Here, we tested whether selective oral calcitonin gene-related peptide (CGRP) receptor antagonist, atogepant, could ameliorate SD-evoked pain and anxiety phenotypes.</w:t>
      </w:r>
    </w:p>
    <w:p w14:paraId="3424B84E">
      <w:r>
        <w:t>EFFICACY_RESULTS:</w:t>
      </w:r>
      <w:r>
        <w:br w:type="textWrapping"/>
      </w:r>
      <w:r>
        <w:t xml:space="preserve">  Value:  Oral atogepant (30 mg/kg) alleviated SD-induced periorbital allodynia-like behavior (veh SD vs. ato SD: p &lt; 0.001) but did not completely reverse SD-induced periorbital allodynia-like behavior (ato sham vs. ato SD: p &lt; 0.001). Atogepant abolished the SD-induced facial grimace (ato sham vs. ato SD: p = 0.238).</w:t>
      </w:r>
      <w:r>
        <w:br w:type="textWrapping"/>
      </w:r>
      <w:r>
        <w:t xml:space="preserve">  Source: RESULTS: There was a significant main effect of SD (p &lt; 0.001) and atogepant (p = 0.015) on the periorbital threshold with an interaction (p &lt; 0.001). A single opto-SD lowered periorbital threshold compared with sham (veh sham vs. veh SD: p &lt; 0.001). SD also increased the total grimace score compared with sham (veh sham vs. veh SD: p = 0.014). Oral atogepant (30 mg/kg) alleviated SD-induced periorbital allodynia-like behavior (veh SD vs. ato SD: p &lt; 0.001) but did not completely reverse SD-induced periorbital allodynia-like behavior (ato sham vs. ato SD: p &lt; 0.001). Atogepant abolished the SD-induced facial grimace (ato sham vs. ato SD: p = 0.238).</w:t>
      </w:r>
    </w:p>
    <w:p w14:paraId="735C09A5">
      <w:r>
        <w:t>SAFETY_RESULTS:</w:t>
      </w:r>
      <w:r>
        <w:br w:type="textWrapping"/>
      </w:r>
      <w:r>
        <w:t xml:space="preserve">  Value:  null</w:t>
      </w:r>
      <w:r>
        <w:br w:type="textWrapping"/>
      </w:r>
      <w:r>
        <w:t xml:space="preserve">  Source: null</w:t>
      </w:r>
    </w:p>
    <w:p w14:paraId="6D7B20CE">
      <w:pPr>
        <w:pStyle w:val="156"/>
      </w:pPr>
      <w:r>
        <w:t>Source ID: 40831083</w:t>
      </w:r>
    </w:p>
    <w:p w14:paraId="3BA5A750">
      <w:r>
        <w:t>SAMPLE_SIZE:</w:t>
      </w:r>
      <w:r>
        <w:br w:type="textWrapping"/>
      </w:r>
      <w:r>
        <w:t xml:space="preserve">  Value:  596</w:t>
      </w:r>
      <w:r>
        <w:br w:type="textWrapping"/>
      </w:r>
      <w:r>
        <w:t xml:space="preserve">  Source: Of 596 participants, 595 (PROGRESS, n = 325; ELEVATE, n = 270) were treated and included in the safety population and 524 (PROGRESS, n = 284; ELEVATE, n = 240) were included in the modified intent-to-treat population.</w:t>
      </w:r>
    </w:p>
    <w:p w14:paraId="6CC71607">
      <w:r>
        <w:t>STUDY_DESIGN:</w:t>
      </w:r>
      <w:r>
        <w:br w:type="textWrapping"/>
      </w:r>
      <w:r>
        <w:t xml:space="preserve">  Value:  open-label, multicenter, 156-week, safety extension study</w:t>
      </w:r>
      <w:r>
        <w:br w:type="textWrapping"/>
      </w:r>
      <w:r>
        <w:t xml:space="preserve">  Source: This is an interim analysis of an ongoing, open-label, multicenter, 156-week, safety extension study that enrolled completers from phase 3 PROGRESS and ELEVATE trials.</w:t>
      </w:r>
    </w:p>
    <w:p w14:paraId="1BBB5CD7">
      <w:r>
        <w:t>PHASE:</w:t>
      </w:r>
      <w:r>
        <w:br w:type="textWrapping"/>
      </w:r>
      <w:r>
        <w:t xml:space="preserve">  Value:  3</w:t>
      </w:r>
      <w:r>
        <w:br w:type="textWrapping"/>
      </w:r>
      <w:r>
        <w:t xml:space="preserve">  Source: phase 3 PROGRESS and ELEVATE trials</w:t>
      </w:r>
    </w:p>
    <w:p w14:paraId="3A9D71DA">
      <w:r>
        <w:t>PRIMARY_ENDPOINT:</w:t>
      </w:r>
      <w:r>
        <w:br w:type="textWrapping"/>
      </w:r>
      <w:r>
        <w:t xml:space="preserve">  Value:  safety and tolerability of atogepant</w:t>
      </w:r>
      <w:r>
        <w:br w:type="textWrapping"/>
      </w:r>
      <w:r>
        <w:t xml:space="preserve">  Source: The primary outcome was safety and tolerability of atogepant.</w:t>
      </w:r>
    </w:p>
    <w:p w14:paraId="5E54AA2F">
      <w:r>
        <w:t>EFFICACY_RESULTS:</w:t>
      </w:r>
      <w:r>
        <w:br w:type="textWrapping"/>
      </w:r>
      <w:r>
        <w:t xml:space="preserve">  Value:  Improvements in efficacy and functional outcomes from lead-in study baseline were observed at weeks 13-16 in this open-label study and were consistent through 48 and 52 weeks, respectively.</w:t>
      </w:r>
      <w:r>
        <w:br w:type="textWrapping"/>
      </w:r>
      <w:r>
        <w:t xml:space="preserve">  Source: Improvements in efficacy and functional outcomes from lead-in study baseline were observed at weeks 13-16 in this open-label study and were consistent through 48 and 52 weeks, respectively.</w:t>
      </w:r>
    </w:p>
    <w:p w14:paraId="40F8983E">
      <w:r>
        <w:t>SAFETY_RESULTS:</w:t>
      </w:r>
      <w:r>
        <w:br w:type="textWrapping"/>
      </w:r>
      <w:r>
        <w:t xml:space="preserve">  Value:  Treatment-emergent adverse events (TEAEs) occurred in 79.0% of participants; most were mild/moderate and not related to atogepant. Common TEAEs (≥5%) included COVID-19 (28.7%), nasopharyngitis (10.9%) and constipation (8.2%). TEAEs leading to discontinuation occurred in 5.9% of participants. One death attributed to asphyxia by housefire was observed.</w:t>
      </w:r>
      <w:r>
        <w:br w:type="textWrapping"/>
      </w:r>
      <w:r>
        <w:t xml:space="preserve">  Source: Treatment-emergent adverse events (TEAEs) occurred in 79.0% of participants; most were mild/moderate and not related to atogepant. Common TEAEs (≥5%) included COVID-19 (28.7%), nasopharyngitis (10.9%) and constipation (8.2%). TEAEs leading to discontinuation occurred in 5.9% of participants. One death attributed to asphyxia by housefire was observed.</w:t>
      </w:r>
    </w:p>
    <w:p w14:paraId="1624B661">
      <w:pPr>
        <w:pStyle w:val="156"/>
      </w:pPr>
      <w:r>
        <w:t>Source ID: 40829119</w:t>
      </w:r>
    </w:p>
    <w:p w14:paraId="3360D0ED">
      <w:r>
        <w:t>SAMPLE_SIZE:</w:t>
      </w:r>
      <w:r>
        <w:br w:type="textWrapping"/>
      </w:r>
      <w:r>
        <w:t xml:space="preserve">  Value:  525</w:t>
      </w:r>
      <w:r>
        <w:br w:type="textWrapping"/>
      </w:r>
      <w:r>
        <w:t xml:space="preserve">  Source: Samples from 525 patients (NDMM, n = 306; RRMM, n = 219) were analyzed for t(11;14), with 498 patients (95%) having successful BM FISH test.</w:t>
      </w:r>
    </w:p>
    <w:p w14:paraId="1EF170AA">
      <w:r>
        <w:t>STUDY_DESIGN:</w:t>
      </w:r>
      <w:r>
        <w:br w:type="textWrapping"/>
      </w:r>
      <w:r>
        <w:t xml:space="preserve">  Value:  Prospective</w:t>
      </w:r>
      <w:r>
        <w:br w:type="textWrapping"/>
      </w:r>
      <w:r>
        <w:t xml:space="preserve">  Source: We report results from MEDICI, a global, minimally invasive, prospective study evaluating t(11;14) status in newly diagnosed MM (NDMM) and relapsed/refractory MM (RRMM).</w:t>
      </w:r>
    </w:p>
    <w:p w14:paraId="48EC6018">
      <w:r>
        <w:t>PHASE:</w:t>
      </w:r>
      <w:r>
        <w:br w:type="textWrapping"/>
      </w:r>
      <w:r>
        <w:t xml:space="preserve">  Value:  null</w:t>
      </w:r>
      <w:r>
        <w:br w:type="textWrapping"/>
      </w:r>
      <w:r>
        <w:t xml:space="preserve">  Source: null</w:t>
      </w:r>
    </w:p>
    <w:p w14:paraId="2514EAD3">
      <w:r>
        <w:t>PRIMARY_ENDPOINT:</w:t>
      </w:r>
      <w:r>
        <w:br w:type="textWrapping"/>
      </w:r>
      <w:r>
        <w:t xml:space="preserve">  Value:  null</w:t>
      </w:r>
      <w:r>
        <w:br w:type="textWrapping"/>
      </w:r>
      <w:r>
        <w:t xml:space="preserve">  Source: null</w:t>
      </w:r>
    </w:p>
    <w:p w14:paraId="79323A3A">
      <w:r>
        <w:t>EFFICACY_RESULTS:</w:t>
      </w:r>
      <w:r>
        <w:br w:type="textWrapping"/>
      </w:r>
      <w:r>
        <w:t xml:space="preserve">  Value:  Prevalence of t(11;14) was 22.1% (110/498 patients; 95% confidence interval [CI], 18.5-26.0) in the overall patient population, 18.8% (56/298 patients; 95% CI, 14.5-23.7) in NDMM, and 27.0% (54/200 patients; 95% CI, 21.0-33.7) in RRMM.</w:t>
      </w:r>
      <w:r>
        <w:br w:type="textWrapping"/>
      </w:r>
      <w:r>
        <w:t xml:space="preserve">  Source: Prevalence of t(11;14) was 22.1% (110/498 patients; 95% confidence interval [CI], 18.5-26.0) in the overall patient population, 18.8% (56/298 patients; 95% CI, 14.5-23.7) in NDMM, and 27.0% (54/200 patients; 95% CI, 21.0-33.7) in RRMM.</w:t>
      </w:r>
    </w:p>
    <w:p w14:paraId="386B69DF">
      <w:r>
        <w:t>SAFETY_RESULTS:</w:t>
      </w:r>
      <w:r>
        <w:br w:type="textWrapping"/>
      </w:r>
      <w:r>
        <w:t xml:space="preserve">  Value:  null</w:t>
      </w:r>
      <w:r>
        <w:br w:type="textWrapping"/>
      </w:r>
      <w:r>
        <w:t xml:space="preserve">  Source: null</w:t>
      </w:r>
    </w:p>
    <w:p w14:paraId="010D5D0D">
      <w:pPr>
        <w:pStyle w:val="156"/>
      </w:pPr>
      <w:r>
        <w:t>Source ID: 40818508</w:t>
      </w:r>
    </w:p>
    <w:p w14:paraId="0889BF01">
      <w:r>
        <w:t>SAMPLE_SIZE:</w:t>
      </w:r>
      <w:r>
        <w:br w:type="textWrapping"/>
      </w:r>
      <w:r>
        <w:t xml:space="preserve">  Value:  null</w:t>
      </w:r>
      <w:r>
        <w:br w:type="textWrapping"/>
      </w:r>
      <w:r>
        <w:t xml:space="preserve">  Source: </w:t>
      </w:r>
    </w:p>
    <w:p w14:paraId="16BA7B3D">
      <w:r>
        <w:t>STUDY_DESIGN:</w:t>
      </w:r>
      <w:r>
        <w:br w:type="textWrapping"/>
      </w:r>
      <w:r>
        <w:t xml:space="preserve">  Value:  null</w:t>
      </w:r>
      <w:r>
        <w:br w:type="textWrapping"/>
      </w:r>
      <w:r>
        <w:t xml:space="preserve">  Source: </w:t>
      </w:r>
    </w:p>
    <w:p w14:paraId="6F8224AE">
      <w:r>
        <w:t>PHASE:</w:t>
      </w:r>
      <w:r>
        <w:br w:type="textWrapping"/>
      </w:r>
      <w:r>
        <w:t xml:space="preserve">  Value:  null</w:t>
      </w:r>
      <w:r>
        <w:br w:type="textWrapping"/>
      </w:r>
      <w:r>
        <w:t xml:space="preserve">  Source: </w:t>
      </w:r>
    </w:p>
    <w:p w14:paraId="21B73A8A">
      <w:r>
        <w:t>PRIMARY_ENDPOINT:</w:t>
      </w:r>
      <w:r>
        <w:br w:type="textWrapping"/>
      </w:r>
      <w:r>
        <w:t xml:space="preserve">  Value:  null</w:t>
      </w:r>
      <w:r>
        <w:br w:type="textWrapping"/>
      </w:r>
      <w:r>
        <w:t xml:space="preserve">  Source: </w:t>
      </w:r>
    </w:p>
    <w:p w14:paraId="03F7DB26">
      <w:r>
        <w:t>EFFICACY_RESULTS:</w:t>
      </w:r>
      <w:r>
        <w:br w:type="textWrapping"/>
      </w:r>
      <w:r>
        <w:t xml:space="preserve">  Value:  null</w:t>
      </w:r>
      <w:r>
        <w:br w:type="textWrapping"/>
      </w:r>
      <w:r>
        <w:t xml:space="preserve">  Source: </w:t>
      </w:r>
    </w:p>
    <w:p w14:paraId="7E8675BC">
      <w:r>
        <w:t>SAFETY_RESULTS:</w:t>
      </w:r>
      <w:r>
        <w:br w:type="textWrapping"/>
      </w:r>
      <w:r>
        <w:t xml:space="preserve">  Value:  null</w:t>
      </w:r>
      <w:r>
        <w:br w:type="textWrapping"/>
      </w:r>
      <w:r>
        <w:t xml:space="preserve">  Source: </w:t>
      </w:r>
    </w:p>
    <w:p w14:paraId="046E8856">
      <w:pPr>
        <w:pStyle w:val="156"/>
      </w:pPr>
      <w:r>
        <w:t>Source ID: 40764901</w:t>
      </w:r>
    </w:p>
    <w:p w14:paraId="0B59D657">
      <w:r>
        <w:t>SAMPLE_SIZE:</w:t>
      </w:r>
      <w:r>
        <w:br w:type="textWrapping"/>
      </w:r>
      <w:r>
        <w:t xml:space="preserve">  Value:  56</w:t>
      </w:r>
      <w:r>
        <w:br w:type="textWrapping"/>
      </w:r>
      <w:r>
        <w:t xml:space="preserve">  Source: We used Sprague-Dawley rats (n = 28 males, 28 females)</w:t>
      </w:r>
    </w:p>
    <w:p w14:paraId="1CDEAEF9">
      <w:r>
        <w:t>STUDY_DESIGN:</w:t>
      </w:r>
      <w:r>
        <w:br w:type="textWrapping"/>
      </w:r>
      <w:r>
        <w:t xml:space="preserve">  Value:  In vivo</w:t>
      </w:r>
      <w:r>
        <w:br w:type="textWrapping"/>
      </w:r>
      <w:r>
        <w:t xml:space="preserve">  Source: We used Sprague-Dawley rats (n = 28 males, 28 females) to determine the electrical stimulation intensity threshold for CSD induction...</w:t>
      </w:r>
    </w:p>
    <w:p w14:paraId="38E494EF">
      <w:r>
        <w:t>PHASE:</w:t>
      </w:r>
      <w:r>
        <w:br w:type="textWrapping"/>
      </w:r>
      <w:r>
        <w:t xml:space="preserve">  Value:  null</w:t>
      </w:r>
      <w:r>
        <w:br w:type="textWrapping"/>
      </w:r>
      <w:r>
        <w:t xml:space="preserve">  Source: </w:t>
      </w:r>
    </w:p>
    <w:p w14:paraId="2CDA6991">
      <w:r>
        <w:t>PRIMARY_ENDPOINT:</w:t>
      </w:r>
      <w:r>
        <w:br w:type="textWrapping"/>
      </w:r>
      <w:r>
        <w:t xml:space="preserve">  Value:  CSD susceptibility</w:t>
      </w:r>
      <w:r>
        <w:br w:type="textWrapping"/>
      </w:r>
      <w:r>
        <w:t xml:space="preserve">  Source: We investigated whether the efficacy of atogepant in migraine is mediated by CSD suppression.</w:t>
      </w:r>
    </w:p>
    <w:p w14:paraId="1AE4174F">
      <w:r>
        <w:t>EFFICACY_RESULTS:</w:t>
      </w:r>
      <w:r>
        <w:br w:type="textWrapping"/>
      </w:r>
      <w:r>
        <w:t xml:space="preserve">  Value:  Atogepant did not affect the CSD threshold, frequency, propagation speed, amplitude, or duration compared with vehicle, either without or with preceding CSDs.</w:t>
      </w:r>
      <w:r>
        <w:br w:type="textWrapping"/>
      </w:r>
      <w:r>
        <w:t xml:space="preserve">  Source: RESULTS: Atogepant did not affect the CSD threshold, frequency, propagation speed, amplitude, or duration compared with vehicle, either without or with preceding CSDs.</w:t>
      </w:r>
    </w:p>
    <w:p w14:paraId="06C49645">
      <w:r>
        <w:t>SAFETY_RESULTS:</w:t>
      </w:r>
      <w:r>
        <w:br w:type="textWrapping"/>
      </w:r>
      <w:r>
        <w:t xml:space="preserve">  Value:  Systemic physiological parameters did not differ between groups.</w:t>
      </w:r>
      <w:r>
        <w:br w:type="textWrapping"/>
      </w:r>
      <w:r>
        <w:t xml:space="preserve">  Source: RESULTS: Atogepant did not affect the CSD threshold, frequency, propagation speed, amplitude, or duration compared with vehicle, either without or with preceding CSDs.</w:t>
      </w:r>
    </w:p>
    <w:p w14:paraId="5811AE7E">
      <w:pPr>
        <w:pStyle w:val="156"/>
      </w:pPr>
      <w:r>
        <w:t>Source ID: 40762948</w:t>
      </w:r>
    </w:p>
    <w:p w14:paraId="3E062585">
      <w:r>
        <w:t>SAMPLE_SIZE:</w:t>
      </w:r>
      <w:r>
        <w:br w:type="textWrapping"/>
      </w:r>
      <w:r>
        <w:t xml:space="preserve">  Value:  null</w:t>
      </w:r>
      <w:r>
        <w:br w:type="textWrapping"/>
      </w:r>
      <w:r>
        <w:t xml:space="preserve">  Source: </w:t>
      </w:r>
    </w:p>
    <w:p w14:paraId="0F3E88F2">
      <w:r>
        <w:t>STUDY_DESIGN:</w:t>
      </w:r>
      <w:r>
        <w:br w:type="textWrapping"/>
      </w:r>
      <w:r>
        <w:t xml:space="preserve">  Value:  null</w:t>
      </w:r>
      <w:r>
        <w:br w:type="textWrapping"/>
      </w:r>
      <w:r>
        <w:t xml:space="preserve">  Source: </w:t>
      </w:r>
    </w:p>
    <w:p w14:paraId="676C244E">
      <w:r>
        <w:t>PHASE:</w:t>
      </w:r>
      <w:r>
        <w:br w:type="textWrapping"/>
      </w:r>
      <w:r>
        <w:t xml:space="preserve">  Value:  null</w:t>
      </w:r>
      <w:r>
        <w:br w:type="textWrapping"/>
      </w:r>
      <w:r>
        <w:t xml:space="preserve">  Source: </w:t>
      </w:r>
    </w:p>
    <w:p w14:paraId="2B37A0B6">
      <w:r>
        <w:t>PRIMARY_ENDPOINT:</w:t>
      </w:r>
      <w:r>
        <w:br w:type="textWrapping"/>
      </w:r>
      <w:r>
        <w:t xml:space="preserve">  Value:  null</w:t>
      </w:r>
      <w:r>
        <w:br w:type="textWrapping"/>
      </w:r>
      <w:r>
        <w:t xml:space="preserve">  Source: </w:t>
      </w:r>
    </w:p>
    <w:p w14:paraId="4810DB7B">
      <w:r>
        <w:t>EFFICACY_RESULTS:</w:t>
      </w:r>
      <w:r>
        <w:br w:type="textWrapping"/>
      </w:r>
      <w:r>
        <w:t xml:space="preserve">  Value:  null</w:t>
      </w:r>
      <w:r>
        <w:br w:type="textWrapping"/>
      </w:r>
      <w:r>
        <w:t xml:space="preserve">  Source: </w:t>
      </w:r>
    </w:p>
    <w:p w14:paraId="5A9F83CE">
      <w:r>
        <w:t>SAFETY_RESULTS:</w:t>
      </w:r>
      <w:r>
        <w:br w:type="textWrapping"/>
      </w:r>
      <w:r>
        <w:t xml:space="preserve">  Value:  null</w:t>
      </w:r>
      <w:r>
        <w:br w:type="textWrapping"/>
      </w:r>
      <w:r>
        <w:t xml:space="preserve">  Source: </w:t>
      </w:r>
    </w:p>
    <w:p w14:paraId="52E5C2BF">
      <w:pPr>
        <w:pStyle w:val="156"/>
      </w:pPr>
      <w:r>
        <w:t>Source ID: 40736252</w:t>
      </w:r>
    </w:p>
    <w:p w14:paraId="63C83C8E">
      <w:r>
        <w:t>SAMPLE_SIZE:</w:t>
      </w:r>
      <w:r>
        <w:br w:type="textWrapping"/>
      </w:r>
      <w:r>
        <w:t xml:space="preserve">  Value:  45</w:t>
      </w:r>
      <w:r>
        <w:br w:type="textWrapping"/>
      </w:r>
      <w:r>
        <w:t xml:space="preserve">  Source: RESULTS: Forty-five participants (98% male, 51% White, 31% Hispanic, median age 36 years, 51% with human immunodeficiency virus [HIV], 27% self-reported injecting drugs) were enrolled from the United States and Brazil between November 2019 and January 2023.</w:t>
      </w:r>
    </w:p>
    <w:p w14:paraId="71D345B3">
      <w:r>
        <w:t>STUDY_DESIGN:</w:t>
      </w:r>
      <w:r>
        <w:br w:type="textWrapping"/>
      </w:r>
      <w:r>
        <w:t xml:space="preserve">  Value:  single-arm, multicenter trial</w:t>
      </w:r>
      <w:r>
        <w:br w:type="textWrapping"/>
      </w:r>
      <w:r>
        <w:t xml:space="preserve">  Source: METHODS: PURGE-C (A5380) was a single-arm, multicenter trial evaluating the treatment of early HCV (primary or reinfection) with 4 weeks of glecaprevir/pibrentasvir (G/P).</w:t>
      </w:r>
    </w:p>
    <w:p w14:paraId="1A9CFB77">
      <w:r>
        <w:t>PHASE:</w:t>
      </w:r>
      <w:r>
        <w:br w:type="textWrapping"/>
      </w:r>
      <w:r>
        <w:t xml:space="preserve">  Value:  null</w:t>
      </w:r>
      <w:r>
        <w:br w:type="textWrapping"/>
      </w:r>
      <w:r>
        <w:t xml:space="preserve">  Source: null</w:t>
      </w:r>
    </w:p>
    <w:p w14:paraId="4FD9B04A">
      <w:r>
        <w:t>PRIMARY_ENDPOINT:</w:t>
      </w:r>
      <w:r>
        <w:br w:type="textWrapping"/>
      </w:r>
      <w:r>
        <w:t xml:space="preserve">  Value:  sustained virologic response (SVR) 12 weeks after prescribed treatment completion (SVR12)</w:t>
      </w:r>
      <w:r>
        <w:br w:type="textWrapping"/>
      </w:r>
      <w:r>
        <w:t xml:space="preserve">  Source: The primary endpoint was sustained virologic response (SVR) 12 weeks after prescribed treatment completion (SVR12).</w:t>
      </w:r>
    </w:p>
    <w:p w14:paraId="1E404F5B">
      <w:r>
        <w:t>EFFICACY_RESULTS:</w:t>
      </w:r>
      <w:r>
        <w:br w:type="textWrapping"/>
      </w:r>
      <w:r>
        <w:t xml:space="preserve">  Value:  84% achieved SVR12</w:t>
      </w:r>
      <w:r>
        <w:br w:type="textWrapping"/>
      </w:r>
      <w:r>
        <w:t xml:space="preserve">  Source: Overall, 38 of 45 (84%) participants (90% confidence interval [CI]: 74%-91%) achieved SVR12.</w:t>
      </w:r>
    </w:p>
    <w:p w14:paraId="78BB22F5">
      <w:r>
        <w:t>SAFETY_RESULTS:</w:t>
      </w:r>
      <w:r>
        <w:br w:type="textWrapping"/>
      </w:r>
      <w:r>
        <w:t xml:space="preserve">  Value:  null</w:t>
      </w:r>
      <w:r>
        <w:br w:type="textWrapping"/>
      </w:r>
      <w:r>
        <w:t xml:space="preserve">  Source: null</w:t>
      </w:r>
    </w:p>
    <w:p w14:paraId="2284432D">
      <w:pPr>
        <w:pStyle w:val="156"/>
      </w:pPr>
      <w:r>
        <w:t>Source ID: 40722386</w:t>
      </w:r>
    </w:p>
    <w:p w14:paraId="321F84B4">
      <w:r>
        <w:t>SAMPLE_SIZE:</w:t>
      </w:r>
      <w:r>
        <w:br w:type="textWrapping"/>
      </w:r>
      <w:r>
        <w:t xml:space="preserve">  Value:  null</w:t>
      </w:r>
      <w:r>
        <w:br w:type="textWrapping"/>
      </w:r>
      <w:r>
        <w:t xml:space="preserve">  Source: null</w:t>
      </w:r>
    </w:p>
    <w:p w14:paraId="59C2A4D8">
      <w:r>
        <w:t>STUDY_DESIGN:</w:t>
      </w:r>
      <w:r>
        <w:br w:type="textWrapping"/>
      </w:r>
      <w:r>
        <w:t xml:space="preserve">  Value:  null</w:t>
      </w:r>
      <w:r>
        <w:br w:type="textWrapping"/>
      </w:r>
      <w:r>
        <w:t xml:space="preserve">  Source: null</w:t>
      </w:r>
    </w:p>
    <w:p w14:paraId="650F2D63">
      <w:r>
        <w:t>PHASE:</w:t>
      </w:r>
      <w:r>
        <w:br w:type="textWrapping"/>
      </w:r>
      <w:r>
        <w:t xml:space="preserve">  Value:  null</w:t>
      </w:r>
      <w:r>
        <w:br w:type="textWrapping"/>
      </w:r>
      <w:r>
        <w:t xml:space="preserve">  Source: null</w:t>
      </w:r>
    </w:p>
    <w:p w14:paraId="42B407D8">
      <w:r>
        <w:t>PRIMARY_ENDPOINT:</w:t>
      </w:r>
      <w:r>
        <w:br w:type="textWrapping"/>
      </w:r>
      <w:r>
        <w:t xml:space="preserve">  Value:  null</w:t>
      </w:r>
      <w:r>
        <w:br w:type="textWrapping"/>
      </w:r>
      <w:r>
        <w:t xml:space="preserve">  Source: null</w:t>
      </w:r>
    </w:p>
    <w:p w14:paraId="035CC12F">
      <w:r>
        <w:t>EFFICACY_RESULTS:</w:t>
      </w:r>
      <w:r>
        <w:br w:type="textWrapping"/>
      </w:r>
      <w:r>
        <w:t xml:space="preserve">  Value:  null</w:t>
      </w:r>
      <w:r>
        <w:br w:type="textWrapping"/>
      </w:r>
      <w:r>
        <w:t xml:space="preserve">  Source: null</w:t>
      </w:r>
    </w:p>
    <w:p w14:paraId="35835415">
      <w:r>
        <w:t>SAFETY_RESULTS:</w:t>
      </w:r>
      <w:r>
        <w:br w:type="textWrapping"/>
      </w:r>
      <w:r>
        <w:t xml:space="preserve">  Value:  null</w:t>
      </w:r>
      <w:r>
        <w:br w:type="textWrapping"/>
      </w:r>
      <w:r>
        <w:t xml:space="preserve">  Source: null</w:t>
      </w:r>
    </w:p>
    <w:p w14:paraId="2751F33A">
      <w:pPr>
        <w:pStyle w:val="156"/>
      </w:pPr>
      <w:r>
        <w:t>Source ID: 40661360</w:t>
      </w:r>
    </w:p>
    <w:p w14:paraId="151E6352">
      <w:r>
        <w:t>SAMPLE_SIZE:</w:t>
      </w:r>
      <w:r>
        <w:br w:type="textWrapping"/>
      </w:r>
      <w:r>
        <w:t xml:space="preserve">  Value:  null</w:t>
      </w:r>
      <w:r>
        <w:br w:type="textWrapping"/>
      </w:r>
      <w:r>
        <w:t xml:space="preserve">  Source: </w:t>
      </w:r>
    </w:p>
    <w:p w14:paraId="5EE156E1">
      <w:r>
        <w:t>STUDY_DESIGN:</w:t>
      </w:r>
      <w:r>
        <w:br w:type="textWrapping"/>
      </w:r>
      <w:r>
        <w:t xml:space="preserve">  Value:  null</w:t>
      </w:r>
      <w:r>
        <w:br w:type="textWrapping"/>
      </w:r>
      <w:r>
        <w:t xml:space="preserve">  Source: </w:t>
      </w:r>
    </w:p>
    <w:p w14:paraId="58FD0636">
      <w:r>
        <w:t>PHASE:</w:t>
      </w:r>
      <w:r>
        <w:br w:type="textWrapping"/>
      </w:r>
      <w:r>
        <w:t xml:space="preserve">  Value:  null</w:t>
      </w:r>
      <w:r>
        <w:br w:type="textWrapping"/>
      </w:r>
      <w:r>
        <w:t xml:space="preserve">  Source: </w:t>
      </w:r>
    </w:p>
    <w:p w14:paraId="384B938E">
      <w:r>
        <w:t>PRIMARY_ENDPOINT:</w:t>
      </w:r>
      <w:r>
        <w:br w:type="textWrapping"/>
      </w:r>
      <w:r>
        <w:t xml:space="preserve">  Value:  null</w:t>
      </w:r>
      <w:r>
        <w:br w:type="textWrapping"/>
      </w:r>
      <w:r>
        <w:t xml:space="preserve">  Source: </w:t>
      </w:r>
    </w:p>
    <w:p w14:paraId="01FDBEA6">
      <w:r>
        <w:t>EFFICACY_RESULTS:</w:t>
      </w:r>
      <w:r>
        <w:br w:type="textWrapping"/>
      </w:r>
      <w:r>
        <w:t xml:space="preserve">  Value:  null</w:t>
      </w:r>
      <w:r>
        <w:br w:type="textWrapping"/>
      </w:r>
      <w:r>
        <w:t xml:space="preserve">  Source: </w:t>
      </w:r>
    </w:p>
    <w:p w14:paraId="1ABAA434">
      <w:r>
        <w:t>SAFETY_RESULTS:</w:t>
      </w:r>
      <w:r>
        <w:br w:type="textWrapping"/>
      </w:r>
      <w:r>
        <w:t xml:space="preserve">  Value:  null</w:t>
      </w:r>
      <w:r>
        <w:br w:type="textWrapping"/>
      </w:r>
      <w:r>
        <w:t xml:space="preserve">  Source: </w:t>
      </w:r>
    </w:p>
    <w:p w14:paraId="60052A1B">
      <w:pPr>
        <w:pStyle w:val="156"/>
      </w:pPr>
      <w:r>
        <w:t>Source ID: 40584741</w:t>
      </w:r>
    </w:p>
    <w:p w14:paraId="7556C306">
      <w:r>
        <w:t>SAMPLE_SIZE:</w:t>
      </w:r>
      <w:r>
        <w:br w:type="textWrapping"/>
      </w:r>
      <w:r>
        <w:t xml:space="preserve">  Value:  null</w:t>
      </w:r>
      <w:r>
        <w:br w:type="textWrapping"/>
      </w:r>
      <w:r>
        <w:t xml:space="preserve">  Source: null</w:t>
      </w:r>
    </w:p>
    <w:p w14:paraId="674A4DBF">
      <w:r>
        <w:t>STUDY_DESIGN:</w:t>
      </w:r>
      <w:r>
        <w:br w:type="textWrapping"/>
      </w:r>
      <w:r>
        <w:t xml:space="preserve">  Value:  null</w:t>
      </w:r>
      <w:r>
        <w:br w:type="textWrapping"/>
      </w:r>
      <w:r>
        <w:t xml:space="preserve">  Source: null</w:t>
      </w:r>
    </w:p>
    <w:p w14:paraId="5AC97E19">
      <w:r>
        <w:t>PHASE:</w:t>
      </w:r>
      <w:r>
        <w:br w:type="textWrapping"/>
      </w:r>
      <w:r>
        <w:t xml:space="preserve">  Value:  null</w:t>
      </w:r>
      <w:r>
        <w:br w:type="textWrapping"/>
      </w:r>
      <w:r>
        <w:t xml:space="preserve">  Source: null</w:t>
      </w:r>
    </w:p>
    <w:p w14:paraId="35059E21">
      <w:r>
        <w:t>PRIMARY_ENDPOINT:</w:t>
      </w:r>
      <w:r>
        <w:br w:type="textWrapping"/>
      </w:r>
      <w:r>
        <w:t xml:space="preserve">  Value:  null</w:t>
      </w:r>
      <w:r>
        <w:br w:type="textWrapping"/>
      </w:r>
      <w:r>
        <w:t xml:space="preserve">  Source: null</w:t>
      </w:r>
    </w:p>
    <w:p w14:paraId="20385DDF">
      <w:r>
        <w:t>EFFICACY_RESULTS:</w:t>
      </w:r>
      <w:r>
        <w:br w:type="textWrapping"/>
      </w:r>
      <w:r>
        <w:t xml:space="preserve">  Value:  null</w:t>
      </w:r>
      <w:r>
        <w:br w:type="textWrapping"/>
      </w:r>
      <w:r>
        <w:t xml:space="preserve">  Source: null</w:t>
      </w:r>
    </w:p>
    <w:p w14:paraId="6CAB74A6">
      <w:r>
        <w:t>SAFETY_RESULTS:</w:t>
      </w:r>
      <w:r>
        <w:br w:type="textWrapping"/>
      </w:r>
      <w:r>
        <w:t xml:space="preserve">  Value:  null</w:t>
      </w:r>
      <w:r>
        <w:br w:type="textWrapping"/>
      </w:r>
      <w:r>
        <w:t xml:space="preserve">  Source: null</w:t>
      </w:r>
    </w:p>
    <w:p w14:paraId="1B489732">
      <w:pPr>
        <w:pStyle w:val="156"/>
      </w:pPr>
      <w:r>
        <w:t>Source ID: 40517107</w:t>
      </w:r>
    </w:p>
    <w:p w14:paraId="00AC847B">
      <w:r>
        <w:t>SAMPLE_SIZE:</w:t>
      </w:r>
      <w:r>
        <w:br w:type="textWrapping"/>
      </w:r>
      <w:r>
        <w:t xml:space="preserve">  Value:  53.4 % (95 % CI: 44-62.8 %) of CD and 49.0 % (95 % CI: 39.1-59.0 %) of UC patients</w:t>
      </w:r>
      <w:r>
        <w:br w:type="textWrapping"/>
      </w:r>
      <w:r>
        <w:t xml:space="preserve">  Source: SDC was identified in 53.4 % (95 % CI: 44-62.8 %) of CD and 49.0 % (95 % CI: 39.1-59.0 %) of UC patients.</w:t>
      </w:r>
    </w:p>
    <w:p w14:paraId="6A99EBDC">
      <w:r>
        <w:t>STUDY_DESIGN:</w:t>
      </w:r>
      <w:r>
        <w:br w:type="textWrapping"/>
      </w:r>
      <w:r>
        <w:t xml:space="preserve">  Value:  global real-world study</w:t>
      </w:r>
      <w:r>
        <w:br w:type="textWrapping"/>
      </w:r>
      <w:r>
        <w:t xml:space="preserve">  Source: IBD-PODCAST was a global real-world study to assess suboptimal disease control (SDC) in patients with Crohn's disease (CD) and ulcerative colitis (UC) using STRIDE-II criteria.</w:t>
      </w:r>
    </w:p>
    <w:p w14:paraId="506C9CFC">
      <w:r>
        <w:t>PHASE:</w:t>
      </w:r>
      <w:r>
        <w:br w:type="textWrapping"/>
      </w:r>
      <w:r>
        <w:t xml:space="preserve">  Value:  null</w:t>
      </w:r>
      <w:r>
        <w:br w:type="textWrapping"/>
      </w:r>
      <w:r>
        <w:t xml:space="preserve">  Source: </w:t>
      </w:r>
    </w:p>
    <w:p w14:paraId="10B44C46">
      <w:r>
        <w:t>PRIMARY_ENDPOINT:</w:t>
      </w:r>
      <w:r>
        <w:br w:type="textWrapping"/>
      </w:r>
      <w:r>
        <w:t xml:space="preserve">  Value:  null</w:t>
      </w:r>
      <w:r>
        <w:br w:type="textWrapping"/>
      </w:r>
      <w:r>
        <w:t xml:space="preserve">  Source: </w:t>
      </w:r>
    </w:p>
    <w:p w14:paraId="45AFDE55">
      <w:r>
        <w:t>EFFICACY_RESULTS:</w:t>
      </w:r>
      <w:r>
        <w:br w:type="textWrapping"/>
      </w:r>
      <w:r>
        <w:t xml:space="preserve">  Value:  Those with SDC had lower short IBD questionnaire scores (45.9 ± 12.0) compared to optimal disease control (ODC) patients (57.4 ± 9.9). Extraintestinal manifestations and bowel urgency were more frequent in SDC patients.</w:t>
      </w:r>
      <w:r>
        <w:br w:type="textWrapping"/>
      </w:r>
      <w:r>
        <w:t xml:space="preserve">  Source: Those with SDC had lower short IBD questionnaire scores (45.9 ± 12.0) compared to optimal disease control (ODC) patients (57.4 ± 9.9). Extraintestinal manifestations and bowel urgency were more frequent in SDC patients.</w:t>
      </w:r>
    </w:p>
    <w:p w14:paraId="51EA7DDC">
      <w:r>
        <w:t>SAFETY_RESULTS:</w:t>
      </w:r>
      <w:r>
        <w:br w:type="textWrapping"/>
      </w:r>
      <w:r>
        <w:t xml:space="preserve">  Value:  null</w:t>
      </w:r>
      <w:r>
        <w:br w:type="textWrapping"/>
      </w:r>
      <w:r>
        <w:t xml:space="preserve">  Source: </w:t>
      </w:r>
    </w:p>
    <w:p w14:paraId="790ADEF7">
      <w:pPr>
        <w:pStyle w:val="156"/>
      </w:pPr>
      <w:r>
        <w:t>Source ID: 40462892</w:t>
      </w:r>
    </w:p>
    <w:p w14:paraId="65D9F4B1">
      <w:r>
        <w:t>SAMPLE_SIZE:</w:t>
      </w:r>
      <w:r>
        <w:br w:type="textWrapping"/>
      </w:r>
      <w:r>
        <w:t xml:space="preserve">  Value:  null</w:t>
      </w:r>
      <w:r>
        <w:br w:type="textWrapping"/>
      </w:r>
      <w:r>
        <w:t xml:space="preserve">  Source: null</w:t>
      </w:r>
    </w:p>
    <w:p w14:paraId="179EB9EB">
      <w:r>
        <w:t>STUDY_DESIGN:</w:t>
      </w:r>
      <w:r>
        <w:br w:type="textWrapping"/>
      </w:r>
      <w:r>
        <w:t xml:space="preserve">  Value:  null</w:t>
      </w:r>
      <w:r>
        <w:br w:type="textWrapping"/>
      </w:r>
      <w:r>
        <w:t xml:space="preserve">  Source: null</w:t>
      </w:r>
    </w:p>
    <w:p w14:paraId="545565FA">
      <w:r>
        <w:t>PHASE:</w:t>
      </w:r>
      <w:r>
        <w:br w:type="textWrapping"/>
      </w:r>
      <w:r>
        <w:t xml:space="preserve">  Value:  null</w:t>
      </w:r>
      <w:r>
        <w:br w:type="textWrapping"/>
      </w:r>
      <w:r>
        <w:t xml:space="preserve">  Source: null</w:t>
      </w:r>
    </w:p>
    <w:p w14:paraId="6637C4B2">
      <w:r>
        <w:t>PRIMARY_ENDPOINT:</w:t>
      </w:r>
      <w:r>
        <w:br w:type="textWrapping"/>
      </w:r>
      <w:r>
        <w:t xml:space="preserve">  Value:  null</w:t>
      </w:r>
      <w:r>
        <w:br w:type="textWrapping"/>
      </w:r>
      <w:r>
        <w:t xml:space="preserve">  Source: null</w:t>
      </w:r>
    </w:p>
    <w:p w14:paraId="1092477B">
      <w:r>
        <w:t>EFFICACY_RESULTS:</w:t>
      </w:r>
      <w:r>
        <w:br w:type="textWrapping"/>
      </w:r>
      <w:r>
        <w:t xml:space="preserve">  Value:  null</w:t>
      </w:r>
      <w:r>
        <w:br w:type="textWrapping"/>
      </w:r>
      <w:r>
        <w:t xml:space="preserve">  Source: null</w:t>
      </w:r>
    </w:p>
    <w:p w14:paraId="3D41A037">
      <w:r>
        <w:t>SAFETY_RESULTS:</w:t>
      </w:r>
      <w:r>
        <w:br w:type="textWrapping"/>
      </w:r>
      <w:r>
        <w:t xml:space="preserve">  Value:  null</w:t>
      </w:r>
      <w:r>
        <w:br w:type="textWrapping"/>
      </w:r>
      <w:r>
        <w:t xml:space="preserve">  Source: null</w:t>
      </w:r>
    </w:p>
    <w:p w14:paraId="6CF3ADB3">
      <w:pPr>
        <w:pStyle w:val="156"/>
      </w:pPr>
      <w:r>
        <w:t>Source ID: 40355614</w:t>
      </w:r>
    </w:p>
    <w:p w14:paraId="60F65A4B">
      <w:r>
        <w:t>SAMPLE_SIZE:</w:t>
      </w:r>
      <w:r>
        <w:br w:type="textWrapping"/>
      </w:r>
      <w:r>
        <w:t xml:space="preserve">  Value:  1,087</w:t>
      </w:r>
      <w:r>
        <w:br w:type="textWrapping"/>
      </w:r>
      <w:r>
        <w:t xml:space="preserve">  Source: Of 1,087 screened participants, 477 formed the efficacy analysis population.</w:t>
      </w:r>
    </w:p>
    <w:p w14:paraId="548973E8">
      <w:r>
        <w:t>STUDY_DESIGN:</w:t>
      </w:r>
      <w:r>
        <w:br w:type="textWrapping"/>
      </w:r>
      <w:r>
        <w:t xml:space="preserve">  Value:  placebo-controlled, double-blind crossover trial</w:t>
      </w:r>
      <w:r>
        <w:br w:type="textWrapping"/>
      </w:r>
      <w:r>
        <w:t xml:space="preserve">  Source: PRODROME was a phase 3, placebo-controlled, double-blind crossover trial</w:t>
      </w:r>
    </w:p>
    <w:p w14:paraId="0D6E6BC5">
      <w:r>
        <w:t>PHASE:</w:t>
      </w:r>
      <w:r>
        <w:br w:type="textWrapping"/>
      </w:r>
      <w:r>
        <w:t xml:space="preserve">  Value:  3</w:t>
      </w:r>
      <w:r>
        <w:br w:type="textWrapping"/>
      </w:r>
      <w:r>
        <w:t xml:space="preserve">  Source: PRODROME was a phase 3, placebo-controlled, double-blind crossover trial</w:t>
      </w:r>
    </w:p>
    <w:p w14:paraId="789389B1">
      <w:r>
        <w:t>PRIMARY_ENDPOINT:</w:t>
      </w:r>
      <w:r>
        <w:br w:type="textWrapping"/>
      </w:r>
      <w:r>
        <w:t xml:space="preserve">  Value:  prevented development of headache and resolved prodromal symptoms</w:t>
      </w:r>
      <w:r>
        <w:br w:type="textWrapping"/>
      </w:r>
      <w:r>
        <w:t xml:space="preserve">  Source: evaluating whether ubrogepant 100 mg, a calcitonin gene-related peptide receptor antagonist, dosed during the premonitory (prodromal) phase of migraine,</w:t>
      </w:r>
    </w:p>
    <w:p w14:paraId="617A8AFD">
      <w:r>
        <w:t>EFFICACY_RESULTS:</w:t>
      </w:r>
      <w:r>
        <w:br w:type="textWrapping"/>
      </w:r>
      <w:r>
        <w:t xml:space="preserve">  Value:  absence of photophobia in 19.5% and 12.5% of ubrogepant- and placebo-treated events, absence of fatigue occurred in 27.3% and 16.8%, absence of neck pain in 28.9% and 15.9%, absence of phonophobia in 50.7% and 35.8%, absence of dizziness in 88.5% and 82.3%, absence of difficulty concentrating occurred in 8.7% and 2.1%, absence of difficulty thinking occurred in 56.9% and 41.8% of events</w:t>
      </w:r>
      <w:r>
        <w:br w:type="textWrapping"/>
      </w:r>
      <w:r>
        <w:t xml:space="preserve">  Source: Outcomes were collected across 48 h showing, for example, at 2 h post-dose, absence of photophobia in 19.5% and 12.5% of ubrogepant- and placebo-treated events, at 3 h post-dose, absence of fatigue occurred in 27.3% and 16.8% (OR = 1.85 (95% CI = 1.17-2.92)) and absence of neck pain in 28.9% and 15.9% (OR = 2.04 (95% CI = 1.25-3.32)) of events; at 4 h post-dose, absence of phonophobia in 50.7% and 35.8% (OR = 1.97 (95% CI = 1.38-2.80)) of events; and at 24 h post-dose, absence of dizziness in 88.5% and 82.3% (OR = 1.82 (95% CI = 1.00-3.30)) of events. At 1 h and 6 h post-dose, respectively, absence of difficulty concentrating occurred in 8.7% and 2.1% (OR = 4.26 (95% CI = 1.17-15.54)) and absence of difficulty thinking occurred in 56.9% and 41.8% (OR = 2.05 (95% CI = 1.14-3.71)) of events.</w:t>
      </w:r>
    </w:p>
    <w:p w14:paraId="7856B112">
      <w:r>
        <w:t>SAFETY_RESULTS:</w:t>
      </w:r>
      <w:r>
        <w:br w:type="textWrapping"/>
      </w:r>
      <w:r>
        <w:t xml:space="preserve">  Value:  null</w:t>
      </w:r>
      <w:r>
        <w:br w:type="textWrapping"/>
      </w:r>
      <w:r>
        <w:t xml:space="preserve">  Source: </w:t>
      </w:r>
    </w:p>
    <w:p w14:paraId="0B56187A">
      <w:pPr>
        <w:pStyle w:val="156"/>
      </w:pPr>
      <w:r>
        <w:t>Source ID: 40347517</w:t>
      </w:r>
    </w:p>
    <w:p w14:paraId="3424181C">
      <w:r>
        <w:t>SAMPLE_SIZE:</w:t>
      </w:r>
      <w:r>
        <w:br w:type="textWrapping"/>
      </w:r>
      <w:r>
        <w:t xml:space="preserve">  Value:  null</w:t>
      </w:r>
      <w:r>
        <w:br w:type="textWrapping"/>
      </w:r>
      <w:r>
        <w:t xml:space="preserve">  Source: </w:t>
      </w:r>
    </w:p>
    <w:p w14:paraId="0B3DF15D">
      <w:r>
        <w:t>STUDY_DESIGN:</w:t>
      </w:r>
      <w:r>
        <w:br w:type="textWrapping"/>
      </w:r>
      <w:r>
        <w:t xml:space="preserve">  Value:  null</w:t>
      </w:r>
      <w:r>
        <w:br w:type="textWrapping"/>
      </w:r>
      <w:r>
        <w:t xml:space="preserve">  Source: </w:t>
      </w:r>
    </w:p>
    <w:p w14:paraId="352DC2D8">
      <w:r>
        <w:t>PHASE:</w:t>
      </w:r>
      <w:r>
        <w:br w:type="textWrapping"/>
      </w:r>
      <w:r>
        <w:t xml:space="preserve">  Value:  null</w:t>
      </w:r>
      <w:r>
        <w:br w:type="textWrapping"/>
      </w:r>
      <w:r>
        <w:t xml:space="preserve">  Source: </w:t>
      </w:r>
    </w:p>
    <w:p w14:paraId="00DD1E8D">
      <w:r>
        <w:t>PRIMARY_ENDPOINT:</w:t>
      </w:r>
      <w:r>
        <w:br w:type="textWrapping"/>
      </w:r>
      <w:r>
        <w:t xml:space="preserve">  Value:  null</w:t>
      </w:r>
      <w:r>
        <w:br w:type="textWrapping"/>
      </w:r>
      <w:r>
        <w:t xml:space="preserve">  Source: </w:t>
      </w:r>
    </w:p>
    <w:p w14:paraId="687CFB9E">
      <w:r>
        <w:t>EFFICACY_RESULTS:</w:t>
      </w:r>
      <w:r>
        <w:br w:type="textWrapping"/>
      </w:r>
      <w:r>
        <w:t xml:space="preserve">  Value:  null</w:t>
      </w:r>
      <w:r>
        <w:br w:type="textWrapping"/>
      </w:r>
      <w:r>
        <w:t xml:space="preserve">  Source: </w:t>
      </w:r>
    </w:p>
    <w:p w14:paraId="32EDB21B">
      <w:r>
        <w:t>SAFETY_RESULTS:</w:t>
      </w:r>
      <w:r>
        <w:br w:type="textWrapping"/>
      </w:r>
      <w:r>
        <w:t xml:space="preserve">  Value:  null</w:t>
      </w:r>
      <w:r>
        <w:br w:type="textWrapping"/>
      </w:r>
      <w:r>
        <w:t xml:space="preserve">  Source: </w:t>
      </w:r>
    </w:p>
    <w:p w14:paraId="76DBC3EC">
      <w:pPr>
        <w:pStyle w:val="156"/>
      </w:pPr>
      <w:r>
        <w:t>Source ID: 40313033</w:t>
      </w:r>
    </w:p>
    <w:p w14:paraId="25DAA8C6">
      <w:r>
        <w:t>SAMPLE_SIZE:</w:t>
      </w:r>
      <w:r>
        <w:br w:type="textWrapping"/>
      </w:r>
      <w:r>
        <w:t xml:space="preserve">  Value:  620 adults (118 healthy volunteers and 502 patients) across seven studies and 24 pediatric patients from one study.</w:t>
      </w:r>
      <w:r>
        <w:br w:type="textWrapping"/>
      </w:r>
      <w:r>
        <w:t xml:space="preserve">  Source: A Population Pharmacokinetic (PopPK) model for repotrectinib was developed using data from 620 adults (118 healthy volunteers and 502 patients) across seven studies and 24 pediatric patients from one study.</w:t>
      </w:r>
    </w:p>
    <w:p w14:paraId="17431C1A">
      <w:r>
        <w:t>STUDY_DESIGN:</w:t>
      </w:r>
      <w:r>
        <w:br w:type="textWrapping"/>
      </w:r>
      <w:r>
        <w:t xml:space="preserve">  Value:  Population Pharmacokinetic (PopPK) model</w:t>
      </w:r>
      <w:r>
        <w:br w:type="textWrapping"/>
      </w:r>
      <w:r>
        <w:t xml:space="preserve">  Source: A Population Pharmacokinetic (PopPK) model for repotrectinib was developed using data from 620 adults (118 healthy volunteers and 502 patients) across seven studies and 24 pediatric patients from one study.</w:t>
      </w:r>
    </w:p>
    <w:p w14:paraId="05FC1126">
      <w:r>
        <w:t>PHASE:</w:t>
      </w:r>
      <w:r>
        <w:br w:type="textWrapping"/>
      </w:r>
      <w:r>
        <w:t xml:space="preserve">  Value:  null</w:t>
      </w:r>
      <w:r>
        <w:br w:type="textWrapping"/>
      </w:r>
      <w:r>
        <w:t xml:space="preserve">  Source: </w:t>
      </w:r>
    </w:p>
    <w:p w14:paraId="44C24A26">
      <w:r>
        <w:t>PRIMARY_ENDPOINT:</w:t>
      </w:r>
      <w:r>
        <w:br w:type="textWrapping"/>
      </w:r>
      <w:r>
        <w:t xml:space="preserve">  Value:  null</w:t>
      </w:r>
      <w:r>
        <w:br w:type="textWrapping"/>
      </w:r>
      <w:r>
        <w:t xml:space="preserve">  Source: </w:t>
      </w:r>
    </w:p>
    <w:p w14:paraId="5A8875CA">
      <w:r>
        <w:t>EFFICACY_RESULTS:</w:t>
      </w:r>
      <w:r>
        <w:br w:type="textWrapping"/>
      </w:r>
      <w:r>
        <w:t xml:space="preserve">  Value:  null</w:t>
      </w:r>
      <w:r>
        <w:br w:type="textWrapping"/>
      </w:r>
      <w:r>
        <w:t xml:space="preserve">  Source: </w:t>
      </w:r>
    </w:p>
    <w:p w14:paraId="2183DA6F">
      <w:r>
        <w:t>SAFETY_RESULTS:</w:t>
      </w:r>
      <w:r>
        <w:br w:type="textWrapping"/>
      </w:r>
      <w:r>
        <w:t xml:space="preserve">  Value:  null</w:t>
      </w:r>
      <w:r>
        <w:br w:type="textWrapping"/>
      </w:r>
      <w:r>
        <w:t xml:space="preserve">  Source: </w:t>
      </w:r>
    </w:p>
    <w:p w14:paraId="0F3A738F">
      <w:pPr>
        <w:pStyle w:val="156"/>
      </w:pPr>
      <w:r>
        <w:t>Source ID: 40204952</w:t>
      </w:r>
    </w:p>
    <w:p w14:paraId="2264EA28">
      <w:r>
        <w:t>SAMPLE_SIZE:</w:t>
      </w:r>
      <w:r>
        <w:br w:type="textWrapping"/>
      </w:r>
      <w:r>
        <w:t xml:space="preserve">  Value:  null</w:t>
      </w:r>
      <w:r>
        <w:br w:type="textWrapping"/>
      </w:r>
      <w:r>
        <w:t xml:space="preserve">  Source: </w:t>
      </w:r>
    </w:p>
    <w:p w14:paraId="4C66917F">
      <w:r>
        <w:t>STUDY_DESIGN:</w:t>
      </w:r>
      <w:r>
        <w:br w:type="textWrapping"/>
      </w:r>
      <w:r>
        <w:t xml:space="preserve">  Value:  null</w:t>
      </w:r>
      <w:r>
        <w:br w:type="textWrapping"/>
      </w:r>
      <w:r>
        <w:t xml:space="preserve">  Source: </w:t>
      </w:r>
    </w:p>
    <w:p w14:paraId="46F910C2">
      <w:r>
        <w:t>PHASE:</w:t>
      </w:r>
      <w:r>
        <w:br w:type="textWrapping"/>
      </w:r>
      <w:r>
        <w:t xml:space="preserve">  Value:  null</w:t>
      </w:r>
      <w:r>
        <w:br w:type="textWrapping"/>
      </w:r>
      <w:r>
        <w:t xml:space="preserve">  Source: </w:t>
      </w:r>
    </w:p>
    <w:p w14:paraId="50D02858">
      <w:r>
        <w:t>PRIMARY_ENDPOINT:</w:t>
      </w:r>
      <w:r>
        <w:br w:type="textWrapping"/>
      </w:r>
      <w:r>
        <w:t xml:space="preserve">  Value:  null</w:t>
      </w:r>
      <w:r>
        <w:br w:type="textWrapping"/>
      </w:r>
      <w:r>
        <w:t xml:space="preserve">  Source: </w:t>
      </w:r>
    </w:p>
    <w:p w14:paraId="64153B04">
      <w:r>
        <w:t>EFFICACY_RESULTS:</w:t>
      </w:r>
      <w:r>
        <w:br w:type="textWrapping"/>
      </w:r>
      <w:r>
        <w:t xml:space="preserve">  Value:  null</w:t>
      </w:r>
      <w:r>
        <w:br w:type="textWrapping"/>
      </w:r>
      <w:r>
        <w:t xml:space="preserve">  Source: </w:t>
      </w:r>
    </w:p>
    <w:p w14:paraId="35594AD6">
      <w:r>
        <w:t>SAFETY_RESULTS:</w:t>
      </w:r>
      <w:r>
        <w:br w:type="textWrapping"/>
      </w:r>
      <w:r>
        <w:t xml:space="preserve">  Value:  null</w:t>
      </w:r>
      <w:r>
        <w:br w:type="textWrapping"/>
      </w:r>
      <w:r>
        <w:t xml:space="preserve">  Source: </w:t>
      </w:r>
    </w:p>
    <w:p w14:paraId="17F99E5B">
      <w:pPr>
        <w:pStyle w:val="156"/>
      </w:pPr>
      <w:r>
        <w:t>Source ID: 40062648</w:t>
      </w:r>
    </w:p>
    <w:p w14:paraId="17A5381F">
      <w:r>
        <w:t>SAMPLE_SIZE:</w:t>
      </w:r>
      <w:r>
        <w:br w:type="textWrapping"/>
      </w:r>
      <w:r>
        <w:t xml:space="preserve">  Value:  Thirty-one</w:t>
      </w:r>
      <w:r>
        <w:br w:type="textWrapping"/>
      </w:r>
      <w:r>
        <w:t xml:space="preserve">  Source: Thirty-one patients were treated and received venetoclax monotherapy (n = 1), venetoclax plus dexamethasone and/or vincristine and/or pegasparaginase (VXL; n = 20) or venetoclax plus cytarabine and/or etoposide and/or pegasparaginase (n = 10).</w:t>
      </w:r>
    </w:p>
    <w:p w14:paraId="7D908AC5">
      <w:r>
        <w:t>STUDY_DESIGN:</w:t>
      </w:r>
      <w:r>
        <w:br w:type="textWrapping"/>
      </w:r>
      <w:r>
        <w:t xml:space="preserve">  Value:  open-label, two-part, multicenter</w:t>
      </w:r>
      <w:r>
        <w:br w:type="textWrapping"/>
      </w:r>
      <w:r>
        <w:t xml:space="preserve">  Source: PROCEDURE: This phase 1, open-label, two-part, multicenter study evaluated venetoclax combined with chemotherapy in pediatric and adolescent/young adult patients (&lt;25 years of age) with relapsed/refractory ALL.</w:t>
      </w:r>
    </w:p>
    <w:p w14:paraId="22E00C9F">
      <w:r>
        <w:t>PHASE:</w:t>
      </w:r>
      <w:r>
        <w:br w:type="textWrapping"/>
      </w:r>
      <w:r>
        <w:t xml:space="preserve">  Value:  1</w:t>
      </w:r>
      <w:r>
        <w:br w:type="textWrapping"/>
      </w:r>
      <w:r>
        <w:t xml:space="preserve">  Source: PROCEDURE: This phase 1, open-label, two-part, multicenter study evaluated venetoclax combined with chemotherapy in pediatric and adolescent/young adult patients (&lt;25 years of age) with relapsed/refractory ALL.</w:t>
      </w:r>
    </w:p>
    <w:p w14:paraId="5CDC2801">
      <w:r>
        <w:t>PRIMARY_ENDPOINT:</w:t>
      </w:r>
      <w:r>
        <w:br w:type="textWrapping"/>
      </w:r>
      <w:r>
        <w:t xml:space="preserve">  Value:  null</w:t>
      </w:r>
      <w:r>
        <w:br w:type="textWrapping"/>
      </w:r>
      <w:r>
        <w:t xml:space="preserve">  Source: </w:t>
      </w:r>
    </w:p>
    <w:p w14:paraId="66687228">
      <w:r>
        <w:t>EFFICACY_RESULTS:</w:t>
      </w:r>
      <w:r>
        <w:br w:type="textWrapping"/>
      </w:r>
      <w:r>
        <w:t xml:space="preserve">  Value:  42% overall response rate, all responding patients achieving complete remission/complete remission with incomplete marrow recovery</w:t>
      </w:r>
      <w:r>
        <w:br w:type="textWrapping"/>
      </w:r>
      <w:r>
        <w:t xml:space="preserve">  Source: The overall response rate of treated patients was 42%, with all responding patients achieving complete remission/complete remission with incomplete marrow recovery.</w:t>
      </w:r>
    </w:p>
    <w:p w14:paraId="5E54A77A">
      <w:r>
        <w:t>SAFETY_RESULTS:</w:t>
      </w:r>
      <w:r>
        <w:br w:type="textWrapping"/>
      </w:r>
      <w:r>
        <w:t xml:space="preserve">  Value:  febrile neutropenia (55%), one fatal adverse event possibly related to venetoclax</w:t>
      </w:r>
      <w:r>
        <w:br w:type="textWrapping"/>
      </w:r>
      <w:r>
        <w:t xml:space="preserve">  Source: The most common grade 3/4 treatment-emergent adverse event was febrile neutropenia (55%). One fatal adverse event possibly related to venetoclax occurred.</w:t>
      </w:r>
    </w:p>
    <w:p w14:paraId="5F87B848">
      <w:pPr>
        <w:pStyle w:val="156"/>
      </w:pPr>
      <w:r>
        <w:t>Source ID: 40052724</w:t>
      </w:r>
    </w:p>
    <w:p w14:paraId="036F9942">
      <w:r>
        <w:t>SAMPLE_SIZE:</w:t>
      </w:r>
      <w:r>
        <w:br w:type="textWrapping"/>
      </w:r>
      <w:r>
        <w:t xml:space="preserve">  Value:  null</w:t>
      </w:r>
      <w:r>
        <w:br w:type="textWrapping"/>
      </w:r>
      <w:r>
        <w:t xml:space="preserve">  Source: null</w:t>
      </w:r>
    </w:p>
    <w:p w14:paraId="02F1E500">
      <w:r>
        <w:t>STUDY_DESIGN:</w:t>
      </w:r>
      <w:r>
        <w:br w:type="textWrapping"/>
      </w:r>
      <w:r>
        <w:t xml:space="preserve">  Value:  null</w:t>
      </w:r>
      <w:r>
        <w:br w:type="textWrapping"/>
      </w:r>
      <w:r>
        <w:t xml:space="preserve">  Source: null</w:t>
      </w:r>
    </w:p>
    <w:p w14:paraId="7736D174">
      <w:r>
        <w:t>PHASE:</w:t>
      </w:r>
      <w:r>
        <w:br w:type="textWrapping"/>
      </w:r>
      <w:r>
        <w:t xml:space="preserve">  Value:  null</w:t>
      </w:r>
      <w:r>
        <w:br w:type="textWrapping"/>
      </w:r>
      <w:r>
        <w:t xml:space="preserve">  Source: null</w:t>
      </w:r>
    </w:p>
    <w:p w14:paraId="1B49EFDB">
      <w:r>
        <w:t>PRIMARY_ENDPOINT:</w:t>
      </w:r>
      <w:r>
        <w:br w:type="textWrapping"/>
      </w:r>
      <w:r>
        <w:t xml:space="preserve">  Value:  null</w:t>
      </w:r>
      <w:r>
        <w:br w:type="textWrapping"/>
      </w:r>
      <w:r>
        <w:t xml:space="preserve">  Source: null</w:t>
      </w:r>
    </w:p>
    <w:p w14:paraId="0BDA0F1A">
      <w:r>
        <w:t>EFFICACY_RESULTS:</w:t>
      </w:r>
      <w:r>
        <w:br w:type="textWrapping"/>
      </w:r>
      <w:r>
        <w:t xml:space="preserve">  Value:  null</w:t>
      </w:r>
      <w:r>
        <w:br w:type="textWrapping"/>
      </w:r>
      <w:r>
        <w:t xml:space="preserve">  Source: null</w:t>
      </w:r>
    </w:p>
    <w:p w14:paraId="189AAAB4">
      <w:r>
        <w:t>SAFETY_RESULTS:</w:t>
      </w:r>
      <w:r>
        <w:br w:type="textWrapping"/>
      </w:r>
      <w:r>
        <w:t xml:space="preserve">  Value:  null</w:t>
      </w:r>
      <w:r>
        <w:br w:type="textWrapping"/>
      </w:r>
      <w:r>
        <w:t xml:space="preserve">  Source: null</w:t>
      </w:r>
    </w:p>
    <w:p w14:paraId="75354B93">
      <w:pPr>
        <w:pStyle w:val="3"/>
      </w:pPr>
      <w:r>
        <w:t>LLM Inferred Summaries</w:t>
      </w:r>
    </w:p>
    <w:p w14:paraId="73FF8988">
      <w:r>
        <w:t>**LLM inferred summary**</w:t>
      </w:r>
      <w:r>
        <w:br w:type="textWrapping"/>
      </w:r>
      <w:r>
        <w:br w:type="textWrapping"/>
      </w:r>
      <w:r>
        <w:t>A clinical trial investigated the effects of SFRP1 and DKK1 knockdown on human hair follicles (HFs) ex vivo. The results showed that SFRP1 knockdown prolonged the anagen phase, increased hair matrix keratinocyte proliferation, reduced apoptosis, and increased DKK1 levels. In contrast, DKK1 knockdown had no effect, and combined knockdown did not enhance the benefits of SFRP1 knockdown. These findings suggest potential therapeutic applications for SFRP1 in hair growth.</w:t>
      </w:r>
    </w:p>
    <w:p w14:paraId="71346595">
      <w:r>
        <w:t>**LLM inferred summary**</w:t>
      </w:r>
      <w:r>
        <w:br w:type="textWrapping"/>
      </w:r>
      <w:r>
        <w:br w:type="textWrapping"/>
      </w:r>
      <w:r>
        <w:t>A retrospective claims analysis of 887 Medicare patients with chronic migraine found that 8.7% of those treated with onabotulinumtoxinA and 18.3% of those treated with calcitonin gene-related peptide monoclonal antibodies switched to a different branded migraine preventive treatment within 12 months. This study aimed to investigate treatment switching and healthcare costs associated with these treatments. The analysis provides real-world evidence on the effectiveness and potential long-term implications of these treatments for chronic migraine patients.</w:t>
      </w:r>
    </w:p>
    <w:p w14:paraId="1AAAAADA">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67A8A8BE">
      <w:r>
        <w:t>**LLM inferred summary**</w:t>
      </w:r>
      <w:r>
        <w:br w:type="textWrapping"/>
      </w:r>
      <w:r>
        <w:br w:type="textWrapping"/>
      </w:r>
      <w:r>
        <w:t>A comprehensive RNA sequencing study of 718 subjects with moderate-to-severe chronic plaque psoriasis identified gene signatures associated with disease severity and body mass index (BMI). The study found that certain genotypes, such as HLA-DQA1*01 and HLA-DRB1*15, were positively associated with baseline psoriasis severity. Additionally, the study suggested that adalimumab, a TNF-inhibitor, had a greater systemic impact compared to ustekinumab, an IL-12/23-inhibitor, which is consistent with its side effect profile.</w:t>
      </w:r>
    </w:p>
    <w:p w14:paraId="1B983DE4">
      <w:r>
        <w:t>**LLM inferred summary**</w:t>
      </w:r>
      <w:r>
        <w:br w:type="textWrapping"/>
      </w:r>
      <w:r>
        <w:br w:type="textWrapping"/>
      </w:r>
      <w:r>
        <w:t>This clinical trial appears to be incomplete or missing key information, as all fields are listed as "null". As a result, it is not possible to determine the sample size, study design, phase, primary endpoint, efficacy results, or safety results of the trial. Further investigation or clarification is needed to understand the purpose and outcomes of this clinical trial.</w:t>
      </w:r>
    </w:p>
    <w:p w14:paraId="5BF15DDD">
      <w:r>
        <w:t>LLM inferred summary:</w:t>
      </w:r>
      <w:r>
        <w:br w:type="textWrapping"/>
      </w:r>
      <w:r>
        <w:br w:type="textWrapping"/>
      </w:r>
      <w:r>
        <w:t>This clinical trial appears to be incomplete or missing key information, as all fields are listed as "null" with no source text provided. As a result, it is not possible to determine the sample size, study design, phase, primary endpoint, efficacy results, or safety results of the trial. Further investigation or additional data would be required to understand the purpose and outcomes of this clinical trial.</w:t>
      </w:r>
    </w:p>
    <w:p w14:paraId="629498FC">
      <w:r>
        <w:t>**LLM inferred summary**</w:t>
      </w:r>
      <w:r>
        <w:br w:type="textWrapping"/>
      </w:r>
      <w:r>
        <w:br w:type="textWrapping"/>
      </w:r>
      <w:r>
        <w:t>This clinical trial appears to be incomplete or missing key information, as all fields are listed as "null". As a result, it is not possible to determine the sample size, study design, phase, primary endpoint, efficacy results, or safety results of the trial. Further investigation or additional data would be required to understand the purpose and outcomes of this clinical trial.</w:t>
      </w:r>
    </w:p>
    <w:p w14:paraId="3A544EFD">
      <w:r>
        <w:t>LLM inferred summary:</w:t>
      </w:r>
      <w:r>
        <w:br w:type="textWrapping"/>
      </w:r>
      <w:r>
        <w:br w:type="textWrapping"/>
      </w:r>
      <w:r>
        <w:t>This clinical trial record appears to be incomplete or missing key information, as all fields are listed as "null" with no corresponding source text. As a result, it is not possible to determine the study's sample size, design, phase, primary endpoint, efficacy results, or safety results. Further investigation or additional data would be required to understand the trial's purpose and outcomes.</w:t>
      </w:r>
    </w:p>
    <w:p w14:paraId="2EC0D513">
      <w:r>
        <w:t>**LLM inferred summary**</w:t>
      </w:r>
      <w:r>
        <w:br w:type="textWrapping"/>
      </w:r>
      <w:r>
        <w:br w:type="textWrapping"/>
      </w:r>
      <w:r>
        <w:t>A clinical trial involving the compound RO4938581, a GABAA-β5 negative allosteric modulator, showed promising results in rescuing behavioral and EEG phenotypes of a mouse model of Dup15q syndrome. The trial's efficacy results suggest potential therapeutic benefits for this condition. However, the trial's sample size, study design, phase, and safety results are not specified in the provided record. Further information is needed to fully understand the trial's outcomes and implications.</w:t>
      </w:r>
    </w:p>
    <w:p w14:paraId="59A29906">
      <w:r>
        <w:t>**LLM inferred summary**</w:t>
      </w:r>
      <w:r>
        <w:br w:type="textWrapping"/>
      </w:r>
      <w:r>
        <w:br w:type="textWrapping"/>
      </w:r>
      <w:r>
        <w:t>A multicentric, prospective, non-interventional study involving 93 patients in France from May 2020 to July 2022 evaluated the efficacy and safety of a treatment. The results showed that after initiating the treatment, all but two patients achieved sustained virological response 12 (SVR 12) and maintained a virological response six months later. The treatment was found to be safe, with no adverse events reported at a frequency greater than 3%. The study suggests that the treatment is effective in achieving SVR 12 and maintaining virological response in patients.</w:t>
      </w:r>
    </w:p>
    <w:p w14:paraId="47983381">
      <w:r>
        <w:t>**LLM inferred summary**</w:t>
      </w:r>
      <w:r>
        <w:br w:type="textWrapping"/>
      </w:r>
      <w:r>
        <w:br w:type="textWrapping"/>
      </w:r>
      <w:r>
        <w:t>A clinical trial was conducted to evaluate the efficacy of the tauX machine learning framework in refining gene expression features and improving the predictive performance of RNA-sequencing data. The results showed a significant improvement in predictive performance using a large database of synthetic gene expression profiles. The study likely focused on the development and validation of the tauX framework, but details on the study design, sample size, and phase are not available. The findings suggest potential applications of the tauX framework in improving RNA-sequencing data analysis.</w:t>
      </w:r>
    </w:p>
    <w:p w14:paraId="05A9A6CB">
      <w:r>
        <w:t>**LLM inferred summary**</w:t>
      </w:r>
      <w:r>
        <w:br w:type="textWrapping"/>
      </w:r>
      <w:r>
        <w:br w:type="textWrapping"/>
      </w:r>
      <w:r>
        <w:t>A phase III randomized, open-label clinical trial (NCT03539744) compared the efficacy and safety of venetoclax-dexamethasone and pomalidomide-dexamethasone in patients. The results showed that venetoclax-dexamethasone significantly improved progression-free survival (PFS) with a median of 9.9 months compared to 5.8 months with pomalidomide-dexamethasone. Additionally, venetoclax-dexamethasone had a lower rate of grade 3 or higher treatment-emergent adverse events (67%) compared to pomalidomide-dexamethasone (83%). This suggests that venetoclax-dexamethasone may be a more effective and safer treatment option for patients.</w:t>
      </w:r>
    </w:p>
    <w:p w14:paraId="31B545C8">
      <w:r>
        <w:t>**LLM inferred summary**</w:t>
      </w:r>
      <w:r>
        <w:br w:type="textWrapping"/>
      </w:r>
      <w:r>
        <w:br w:type="textWrapping"/>
      </w:r>
      <w:r>
        <w:t>A nonclinical toxicity study involving 24 AAV gene therapy programs across 13 companies found that 87.5% of programs that completed a toxicity assessment in a 6-month long-term chronic study were sufficient to characterize the toxicology profile. This suggests that shorter study durations may be effective in assessing the safety of AAV gene therapies. The study's findings have implications for the development of AAV gene therapies, potentially streamlining the testing process.</w:t>
      </w:r>
    </w:p>
    <w:p w14:paraId="19779977">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7D50B9FB">
      <w:r>
        <w:t>**LLM inferred summary**</w:t>
      </w:r>
      <w:r>
        <w:br w:type="textWrapping"/>
      </w:r>
      <w:r>
        <w:br w:type="textWrapping"/>
      </w:r>
      <w:r>
        <w:t>Researchers conducted a high-throughput screening of over 900,000 small molecules against the SARS-CoV-2 RdRp, identifying two potent non-nucleoside compounds with activity against the virus. This study utilized a robust PicoGreen assay to facilitate the screening process. The findings of this study could potentially lead to the development of new treatments for COVID-19.</w:t>
      </w:r>
    </w:p>
    <w:p w14:paraId="25C1EB5F">
      <w:r>
        <w:t>**LLM inferred summary**</w:t>
      </w:r>
      <w:r>
        <w:br w:type="textWrapping"/>
      </w:r>
      <w:r>
        <w:br w:type="textWrapping"/>
      </w:r>
      <w:r>
        <w:t>A clinical trial evaluating the efficacy of atogepant in patients with episodic or chronic migraine (EM/CM) was conducted across multiple studies, including one phase 2b/3 and three phase 3 trials. The results showed that atogepant's maximal effect was achieved in patients with effective concentrations to inhibit the calcitonin gene-peptide receptor by 90%, and that patients who had failed conventional oral migraine preventatives may require a longer treatment period to reach this effect. The study also found that atogepant dosages for EM/CM achieved effective concentrations at a 10mg once-daily regimen. Overall, the trial supported the selection of atogepant dosages for migraine prevention.</w:t>
      </w:r>
    </w:p>
    <w:p w14:paraId="66B33A89">
      <w:r>
        <w:t>**LLM inferred summary**</w:t>
      </w:r>
      <w:r>
        <w:br w:type="textWrapping"/>
      </w:r>
      <w:r>
        <w:br w:type="textWrapping"/>
      </w:r>
      <w:r>
        <w:t>A cohort study of 139 patients with acute myeloid leukemia (AML) found that patients with concurrent NPM1 and FLT3-ITD/RAS variants responded well to the treatment combination of LDAC plus venetoclax, with a high complete remission rate and median overall survival of 29.67 months. In contrast, patients with complex karyotype and/or TP53 mutation had poor clinical outcomes, with a low complete remission rate and short median overall survival. The study suggests that these genetic variants may be useful in predicting treatment response in AML patients. The combination of LDAC and venetoclax appears to be a promising treatment option for AML patients with specific genetic profiles.</w:t>
      </w:r>
    </w:p>
    <w:p w14:paraId="1E8A01FB">
      <w:r>
        <w:t>**LLM inferred summary**</w:t>
      </w:r>
      <w:r>
        <w:br w:type="textWrapping"/>
      </w:r>
      <w:r>
        <w:br w:type="textWrapping"/>
      </w:r>
      <w:r>
        <w:t>A prospective, longitudinal study of 211 adult participants who switched from oral triptans to ubrogepant found that at Day 30, a significantly greater proportion of the ubrogepant cohort reported satisfaction with treating pain associated with migraine and alleviating their most bothersome symptom compared to those who switched triptans. The study, which was conducted in real-world settings, suggests that ubrogepant may be a more effective treatment option for migraine pain. The results of this study could have implications for the development of new treatments for migraine pain.</w:t>
      </w:r>
    </w:p>
    <w:p w14:paraId="40B46138">
      <w:r>
        <w:t>**LLM inferred summary**</w:t>
      </w:r>
      <w:r>
        <w:br w:type="textWrapping"/>
      </w:r>
      <w:r>
        <w:br w:type="textWrapping"/>
      </w:r>
      <w:r>
        <w:t>A retrospective analysis of 305 patients with non-squamous NSCLC found that 25% of tissue samples had c-Met protein overexpression (OE). This biomarker was associated with poor prognosis, with a 2.04-fold increased risk of death. The study also observed a correlation between c-Met protein OE and MET mRNA levels, with an area under the concentration-time curve of 0.738 and 0.736 in MET OE and MET high OE, respectively.</w:t>
      </w:r>
    </w:p>
    <w:p w14:paraId="1CE8270A">
      <w:r>
        <w:t>**LLM inferred summary**</w:t>
      </w:r>
      <w:r>
        <w:br w:type="textWrapping"/>
      </w:r>
      <w:r>
        <w:br w:type="textWrapping"/>
      </w:r>
      <w:r>
        <w:t>A clinical trial involving Selinexor has shown promising results, demonstrating efficacy in DCC-MBM models with low toxicity. The study suggests a therapeutic window for clinically applied doses, indicating potential therapeutic benefits. However, the trial's sample size, study design, phase, and primary endpoint are unknown.</w:t>
      </w:r>
    </w:p>
    <w:p w14:paraId="59D88479">
      <w:r>
        <w:t>**LLM inferred summary**</w:t>
      </w:r>
      <w:r>
        <w:br w:type="textWrapping"/>
      </w:r>
      <w:r>
        <w:br w:type="textWrapping"/>
      </w:r>
      <w:r>
        <w:t>This clinical trial appears to be incomplete or missing key information, as all fields are listed as "null". As a result, it is not possible to determine the sample size, study design, phase, primary endpoint, efficacy results, or safety results of the trial. Further investigation or clarification is needed to understand the purpose and outcomes of this clinical trial.</w:t>
      </w:r>
    </w:p>
    <w:p w14:paraId="67B7FBA8">
      <w:r>
        <w:t>**LLM inferred summary**</w:t>
      </w:r>
      <w:r>
        <w:br w:type="textWrapping"/>
      </w:r>
      <w:r>
        <w:br w:type="textWrapping"/>
      </w:r>
      <w:r>
        <w:t>A randomized, placebo-controlled phase 2 clinical trial is currently underway to evaluate the efficacy of a treatment for HIV-1. The primary goal of the trial is to determine the proportion of participants who achieve viral control without restarting antiretroviral therapy (ART) at week 24. The trial aims to assess the safety and efficacy of the treatment, although specific results are not provided in the given record. The trial's design suggests it is a proof-of-concept study, likely intended to gather preliminary data on the treatment's effectiveness.</w:t>
      </w:r>
    </w:p>
    <w:p w14:paraId="0212F41D">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6C05027E">
      <w:r>
        <w:t>**LLM inferred summary**</w:t>
      </w:r>
      <w:r>
        <w:br w:type="textWrapping"/>
      </w:r>
      <w:r>
        <w:br w:type="textWrapping"/>
      </w:r>
      <w:r>
        <w:t>A clinical trial investigated the effects of deleting Tak1 in tumor cells, which led to impaired tumor growth and enhanced anti-tumor immunity. The results showed that this approach, combined with immunotherapy, resulted in durable anti-tumor memory dependent on CD8 T cells and intact TNF-alpha signaling. This suggests a potential new strategy for cancer treatment. The trial's findings indicate that compromising TAK1 function within tumor cells can leverage the cytotoxic capacity of TNF to generate deeper and more durable anti-tumor immune responses.</w:t>
      </w:r>
    </w:p>
    <w:p w14:paraId="7C9431C2">
      <w:r>
        <w:t>**LLM inferred summary**</w:t>
      </w:r>
      <w:r>
        <w:br w:type="textWrapping"/>
      </w:r>
      <w:r>
        <w:br w:type="textWrapping"/>
      </w:r>
      <w:r>
        <w:t>A clinical trial was conducted to evaluate the efficacy and safety of an indole-amine compound in treating tauopathies. The results showed that the compound effectively cleared tau aggregates in two human tauopathy models, but also induced mild endoplasmic reticulum stress responses. The study employed an integrated chemoproteomic phenotypic strategy to identify druggable targets and corresponding chemical probes. The findings suggest potential therapeutic applications for the compound in treating tauopathies.</w:t>
      </w:r>
    </w:p>
    <w:p w14:paraId="660C0130">
      <w:r>
        <w:t>LLM inferred summary:</w:t>
      </w:r>
      <w:r>
        <w:br w:type="textWrapping"/>
      </w:r>
      <w:r>
        <w:br w:type="textWrapping"/>
      </w:r>
      <w:r>
        <w:t>This clinical trial appears to be incomplete or missing key information, as all fields are listed as "null" with no source text provided. As a result, it is not possible to determine the sample size, study design, phase, primary endpoint, efficacy results, or safety results of the trial. Further investigation or additional data would be required to understand the purpose and outcomes of this clinical trial.</w:t>
      </w:r>
    </w:p>
    <w:p w14:paraId="773782CE">
      <w:r>
        <w:t>**LLM inferred summary**</w:t>
      </w:r>
      <w:r>
        <w:br w:type="textWrapping"/>
      </w:r>
      <w:r>
        <w:br w:type="textWrapping"/>
      </w:r>
      <w:r>
        <w:t>A large observational study analyzed data from 46.6 million individuals tested for HCV antibody between 2014 and 2021. The study found that approximately 4.8% of those tested were positive for HCV antibody, and among those who were viremic, an estimated 96% were cured after treatment. This study likely aimed to understand the prevalence and treatment outcomes of HCV infection in a large population. The study's findings could inform public health strategies and treatment guidelines for HCV.</w:t>
      </w:r>
    </w:p>
    <w:p w14:paraId="466AC724">
      <w:r>
        <w:t>LLM inferred summary:</w:t>
      </w:r>
      <w:r>
        <w:br w:type="textWrapping"/>
      </w:r>
      <w:r>
        <w:br w:type="textWrapping"/>
      </w:r>
      <w:r>
        <w:t>This clinical trial record appears to be incomplete or missing key information, as all fields are listed as "null" with no corresponding source text. As a result, it is not possible to determine the study's sample size, design, phase, primary endpoint, efficacy results, or safety results. Further investigation or additional data would be required to understand the trial's purpose and outcomes.</w:t>
      </w:r>
    </w:p>
    <w:p w14:paraId="5C15A6B8">
      <w:r>
        <w:t>**LLM inferred summary**</w:t>
      </w:r>
      <w:r>
        <w:br w:type="textWrapping"/>
      </w:r>
      <w:r>
        <w:br w:type="textWrapping"/>
      </w:r>
      <w:r>
        <w:t>A clinical trial investigated the effects of BoNT/A on human DRG neurons. The results showed that BoNT/A disrupted SNARE protein complexes, leading to impaired vesicle fusion and reduced neurotransmitter release. This suggests a novel mechanism through which BoNT/A regulates neurotransmission. The trial's findings may have implications for the development of new treatments.</w:t>
      </w:r>
    </w:p>
    <w:p w14:paraId="4FAB76C9">
      <w:r>
        <w:t>**LLM inferred summary**</w:t>
      </w:r>
      <w:r>
        <w:br w:type="textWrapping"/>
      </w:r>
      <w:r>
        <w:br w:type="textWrapping"/>
      </w:r>
      <w:r>
        <w:t>A retrospective cohort study analyzed health insurance records from over 16,000 Japanese patients who started migraine prevention treatments between April 2021 and January 2024. The study found that traditional oral medications had poor long-term adherence, with only 22% of patients still taking them after a year, while newer injectable treatments showed better initial results but also declined significantly to 37% after a year. This suggests that both types of treatments may have limitations in maintaining patient adherence. The study's findings could have implications for the development of more effective migraine prevention treatments.</w:t>
      </w:r>
    </w:p>
    <w:p w14:paraId="650F5DD5">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13AA5006">
      <w:r>
        <w:t>**LLM inferred summary**</w:t>
      </w:r>
      <w:r>
        <w:br w:type="textWrapping"/>
      </w:r>
      <w:r>
        <w:br w:type="textWrapping"/>
      </w:r>
      <w:r>
        <w:t>A randomized clinical trial involving 32 adult mice was conducted to assess the efficacy of atogepant, a calcitonin gene-related peptide receptor antagonist, in alleviating spreading depolarization-induced pain and anxiety behavior. The results showed that oral atogepant significantly alleviated periorbital allodynia-like behavior and abolished facial grimace in mice subjected to spreading depolarization. However, atogepant did not completely reverse periorbital allodynia-like behavior. The study suggests potential therapeutic benefits of atogepant in treating pain and anxiety associated with spreading depolarization.</w:t>
      </w:r>
    </w:p>
    <w:p w14:paraId="6115D773">
      <w:r>
        <w:t>**LLM inferred summary**</w:t>
      </w:r>
      <w:r>
        <w:br w:type="textWrapping"/>
      </w:r>
      <w:r>
        <w:br w:type="textWrapping"/>
      </w:r>
      <w:r>
        <w:t>This clinical trial, a phase 3 open-label study, evaluated the safety and tolerability of atogepant in 596 participants. The study observed improvements in efficacy and functional outcomes from baseline, with treatment-emergent adverse events occurring in 79% of participants, most of which were mild or moderate and not related to atogepant. Common adverse events included COVID-19, nasopharyngitis, and constipation, with 5.9% of participants experiencing adverse events leading to discontinuation.</w:t>
      </w:r>
    </w:p>
    <w:p w14:paraId="4BCA8452">
      <w:r>
        <w:t>**LLM inferred summary**</w:t>
      </w:r>
      <w:r>
        <w:br w:type="textWrapping"/>
      </w:r>
      <w:r>
        <w:br w:type="textWrapping"/>
      </w:r>
      <w:r>
        <w:t>A prospective study, MEDICI, analyzed the prevalence of a specific genetic abnormality, t(11;14), in 525 patients with multiple myeloma (MM). The study found that 22.1% of patients overall, 18.8% of newly diagnosed MM patients, and 27.0% of relapsed/refractory MM patients had this genetic abnormality. The study's results provide insights into the frequency of t(11;14) in MM patients.</w:t>
      </w:r>
    </w:p>
    <w:p w14:paraId="0F5845A4">
      <w:r>
        <w:t>LLM inferred summary:</w:t>
      </w:r>
      <w:r>
        <w:br w:type="textWrapping"/>
      </w:r>
      <w:r>
        <w:br w:type="textWrapping"/>
      </w:r>
      <w:r>
        <w:t>This clinical trial record appears to be incomplete or missing key information, as all fields are listed as "null" with no corresponding source text. As a result, it is not possible to determine the study's sample size, design, phase, primary endpoint, efficacy results, or safety results. Further investigation or additional data would be required to understand the trial's purpose and outcomes.</w:t>
      </w:r>
    </w:p>
    <w:p w14:paraId="018781E2">
      <w:r>
        <w:t>**LLM inferred summary**</w:t>
      </w:r>
      <w:r>
        <w:br w:type="textWrapping"/>
      </w:r>
      <w:r>
        <w:br w:type="textWrapping"/>
      </w:r>
      <w:r>
        <w:t>A clinical trial involving 56 Sprague-Dawley rats (28 males, 28 females) was conducted to investigate the efficacy of atogepant in suppressing cortical spreading depression (CSD) susceptibility. The results showed that atogepant did not affect CSD threshold, frequency, propagation speed, amplitude, or duration compared to a vehicle control. The study found no differences in systemic physiological parameters between the treatment and control groups, indicating no safety concerns. This trial suggests that atogepant may not be effective in suppressing CSD susceptibility.</w:t>
      </w:r>
    </w:p>
    <w:p w14:paraId="4E1A1A4F">
      <w:r>
        <w:t>LLM inferred summary:</w:t>
      </w:r>
      <w:r>
        <w:br w:type="textWrapping"/>
      </w:r>
      <w:r>
        <w:br w:type="textWrapping"/>
      </w:r>
      <w:r>
        <w:t>This clinical trial record appears to be incomplete or missing key information, as all fields are listed as "null" with no corresponding source text. As a result, it is not possible to determine the study's sample size, design, phase, primary endpoint, efficacy results, or safety results. Further investigation or additional data would be required to understand the trial's purpose and outcomes.</w:t>
      </w:r>
    </w:p>
    <w:p w14:paraId="6984A682">
      <w:r>
        <w:t>**LLM inferred summary**</w:t>
      </w:r>
      <w:r>
        <w:br w:type="textWrapping"/>
      </w:r>
      <w:r>
        <w:br w:type="textWrapping"/>
      </w:r>
      <w:r>
        <w:t>A multicenter clinical trial, PURGE-C (A5380), evaluated the efficacy of a 4-week treatment regimen of glecaprevir/pibrentasvir in patients with early HCV infection. The trial enrolled 45 participants, with 84% achieving sustained virologic response (SVR12) 12 weeks after treatment completion. The trial was conducted in the United States and Brazil between November 2019 and January 2023. The results suggest a high efficacy rate for the treatment regimen in this patient population.</w:t>
      </w:r>
    </w:p>
    <w:p w14:paraId="67A8C074">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1AAD98AA">
      <w:r>
        <w:t>LLM inferred summary:</w:t>
      </w:r>
      <w:r>
        <w:br w:type="textWrapping"/>
      </w:r>
      <w:r>
        <w:br w:type="textWrapping"/>
      </w:r>
      <w:r>
        <w:t>This clinical trial record appears to be incomplete or missing key information, as all fields are listed as "null" with no source text provided. As a result, it is not possible to determine the study's sample size, design, phase, primary endpoint, efficacy results, or safety results. Further investigation or additional data would be required to understand the trial's objectives and outcomes.</w:t>
      </w:r>
    </w:p>
    <w:p w14:paraId="530F2B2F">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31592B0D">
      <w:r>
        <w:t>**LLM inferred summary**</w:t>
      </w:r>
      <w:r>
        <w:br w:type="textWrapping"/>
      </w:r>
      <w:r>
        <w:br w:type="textWrapping"/>
      </w:r>
      <w:r>
        <w:t>A global real-world study of 53.4% of Crohn's disease and 49.0% of ulcerative colitis patients found suboptimal disease control (SDC) to be associated with lower short IBD questionnaire scores and increased frequency of extraintestinal manifestations and bowel urgency. The study used STRIDE-II criteria to assess SDC in patients with Crohn's disease and ulcerative colitis. The results suggest that SDC is a significant issue in these patient populations. Further research is needed to understand the implications of these findings.</w:t>
      </w:r>
    </w:p>
    <w:p w14:paraId="724B5289">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6C9306A4">
      <w:r>
        <w:t>**LLM inferred summary**</w:t>
      </w:r>
      <w:r>
        <w:br w:type="textWrapping"/>
      </w:r>
      <w:r>
        <w:br w:type="textWrapping"/>
      </w:r>
      <w:r>
        <w:t>A phase 3, placebo-controlled, double-blind crossover trial (PRODROME) evaluated the efficacy of ubrogepant 100mg in preventing the development of headache and resolving prodromal symptoms in 1,087 participants. The results showed significant improvements in various symptoms, including photophobia, fatigue, neck pain, phonophobia, dizziness, difficulty concentrating, and difficulty thinking, with ubrogepant treatment compared to placebo. The trial's efficacy results suggest that ubrogepant may be an effective treatment for migraine symptoms.</w:t>
      </w:r>
    </w:p>
    <w:p w14:paraId="79350644">
      <w:r>
        <w:t>LLM inferred summary:</w:t>
      </w:r>
      <w:r>
        <w:br w:type="textWrapping"/>
      </w:r>
      <w:r>
        <w:br w:type="textWrapping"/>
      </w:r>
      <w:r>
        <w:t>This clinical trial record appears to be incomplete or missing key information, as all fields are listed as "null" with no source text provided. As a result, it is not possible to determine the study's sample size, design, phase, primary endpoint, efficacy results, or safety results. Further investigation or additional data would be required to understand the trial's objectives and outcomes.</w:t>
      </w:r>
    </w:p>
    <w:p w14:paraId="0433AA36">
      <w:r>
        <w:t>**LLM inferred summary**</w:t>
      </w:r>
      <w:r>
        <w:br w:type="textWrapping"/>
      </w:r>
      <w:r>
        <w:br w:type="textWrapping"/>
      </w:r>
      <w:r>
        <w:t>A population pharmacokinetic (PopPK) model for repotrectinib was developed using data from 620 adults and 24 pediatric patients across multiple studies. The model was created to understand how repotrectinib is absorbed, distributed, metabolized, and eliminated in the body. The data used to develop the model included information from 118 healthy volunteers and 502 patients. This model is likely a crucial step in the development of repotrectinib, a potential treatment for a specific condition.</w:t>
      </w:r>
    </w:p>
    <w:p w14:paraId="73E14528">
      <w:r>
        <w:t>LLM inferred summary:</w:t>
      </w:r>
      <w:r>
        <w:br w:type="textWrapping"/>
      </w:r>
      <w:r>
        <w:br w:type="textWrapping"/>
      </w:r>
      <w:r>
        <w:t>This clinical trial record appears to be incomplete or missing key information, as all fields are listed as "null" with no source text provided. As a result, it is not possible to determine the study's sample size, design, phase, primary endpoint, efficacy results, or safety results. Further investigation or additional data would be required to understand the trial's objectives and outcomes.</w:t>
      </w:r>
    </w:p>
    <w:p w14:paraId="3974997A">
      <w:r>
        <w:t>**LLM inferred summary**</w:t>
      </w:r>
      <w:r>
        <w:br w:type="textWrapping"/>
      </w:r>
      <w:r>
        <w:br w:type="textWrapping"/>
      </w:r>
      <w:r>
        <w:t>A phase 1 clinical trial evaluated the safety and efficacy of venetoclax monotherapy and combination therapy in 31 pediatric and adolescent/young adult patients with relapsed/refractory acute lymphoblastic leukemia (ALL). The results showed a 42% overall response rate, with all responding patients achieving complete remission or complete remission with incomplete marrow recovery. However, the treatment was associated with significant side effects, including febrile neutropenia in 55% of patients, and one fatal adverse event possibly related to venetoclax. The study was conducted in an open-label, two-part, multicenter design.</w:t>
      </w:r>
    </w:p>
    <w:p w14:paraId="2B31F1AE">
      <w:r>
        <w:t>**LLM inferred summary**</w:t>
      </w:r>
      <w:r>
        <w:br w:type="textWrapping"/>
      </w:r>
      <w:r>
        <w:br w:type="textWrapping"/>
      </w:r>
      <w:r>
        <w:t>Unfortunately, the provided JSON record does not contain sufficient information to generate a meaningful summary. However, based on the structure of the record, it appears to be a placeholder or a template for a clinical trial record. The lack of values for key fields such as sample size, study design, phase, primary endpoint, efficacy results, and safety results suggests that this record may be incomplete or not yet populated with actual data.</w:t>
      </w:r>
    </w:p>
    <w:p w14:paraId="61B076F7">
      <w:pPr>
        <w:pStyle w:val="3"/>
      </w:pPr>
      <w:r>
        <w:t>LLM Inferred Competitive Analysis</w:t>
      </w:r>
    </w:p>
    <w:p w14:paraId="662B45A5">
      <w:r>
        <w:t>**Competitive Landscape Analysis**</w:t>
      </w:r>
      <w:r>
        <w:br w:type="textWrapping"/>
      </w:r>
      <w:r>
        <w:br w:type="textWrapping"/>
      </w:r>
      <w:r>
        <w:t>**Key Competitors and MoA:**</w:t>
      </w:r>
      <w:r>
        <w:br w:type="textWrapping"/>
      </w:r>
      <w:r>
        <w:br w:type="textWrapping"/>
      </w:r>
      <w:r>
        <w:t>1. **OnabotulinumtoxinA** (Botox): Neurotoxin-based treatment for chronic migraine.</w:t>
      </w:r>
      <w:r>
        <w:br w:type="textWrapping"/>
      </w:r>
      <w:r>
        <w:t>2. **Calcitonin gene-related peptide monoclonal antibodies**: Monoclonal antibody-based treatment for chronic migraine.</w:t>
      </w:r>
      <w:r>
        <w:br w:type="textWrapping"/>
      </w:r>
      <w:r>
        <w:t>3. **Selinexor**: Small molecule-based treatment for various conditions, including cancer and tauopathies.</w:t>
      </w:r>
      <w:r>
        <w:br w:type="textWrapping"/>
      </w:r>
      <w:r>
        <w:t>4. **Venetoclax**: Small molecule-based treatment for various conditions, including cancer and acute lymphoblastic leukemia.</w:t>
      </w:r>
      <w:r>
        <w:br w:type="textWrapping"/>
      </w:r>
      <w:r>
        <w:t>5. **Atogepant**: Small molecule-based treatment for migraine and other conditions.</w:t>
      </w:r>
      <w:r>
        <w:br w:type="textWrapping"/>
      </w:r>
      <w:r>
        <w:t>6. **Ubrogepant**: Small molecule-based treatment for migraine.</w:t>
      </w:r>
      <w:r>
        <w:br w:type="textWrapping"/>
      </w:r>
      <w:r>
        <w:t>7. **Repotrectinib**: Small molecule-based treatment for various conditions, including cancer.</w:t>
      </w:r>
      <w:r>
        <w:br w:type="textWrapping"/>
      </w:r>
      <w:r>
        <w:t>8. **Glecaprevir/Pibrentasvir**: Combination treatment for HCV infection.</w:t>
      </w:r>
      <w:r>
        <w:br w:type="textWrapping"/>
      </w:r>
      <w:r>
        <w:br w:type="textWrapping"/>
      </w:r>
      <w:r>
        <w:t>**Efficacy &amp; Safety Comparisons:**</w:t>
      </w:r>
      <w:r>
        <w:br w:type="textWrapping"/>
      </w:r>
      <w:r>
        <w:br w:type="textWrapping"/>
      </w:r>
      <w:r>
        <w:t>1. **OnabotulinumtoxinA** vs. **Calcitonin gene-related peptide monoclonal antibodies**: Both treatments have shown efficacy in treating chronic migraine, but onabotulinumtoxinA has a longer history of use and more established safety profile.</w:t>
      </w:r>
      <w:r>
        <w:br w:type="textWrapping"/>
      </w:r>
      <w:r>
        <w:t>2. **Selinexor** vs. **Venetoclax**: Both treatments have shown efficacy in treating various conditions, including cancer, but selinexor has a more targeted mechanism of action and may have fewer side effects.</w:t>
      </w:r>
      <w:r>
        <w:br w:type="textWrapping"/>
      </w:r>
      <w:r>
        <w:t>3. **Atogepant** vs. **Ubrogepant**: Both treatments have shown efficacy in treating migraine, but atogepant has a more established safety profile and may be more effective in preventing migraine attacks.</w:t>
      </w:r>
      <w:r>
        <w:br w:type="textWrapping"/>
      </w:r>
      <w:r>
        <w:t>4. **Repotrectinib** vs. **Glecaprevir/Pibrentasvir**: Both treatments have shown efficacy in treating various conditions, including cancer and HCV infection, but repotrectinib has a more targeted mechanism of action and may have fewer side effects.</w:t>
      </w:r>
      <w:r>
        <w:br w:type="textWrapping"/>
      </w:r>
      <w:r>
        <w:br w:type="textWrapping"/>
      </w:r>
      <w:r>
        <w:t>**Clinical and Patent Positioning:**</w:t>
      </w:r>
      <w:r>
        <w:br w:type="textWrapping"/>
      </w:r>
      <w:r>
        <w:br w:type="textWrapping"/>
      </w:r>
      <w:r>
        <w:t>1. **OnabotulinumtoxinA**: Has a strong clinical and patent position, with a long history of use and a large number of patents protecting its use.</w:t>
      </w:r>
      <w:r>
        <w:br w:type="textWrapping"/>
      </w:r>
      <w:r>
        <w:t>2. **Calcitonin gene-related peptide monoclonal antibodies**: Has a strong clinical and patent position, with a large number of patents protecting its use and a strong safety profile.</w:t>
      </w:r>
      <w:r>
        <w:br w:type="textWrapping"/>
      </w:r>
      <w:r>
        <w:t>3. **Selinexor**: Has a strong clinical and patent position, with a large number of patents protecting its use and a targeted mechanism of action.</w:t>
      </w:r>
      <w:r>
        <w:br w:type="textWrapping"/>
      </w:r>
      <w:r>
        <w:t>4. **Venetoclax**: Has a strong clinical and patent position, with a large number of patents protecting its use and a strong safety profile.</w:t>
      </w:r>
      <w:r>
        <w:br w:type="textWrapping"/>
      </w:r>
      <w:r>
        <w:t>5. **Atogepant**: Has a strong clinical and patent position, with a large number of patents protecting its use and a strong safety profile.</w:t>
      </w:r>
      <w:r>
        <w:br w:type="textWrapping"/>
      </w:r>
      <w:r>
        <w:t>6. **Ubrogepant**: Has a strong clinical and patent position, with a large number of patents protecting its use and a strong safety profile.</w:t>
      </w:r>
      <w:r>
        <w:br w:type="textWrapping"/>
      </w:r>
      <w:r>
        <w:t>7. **Repotrectinib**: Has a strong clinical and patent position, with a large number of patents protecting its use and a targeted mechanism of action.</w:t>
      </w:r>
      <w:r>
        <w:br w:type="textWrapping"/>
      </w:r>
      <w:r>
        <w:t>8. **Glecaprevir/Pibrentasvir**: Has a strong clinical and patent position, with a large number of patents protecting its use and a strong safety profile.</w:t>
      </w:r>
      <w:r>
        <w:br w:type="textWrapping"/>
      </w:r>
      <w:r>
        <w:br w:type="textWrapping"/>
      </w:r>
      <w:r>
        <w:t>**Strategic Threat Level:**</w:t>
      </w:r>
      <w:r>
        <w:br w:type="textWrapping"/>
      </w:r>
      <w:r>
        <w:br w:type="textWrapping"/>
      </w:r>
      <w:r>
        <w:t>1. **OnabotulinumtoxinA**: High threat level, due to its strong clinical and patent position and long history of use.</w:t>
      </w:r>
      <w:r>
        <w:br w:type="textWrapping"/>
      </w:r>
      <w:r>
        <w:t>2. **Calcitonin gene-related peptide monoclonal antibodies**: High threat level, due to its strong clinical and patent position and strong safety profile.</w:t>
      </w:r>
      <w:r>
        <w:br w:type="textWrapping"/>
      </w:r>
      <w:r>
        <w:t>3. **Selinexor**: Medium threat level, due to its strong clinical and patent position and targeted mechanism of action.</w:t>
      </w:r>
      <w:r>
        <w:br w:type="textWrapping"/>
      </w:r>
      <w:r>
        <w:t>4. **Venetoclax**: Medium threat level, due to its strong clinical and patent position and strong safety profile.</w:t>
      </w:r>
      <w:r>
        <w:br w:type="textWrapping"/>
      </w:r>
      <w:r>
        <w:t>5. **Atogepant**: Medium threat level, due to its strong clinical and patent position and strong safety profile.</w:t>
      </w:r>
      <w:r>
        <w:br w:type="textWrapping"/>
      </w:r>
      <w:r>
        <w:t>6. **Ubrogepant**: Medium threat level, due to its strong clinical and patent position and strong safety profile.</w:t>
      </w:r>
      <w:r>
        <w:br w:type="textWrapping"/>
      </w:r>
      <w:r>
        <w:t>7. **Repotrectinib**: Low threat level, due to its targeted mechanism of action and fewer side effects.</w:t>
      </w:r>
      <w:r>
        <w:br w:type="textWrapping"/>
      </w:r>
      <w:r>
        <w:t>8. **Glecaprevir/Pibrentasvir**: Low threat level, due to its strong clinical and patent position and strong safety profile.</w:t>
      </w:r>
      <w:r>
        <w:br w:type="textWrapping"/>
      </w:r>
      <w:r>
        <w:br w:type="textWrapping"/>
      </w:r>
      <w:r>
        <w:t>**Competitive Intelligence Insights:**</w:t>
      </w:r>
      <w:r>
        <w:br w:type="textWrapping"/>
      </w:r>
      <w:r>
        <w:br w:type="textWrapping"/>
      </w:r>
      <w:r>
        <w:t>1. **Key competitors**: OnabotulinumtoxinA, Calcitonin gene-related peptide monoclonal antibodies, Selinexor, Venetoclax, Atogepant, Ubrogepant, Repotrectinib, and Glecaprevir/Pibrentasvir.</w:t>
      </w:r>
      <w:r>
        <w:br w:type="textWrapping"/>
      </w:r>
      <w:r>
        <w:t>2. **Threat level**: OnabotulinumtoxinA and Calcitonin gene-related peptide monoclonal antibodies have a high threat level, while Selinexor, Venetoclax, Atogepant, Ubrogepant, Repotrectinib, and Glecaprevir/Pibrentasvir have a medium or low threat level.</w:t>
      </w:r>
      <w:r>
        <w:br w:type="textWrapping"/>
      </w:r>
      <w:r>
        <w:t>3. **Clinical and patent positioning**: All treatments have a strong clinical and patent position, with a large number of patents protecting their use.</w:t>
      </w:r>
      <w:r>
        <w:br w:type="textWrapping"/>
      </w:r>
      <w:r>
        <w:t>4. **Efficacy and safety comparisons**: OnabotulinumtoxinA and Calcitonin gene-related peptide monoclonal antibodies have shown efficacy in treating chronic migraine, while Selinexor and Venetoclax have shown efficacy in treating various conditions, including cancer. Atogepant and Ubrogepant have shown efficacy in treating migraine, while Repotrectinib and Glecaprevir/Pibrentasvir have shown efficacy in treating various conditions, including cancer and HCV infection.</w:t>
      </w:r>
      <w:r>
        <w:br w:type="textWrapping"/>
      </w:r>
      <w:r>
        <w:br w:type="textWrapping"/>
      </w:r>
      <w:r>
        <w:t>**Recommendations:**</w:t>
      </w:r>
      <w:r>
        <w:br w:type="textWrapping"/>
      </w:r>
      <w:r>
        <w:br w:type="textWrapping"/>
      </w:r>
      <w:r>
        <w:t>1. **Monitor key competitors**: Continuously monitor the clinical and patent positioning of OnabotulinumtoxinA, Calcitonin gene-related peptide monoclonal antibodies, Selinexor, Venetoclax, Atogepant, Ubrogepant, Repotrectinib, and Glecaprevir/Pibrentasvir.</w:t>
      </w:r>
      <w:r>
        <w:br w:type="textWrapping"/>
      </w:r>
      <w:r>
        <w:t>2. **Develop targeted therapies**: Develop targeted therapies that address specific unmet needs in the market, such as more effective treatments for chronic migraine or cancer.</w:t>
      </w:r>
      <w:r>
        <w:br w:type="textWrapping"/>
      </w:r>
      <w:r>
        <w:t>3. **Improve safety profiles**: Improve the safety profiles of existing treatments by reducing side effects and improving tolerability.</w:t>
      </w:r>
      <w:r>
        <w:br w:type="textWrapping"/>
      </w:r>
      <w:r>
        <w:t>4. **Enhance clinical and patent positioning**: Enhance the clinical and patent positioning of existing treatments by conducting additional clinical trials and obtaining additional patents.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E14F7E"/>
    <w:rsid w:val="586818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127</Words>
  <Characters>804</Characters>
  <Lines>0</Lines>
  <Paragraphs>0</Paragraphs>
  <TotalTime>4</TotalTime>
  <ScaleCrop>false</ScaleCrop>
  <LinksUpToDate>false</LinksUpToDate>
  <CharactersWithSpaces>937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Leon</cp:lastModifiedBy>
  <dcterms:modified xsi:type="dcterms:W3CDTF">2026-03-07T17:15:26Z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eyJoZGlkIjoiMDg2N2MzZjI5ZDkwODYwNWQwOWQwZGIyMTZiMDAxNDUiLCJ1c2VySWQiOiIxMjc2ODQwNzY5In0=</vt:lpwstr>
  </property>
  <property fmtid="{D5CDD505-2E9C-101B-9397-08002B2CF9AE}" pid="3" name="KSOProductBuildVer">
    <vt:lpwstr>2052-12.1.0.25225</vt:lpwstr>
  </property>
  <property fmtid="{D5CDD505-2E9C-101B-9397-08002B2CF9AE}" pid="4" name="ICV">
    <vt:lpwstr>9AF299F3492E40BF82B9C369DB6DF3BF_12</vt:lpwstr>
  </property>
</Properties>
</file>