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Section 1</w:t>
      </w:r>
    </w:p>
    <w:p>
      <w:r>
        <w:rPr>
          <w:b/>
        </w:rPr>
        <w:t>אגף הטכנולוגיה והלוגיסטיקה | מרכז הדלק 5800</w:t>
      </w:r>
      <w:r>
        <w:br/>
      </w:r>
      <w:r>
        <w:rPr>
          <w:b/>
        </w:rPr>
        <w:t>נספח א' – מסמך תכולת עבודה (SOW)</w:t>
      </w:r>
    </w:p>
    <w:p>
      <w:r>
        <w:rPr>
          <w:b/>
        </w:rPr>
        <w:t>נושא:</w:t>
      </w:r>
      <w:r>
        <w:t xml:space="preserve"> שירותי מחשוב, בקרה, תפעול וסליקה במערכת מקוונת</w:t>
        <w:br/>
      </w:r>
      <w:r>
        <w:rPr>
          <w:b/>
        </w:rPr>
        <w:t>תאריך:</w:t>
      </w:r>
      <w:r>
        <w:t xml:space="preserve"> 20 ביוני 2019</w:t>
      </w:r>
    </w:p>
    <w:p>
      <w:pPr>
        <w:pStyle w:val="Heading3"/>
      </w:pPr>
      <w:r>
        <w:t>תוכן עניינים</w:t>
      </w:r>
    </w:p>
    <w:p>
      <w:r>
        <w:t>| פרק | תיאור המענה | עמודים |</w:t>
        <w:br/>
        <w:t>| :--- | :--- | :--- |</w:t>
        <w:br/>
        <w:t xml:space="preserve">| </w:t>
      </w:r>
      <w:r>
        <w:rPr>
          <w:b/>
        </w:rPr>
        <w:t>1</w:t>
      </w:r>
      <w:r>
        <w:t xml:space="preserve"> | כללי | 2-5 |</w:t>
        <w:br/>
        <w:t xml:space="preserve">| </w:t>
      </w:r>
      <w:r>
        <w:rPr>
          <w:b/>
        </w:rPr>
        <w:t>2</w:t>
      </w:r>
      <w:r>
        <w:t xml:space="preserve"> | פרופיל שימוש | 6-7 |</w:t>
        <w:br/>
        <w:t xml:space="preserve">| </w:t>
      </w:r>
      <w:r>
        <w:rPr>
          <w:b/>
        </w:rPr>
        <w:t>3</w:t>
      </w:r>
      <w:r>
        <w:t xml:space="preserve"> | דרישות השירות | 7-14 |</w:t>
        <w:br/>
        <w:t xml:space="preserve">| </w:t>
      </w:r>
      <w:r>
        <w:rPr>
          <w:b/>
        </w:rPr>
        <w:t>4</w:t>
      </w:r>
      <w:r>
        <w:t xml:space="preserve"> | שירותים נדרשים בתקופת ההתארגנות | 15-18 |</w:t>
        <w:br/>
        <w:t xml:space="preserve">| </w:t>
      </w:r>
      <w:r>
        <w:rPr>
          <w:b/>
        </w:rPr>
        <w:t>5</w:t>
      </w:r>
      <w:r>
        <w:t xml:space="preserve"> | שירותים טכניים בתקופת ההפעלה | 19-21 |</w:t>
        <w:br/>
        <w:t xml:space="preserve">| </w:t>
      </w:r>
      <w:r>
        <w:rPr>
          <w:b/>
        </w:rPr>
        <w:t>6</w:t>
      </w:r>
      <w:r>
        <w:t xml:space="preserve"> | דוחות ודיווחים | 21 |</w:t>
        <w:br/>
        <w:t xml:space="preserve">| </w:t>
      </w:r>
      <w:r>
        <w:rPr>
          <w:b/>
        </w:rPr>
        <w:t>7</w:t>
      </w:r>
      <w:r>
        <w:t xml:space="preserve"> | פעילות בשגרה, בחירום ובמצבי ביניים | 21-22 |</w:t>
        <w:br/>
        <w:t xml:space="preserve">| </w:t>
      </w:r>
      <w:r>
        <w:rPr>
          <w:b/>
        </w:rPr>
        <w:t>8</w:t>
      </w:r>
      <w:r>
        <w:t xml:space="preserve"> | סיום התקשרות | 22 |</w:t>
      </w:r>
    </w:p>
    <w:p>
      <w:r>
        <w:rPr>
          <w:b/>
        </w:rPr>
        <w:t>נספחים:</w:t>
      </w:r>
      <w:r>
        <w:br/>
        <w:t xml:space="preserve">*   </w:t>
      </w:r>
      <w:r>
        <w:rPr>
          <w:b/>
        </w:rPr>
        <w:t>נספח א':</w:t>
      </w:r>
      <w:r>
        <w:t xml:space="preserve"> ריכוז דוחות (עמ' 24)</w:t>
        <w:br/>
        <w:t xml:space="preserve">*   </w:t>
      </w:r>
      <w:r>
        <w:rPr>
          <w:b/>
        </w:rPr>
        <w:t>נספח ב':</w:t>
      </w:r>
      <w:r>
        <w:t xml:space="preserve"> פקודת עבודה - טופס הזמנת שירות (עמ' 25)</w:t>
        <w:br/>
        <w:t xml:space="preserve">*   </w:t>
      </w:r>
      <w:r>
        <w:rPr>
          <w:b/>
        </w:rPr>
        <w:t>נספח נ':</w:t>
      </w:r>
      <w:r>
        <w:t xml:space="preserve"> נוהל חסימה/פתיחה של אמצעי תדלוק (עמ' 26)</w:t>
      </w:r>
    </w:p>
    <w:p>
      <w:pPr>
        <w:pStyle w:val="Heading2"/>
      </w:pPr>
      <w:r>
        <w:t>Section 2</w:t>
      </w:r>
    </w:p>
    <w:p>
      <w:pPr>
        <w:pStyle w:val="ListNumber"/>
      </w:pPr>
      <w:r>
        <w:t>כללי</w:t>
        <w:br/>
        <w:t xml:space="preserve">   1.1 הגדרות</w:t>
        <w:br/>
        <w:t xml:space="preserve">      1.1.1 "דלק" או "תזקיק" - בנזין, סולר ואוריאה.</w:t>
        <w:br/>
        <w:t xml:space="preserve">      1.1.2 "הזמנה" - מסמכי ההתקשרות בין משרד הביטחון לספק, לרבות התנאים הכלליים והנספחים.</w:t>
        <w:br/>
        <w:t xml:space="preserve">      1.1.3 "החברה המפעילה" - הספק הזוכה עמו התקשר המשרד לביצוע ההזמנה.</w:t>
        <w:br/>
        <w:t xml:space="preserve">      1.1.4 "המזמין" - צה"ל (מרכז הדלק) ו/או משרד הביטחון (אמו"ן - חטיבת התחבורה ויחידותיה).</w:t>
        <w:br/>
        <w:t xml:space="preserve">      1.1.5 "קוד לקוח" - מזהה ייחודי המוקצה למזמין או ליחידותיו, לצורך שיוך הרכב או כרטיס התדלוק למקבל השירות.</w:t>
        <w:br/>
        <w:t xml:space="preserve">      1.1.6 "המשרד" או "משהב"ט" - משרד הביטחון באמצעות מנה"ר - מערכת דלק.</w:t>
        <w:br/>
        <w:t xml:space="preserve">      1.1.7 "הקמת רכב" - רישום רכב חדש ונתוניו במערכות המחשוב של המזמין, החברה המפעילה, חברות הדלק, חברת פטרו"ל וחברת התקני התדלוק.</w:t>
        <w:br/>
        <w:t xml:space="preserve">      1.1.8 "השירות" - הפעלת מערך מחשוב, סליקה ובקרה עבור התקני תדלוק אוניברסליים וכרטיסי תדלוק.</w:t>
        <w:br/>
        <w:t xml:space="preserve">      1.1.9 "התקן תדלוק אוניברסלי" - התקן העומד בתקני משרד האנרגיה המאפשר תדלוק בכל חברות הדלק, ללא תלות בזהות הגורם המתקין.</w:t>
        <w:br/>
        <w:t xml:space="preserve">      1.1.10 "חברות הדלק" - חברות שיווק דלק מורשות המתקשרות עם המשרד בשגרה ובחירום.</w:t>
        <w:br/>
        <w:t xml:space="preserve">      1.1.11 "חברת התקני התדלוק" - הספק הזוכה במכרז לאספקה והתקנה של התקני תדלוק אוניברסליים.</w:t>
      </w:r>
    </w:p>
    <w:p>
      <w:pPr>
        <w:pStyle w:val="Heading2"/>
      </w:pPr>
      <w:r>
        <w:t>Section 3</w:t>
      </w:r>
    </w:p>
    <w:p>
      <w:pPr>
        <w:pStyle w:val="ListNumber"/>
      </w:pPr>
      <w:r>
        <w:t>"כרטיס תדלוק" - כרטיס מגנטי לתדלוק הרכב (במגבלת ליטרים, בהקצאה כספית או ללא הגבלה).</w:t>
      </w:r>
    </w:p>
    <w:p>
      <w:pPr>
        <w:pStyle w:val="ListNumber"/>
      </w:pPr>
      <w:r>
        <w:t>"מוקד שירות לקוחות" – מוקד טלפוני ארצי של החברה למתן שירות ומענה לפניות המזמין.</w:t>
      </w:r>
    </w:p>
    <w:p>
      <w:pPr>
        <w:pStyle w:val="ListNumber"/>
      </w:pPr>
      <w:r>
        <w:t>"ממשק כספת" - ממשק מאובטח להעברת נתונים בין הרשת הצבאית לרשת האינטרנט האזרחית.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