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6160E">
      <w:pP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>Problem 1</w:t>
      </w:r>
    </w:p>
    <w:p w14:paraId="100B1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final output of problem 1 is shown below:</w:t>
      </w:r>
    </w:p>
    <w:p w14:paraId="4F698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230" cy="57791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D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crosstab indicates that there is no clear relationship between cluster assignment and class label. Specifically, cluster 1 and 2 perfectly corresponds to origin 1 and origin 2 respectively. Despite that, cluster 0 is a mixture of all three origins. Therefore, while a partial relationship exists due to the strong correspondence of clusters 1 and 2 with specific origins, no clear global relationship is evident.</w:t>
      </w:r>
    </w:p>
    <w:p w14:paraId="16439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686A7DF">
      <w:pP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</w:pPr>
    </w:p>
    <w:p w14:paraId="13101AB6">
      <w:pP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 xml:space="preserve">Problem 2 </w:t>
      </w:r>
    </w:p>
    <w:p w14:paraId="269839DE"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The final output of problem 2 is shown below:</w:t>
      </w:r>
    </w:p>
    <w:p w14:paraId="3CCCD191"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333115" cy="11544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9EDC">
      <w:r>
        <w:drawing>
          <wp:inline distT="0" distB="0" distL="114300" distR="114300">
            <wp:extent cx="2940050" cy="6388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FA38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The optimal k is 2. The second image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show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 the difference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between mean values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of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each cluster and centroid coordinates.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These differences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are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extremely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small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or exactly zero. These negligible differences may result from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floating-point arithmetic errors. Such results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confirm that the cluster means and centroid coordinates are effectively equivalent.</w:t>
      </w:r>
    </w:p>
    <w:p w14:paraId="7B6E9197">
      <w:pP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Problem 3</w:t>
      </w:r>
    </w:p>
    <w:p w14:paraId="373F895E">
      <w:pP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The final output of problem 3 is shown below:</w:t>
      </w:r>
    </w:p>
    <w:p w14:paraId="48BD1C3D">
      <w:r>
        <w:drawing>
          <wp:inline distT="0" distB="0" distL="114300" distR="114300">
            <wp:extent cx="2387600" cy="552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9386"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For Homogeneity Score:</w:t>
      </w:r>
    </w:p>
    <w:p w14:paraId="7E6D4D48"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Homogeneity Score reflects the purity of clusters. A high homogeneity score of 0.8788 indicates that the clusters created by K-Means are highly consistent with the true class labels.</w:t>
      </w:r>
    </w:p>
    <w:p w14:paraId="31D8202E"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 w14:paraId="61B2B910"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For Completeness Score:</w:t>
      </w:r>
    </w:p>
    <w:p w14:paraId="3C90083C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Completeness Score reflects the coverage of true classes by clusters. A high completeness score of 0.8730 indicates that K-Means successfully groups most samples of each true class together. However, given that completeness score is a bit lower than homogeneity score, minor instances where samples from the same class may be split across clusters.</w:t>
      </w:r>
    </w:p>
    <w:p w14:paraId="0C120181"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 w14:paraId="719666A1"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Totally, both high homogeneity score and completeness score indicate that the clustering is highly effective.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5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2025-05-09T10:04:00Z</dcterms:created>
  <dc:creator>10476</dc:creator>
  <cp:lastModifiedBy>石力尹</cp:lastModifiedBy>
  <dcterms:modified xsi:type="dcterms:W3CDTF">2025-05-09T10:50:39Z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eyJoZGlkIjoiZWVlN2FlNWQ1MDQ1MzZjYjVkMDMxODlhYzU3ZDcwZmEiLCJ1c2VySWQiOiIxNTM1OTI5Mzg0In0=</vt:lpwstr>
  </property>
  <property fmtid="{D5CDD505-2E9C-101B-9397-08002B2CF9AE}" pid="4" name="ICV">
    <vt:lpwstr>7A9D3E7F9B414A6A94EBD5A475502D8F_12</vt:lpwstr>
  </property>
</Properties>
</file>