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1" w:rightFromText="181" w:vertAnchor="text" w:horzAnchor="margin" w:tblpX="-175" w:tblpY="-1133"/>
        <w:tblW w:w="10881" w:type="dxa"/>
        <w:tblInd w:w="0" w:type="dxa"/>
        <w:tblLayout w:type="autofit"/>
        <w:tblCellMar>
          <w:top w:w="0" w:type="dxa"/>
          <w:left w:w="108" w:type="dxa"/>
          <w:bottom w:w="0" w:type="dxa"/>
          <w:right w:w="108" w:type="dxa"/>
        </w:tblCellMar>
      </w:tblPr>
      <w:tblGrid>
        <w:gridCol w:w="3119"/>
        <w:gridCol w:w="851"/>
        <w:gridCol w:w="2254"/>
        <w:gridCol w:w="4657"/>
      </w:tblGrid>
      <w:tr>
        <w:trPr>
          <w:trHeight w:val="23" w:hRule="exact"/>
        </w:trPr>
        <w:tc>
          <w:tcPr>
            <w:tcW w:w="10881" w:type="dxa"/>
            <w:gridSpan w:val="4"/>
            <w:noWrap w:val="0"/>
            <w:vAlign w:val="top"/>
          </w:tcPr>
          <w:p>
            <w:pPr>
              <w:rPr>
                <w:rFonts w:eastAsia="楷体" w:cs="Arial"/>
                <w:color w:val="000000"/>
              </w:rPr>
            </w:pPr>
            <w:r>
              <w:rPr>
                <w:rFonts w:eastAsia="楷体" w:cs="Arial"/>
                <w:color w:val="000000"/>
              </w:rPr>
              <w:t>[Table_Industry]</w:t>
            </w:r>
          </w:p>
        </w:tc>
      </w:tr>
      <w:tr>
        <w:trPr>
          <w:trHeight w:val="242" w:hRule="atLeast"/>
        </w:trPr>
        <w:tc>
          <w:tcPr>
            <w:tcW w:w="3119" w:type="dxa"/>
            <w:vMerge w:val="restart"/>
            <w:noWrap w:val="0"/>
            <w:vAlign w:val="top"/>
          </w:tcPr>
          <w:p>
            <w:pPr>
              <w:pStyle w:val="43"/>
              <w:framePr w:hSpace="0" w:wrap="auto" w:vAnchor="margin" w:hAnchor="text" w:yAlign="inline"/>
              <w:rPr>
                <w:rFonts w:ascii="Arial" w:eastAsia="楷体" w:cs="Arial"/>
                <w:color w:val="000000"/>
              </w:rPr>
            </w:pPr>
            <w:r>
              <w:rPr>
                <w:rFonts w:ascii="Arial" w:eastAsia="楷体" w:cs="Arial"/>
                <w:color w:val="000000"/>
              </w:rPr>
              <w:drawing>
                <wp:anchor distT="0" distB="0" distL="114300" distR="114300" simplePos="0" relativeHeight="251659264" behindDoc="0" locked="0" layoutInCell="1" allowOverlap="1">
                  <wp:simplePos x="0" y="0"/>
                  <wp:positionH relativeFrom="column">
                    <wp:posOffset>58420</wp:posOffset>
                  </wp:positionH>
                  <wp:positionV relativeFrom="paragraph">
                    <wp:posOffset>39370</wp:posOffset>
                  </wp:positionV>
                  <wp:extent cx="1685925" cy="452755"/>
                  <wp:effectExtent l="0" t="0" r="0" b="4445"/>
                  <wp:wrapNone/>
                  <wp:docPr id="2" name="图片 3" descr="说明: 中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说明: 中泰logo"/>
                          <pic:cNvPicPr>
                            <a:picLocks noChangeAspect="1"/>
                          </pic:cNvPicPr>
                        </pic:nvPicPr>
                        <pic:blipFill>
                          <a:blip r:embed="rId9"/>
                          <a:stretch>
                            <a:fillRect/>
                          </a:stretch>
                        </pic:blipFill>
                        <pic:spPr>
                          <a:xfrm>
                            <a:off x="0" y="0"/>
                            <a:ext cx="1685925" cy="452755"/>
                          </a:xfrm>
                          <a:prstGeom prst="rect">
                            <a:avLst/>
                          </a:prstGeom>
                          <a:noFill/>
                          <a:ln w="9525">
                            <a:noFill/>
                          </a:ln>
                        </pic:spPr>
                      </pic:pic>
                    </a:graphicData>
                  </a:graphic>
                </wp:anchor>
              </w:drawing>
            </w:r>
          </w:p>
        </w:tc>
        <w:tc>
          <w:tcPr>
            <w:tcW w:w="3105" w:type="dxa"/>
            <w:gridSpan w:val="2"/>
            <w:noWrap w:val="0"/>
            <w:vAlign w:val="bottom"/>
          </w:tcPr>
          <w:p>
            <w:pPr>
              <w:pStyle w:val="43"/>
              <w:framePr w:hSpace="0" w:wrap="auto" w:vAnchor="margin" w:hAnchor="text" w:yAlign="inline"/>
              <w:jc w:val="center"/>
              <w:rPr>
                <w:rFonts w:ascii="Arial" w:eastAsia="楷体" w:cs="Arial"/>
                <w:b w:val="0"/>
                <w:color w:val="000000"/>
                <w:w w:val="80"/>
                <w:sz w:val="24"/>
              </w:rPr>
            </w:pPr>
          </w:p>
        </w:tc>
        <w:tc>
          <w:tcPr>
            <w:tcW w:w="4657" w:type="dxa"/>
            <w:noWrap w:val="0"/>
            <w:vAlign w:val="bottom"/>
          </w:tcPr>
          <w:p>
            <w:pPr>
              <w:pStyle w:val="43"/>
              <w:framePr w:hSpace="0" w:wrap="auto" w:vAnchor="margin" w:hAnchor="text" w:yAlign="inline"/>
              <w:jc w:val="right"/>
              <w:rPr>
                <w:rFonts w:ascii="Arial" w:eastAsia="楷体" w:cs="Arial"/>
                <w:b w:val="0"/>
                <w:color w:val="000000"/>
                <w:w w:val="80"/>
                <w:sz w:val="24"/>
              </w:rPr>
            </w:pPr>
          </w:p>
        </w:tc>
      </w:tr>
      <w:tr>
        <w:trPr>
          <w:trHeight w:val="242" w:hRule="atLeast"/>
        </w:trPr>
        <w:tc>
          <w:tcPr>
            <w:tcW w:w="3119" w:type="dxa"/>
            <w:vMerge w:val="continue"/>
            <w:shd w:val="clear" w:color="auto" w:fill="F87676"/>
            <w:noWrap w:val="0"/>
            <w:vAlign w:val="top"/>
          </w:tcPr>
          <w:p>
            <w:pPr>
              <w:pStyle w:val="43"/>
              <w:framePr w:hSpace="0" w:wrap="auto" w:vAnchor="margin" w:hAnchor="text" w:yAlign="inline"/>
              <w:rPr>
                <w:rFonts w:ascii="Arial" w:eastAsia="楷体" w:cs="Arial"/>
                <w:color w:val="000000"/>
              </w:rPr>
            </w:pPr>
          </w:p>
        </w:tc>
        <w:tc>
          <w:tcPr>
            <w:tcW w:w="3105" w:type="dxa"/>
            <w:gridSpan w:val="2"/>
            <w:shd w:val="clear" w:color="auto" w:fill="F87676"/>
            <w:noWrap w:val="0"/>
            <w:vAlign w:val="bottom"/>
          </w:tcPr>
          <w:p>
            <w:pPr>
              <w:pStyle w:val="43"/>
              <w:framePr w:hSpace="0" w:wrap="auto" w:vAnchor="margin" w:hAnchor="text" w:yAlign="inline"/>
              <w:jc w:val="center"/>
              <w:rPr>
                <w:rFonts w:ascii="Arial" w:eastAsia="楷体" w:cs="Arial"/>
                <w:w w:val="80"/>
                <w:sz w:val="24"/>
              </w:rPr>
            </w:pPr>
            <w:r>
              <w:rPr>
                <w:rFonts w:ascii="Arial" w:eastAsia="楷体" w:cs="Arial"/>
                <w:w w:val="80"/>
                <w:sz w:val="24"/>
              </w:rPr>
              <w:t>证券研究报告/公司</w:t>
            </w:r>
            <w:r>
              <w:rPr>
                <w:rFonts w:hint="eastAsia" w:ascii="Arial" w:eastAsia="楷体" w:cs="Arial"/>
                <w:w w:val="80"/>
                <w:sz w:val="24"/>
              </w:rPr>
              <w:t>简报</w:t>
            </w:r>
          </w:p>
        </w:tc>
        <w:tc>
          <w:tcPr>
            <w:tcW w:w="4657" w:type="dxa"/>
            <w:shd w:val="clear" w:color="auto" w:fill="F87676"/>
            <w:noWrap w:val="0"/>
            <w:vAlign w:val="bottom"/>
          </w:tcPr>
          <w:p>
            <w:pPr>
              <w:pStyle w:val="43"/>
              <w:framePr w:hSpace="0" w:wrap="auto" w:vAnchor="margin" w:hAnchor="text" w:yAlign="inline"/>
              <w:jc w:val="right"/>
              <w:rPr>
                <w:rFonts w:ascii="Arial" w:eastAsia="楷体" w:cs="Arial"/>
                <w:w w:val="80"/>
                <w:sz w:val="24"/>
              </w:rPr>
            </w:pPr>
            <w:r>
              <w:rPr>
                <w:rFonts w:ascii="Arial" w:eastAsia="楷体" w:cs="Arial"/>
                <w:w w:val="80"/>
                <w:sz w:val="24"/>
              </w:rPr>
              <w:t>2020年</w:t>
            </w:r>
            <w:r>
              <w:rPr>
                <w:rFonts w:hint="eastAsia" w:ascii="Arial" w:eastAsia="楷体" w:cs="Arial"/>
                <w:w w:val="80"/>
                <w:sz w:val="24"/>
              </w:rPr>
              <w:t>0</w:t>
            </w:r>
            <w:r>
              <w:rPr>
                <w:rFonts w:ascii="Arial" w:eastAsia="楷体" w:cs="Arial"/>
                <w:w w:val="80"/>
                <w:sz w:val="24"/>
              </w:rPr>
              <w:t>6月</w:t>
            </w:r>
            <w:r>
              <w:rPr>
                <w:rFonts w:hint="eastAsia" w:ascii="Arial" w:eastAsia="楷体" w:cs="Arial"/>
                <w:w w:val="80"/>
                <w:sz w:val="24"/>
              </w:rPr>
              <w:t>2</w:t>
            </w:r>
            <w:r>
              <w:rPr>
                <w:rFonts w:ascii="Arial" w:eastAsia="楷体" w:cs="Arial"/>
                <w:w w:val="80"/>
                <w:sz w:val="24"/>
              </w:rPr>
              <w:t>0日</w:t>
            </w:r>
          </w:p>
        </w:tc>
      </w:tr>
      <w:tr>
        <w:trPr>
          <w:trHeight w:val="437" w:hRule="atLeast"/>
        </w:trPr>
        <w:tc>
          <w:tcPr>
            <w:tcW w:w="3970" w:type="dxa"/>
            <w:gridSpan w:val="2"/>
            <w:noWrap w:val="0"/>
            <w:vAlign w:val="center"/>
          </w:tcPr>
          <w:p>
            <w:pPr>
              <w:pStyle w:val="43"/>
              <w:framePr w:hSpace="0" w:wrap="auto" w:vAnchor="margin" w:hAnchor="text" w:yAlign="inline"/>
              <w:spacing w:line="300" w:lineRule="exact"/>
              <w:ind w:firstLine="630" w:firstLineChars="300"/>
              <w:rPr>
                <w:rFonts w:ascii="Arial" w:eastAsia="楷体" w:cs="Arial"/>
                <w:b w:val="0"/>
                <w:color w:val="000000"/>
                <w:sz w:val="21"/>
                <w:szCs w:val="21"/>
              </w:rPr>
            </w:pPr>
            <w:r>
              <w:rPr>
                <w:rFonts w:hint="default" w:ascii="Arial" w:eastAsia="楷体" w:cs="Arial"/>
                <w:b w:val="0"/>
                <w:color w:val="000000"/>
                <w:sz w:val="21"/>
                <w:szCs w:val="21"/>
              </w:rPr>
              <w:t>博通集成</w:t>
            </w:r>
            <w:r>
              <w:rPr>
                <w:rFonts w:hint="eastAsia" w:ascii="Arial" w:eastAsia="楷体" w:cs="Arial"/>
                <w:b w:val="0"/>
                <w:color w:val="000000"/>
                <w:sz w:val="21"/>
                <w:szCs w:val="21"/>
              </w:rPr>
              <w:t>(</w:t>
            </w:r>
            <w:r>
              <w:rPr>
                <w:rFonts w:hint="default" w:ascii="Arial" w:eastAsia="楷体" w:cs="Arial"/>
                <w:b w:val="0"/>
                <w:color w:val="000000"/>
                <w:sz w:val="21"/>
                <w:szCs w:val="21"/>
              </w:rPr>
              <w:t>603068</w:t>
            </w:r>
            <w:r>
              <w:rPr>
                <w:rFonts w:ascii="Arial" w:eastAsia="楷体" w:cs="Arial"/>
                <w:b w:val="0"/>
                <w:color w:val="000000"/>
                <w:sz w:val="21"/>
                <w:szCs w:val="21"/>
              </w:rPr>
              <w:t>.SH)/电子</w:t>
            </w:r>
          </w:p>
        </w:tc>
        <w:tc>
          <w:tcPr>
            <w:tcW w:w="6911" w:type="dxa"/>
            <w:gridSpan w:val="2"/>
            <w:noWrap w:val="0"/>
            <w:vAlign w:val="top"/>
          </w:tcPr>
          <w:p>
            <w:pPr>
              <w:pStyle w:val="29"/>
              <w:framePr w:hSpace="0" w:wrap="auto" w:vAnchor="margin" w:hAnchor="text" w:yAlign="inline"/>
              <w:ind w:firstLine="1400" w:firstLineChars="500"/>
              <w:jc w:val="both"/>
              <w:rPr>
                <w:rFonts w:ascii="Arial" w:eastAsia="楷体" w:cs="Arial"/>
                <w:b w:val="0"/>
                <w:color w:val="000000"/>
              </w:rPr>
            </w:pPr>
          </w:p>
        </w:tc>
      </w:tr>
    </w:tbl>
    <w:p>
      <w:pPr>
        <w:spacing w:line="60" w:lineRule="exact"/>
        <w:rPr>
          <w:rFonts w:eastAsia="楷体" w:cs="Arial"/>
          <w:color w:val="000000"/>
        </w:rPr>
      </w:pPr>
      <w:r>
        <mc:AlternateContent>
          <mc:Choice Requires="wps">
            <w:drawing>
              <wp:anchor distT="0" distB="0" distL="114300" distR="114300" simplePos="0" relativeHeight="251658240" behindDoc="1" locked="0" layoutInCell="1" allowOverlap="1">
                <wp:simplePos x="0" y="0"/>
                <wp:positionH relativeFrom="column">
                  <wp:posOffset>-570865</wp:posOffset>
                </wp:positionH>
                <wp:positionV relativeFrom="paragraph">
                  <wp:posOffset>-923290</wp:posOffset>
                </wp:positionV>
                <wp:extent cx="342900" cy="10698480"/>
                <wp:effectExtent l="0" t="0" r="12700" b="20320"/>
                <wp:wrapNone/>
                <wp:docPr id="1" name="文本框 2"/>
                <wp:cNvGraphicFramePr/>
                <a:graphic xmlns:a="http://schemas.openxmlformats.org/drawingml/2006/main">
                  <a:graphicData uri="http://schemas.microsoft.com/office/word/2010/wordprocessingShape">
                    <wps:wsp>
                      <wps:cNvSpPr txBox="1"/>
                      <wps:spPr>
                        <a:xfrm>
                          <a:off x="0" y="0"/>
                          <a:ext cx="342900" cy="10698480"/>
                        </a:xfrm>
                        <a:prstGeom prst="rect">
                          <a:avLst/>
                        </a:prstGeom>
                        <a:solidFill>
                          <a:srgbClr val="FFECE6">
                            <a:alpha val="72940"/>
                          </a:srgbClr>
                        </a:solidFill>
                        <a:ln w="9525">
                          <a:noFill/>
                        </a:ln>
                      </wps:spPr>
                      <wps:txbx>
                        <w:txbxContent>
                          <w:p/>
                        </w:txbxContent>
                      </wps:txbx>
                      <wps:bodyPr vert="eaVert" wrap="square" upright="1"/>
                    </wps:wsp>
                  </a:graphicData>
                </a:graphic>
              </wp:anchor>
            </w:drawing>
          </mc:Choice>
          <mc:Fallback>
            <w:pict>
              <v:shape id="文本框 2" o:spid="_x0000_s1026" o:spt="202" type="#_x0000_t202" style="position:absolute;left:0pt;margin-left:-44.95pt;margin-top:-72.7pt;height:842.4pt;width:27pt;z-index:-251658240;mso-width-relative:page;mso-height-relative:page;" fillcolor="#FFECE6" filled="t" stroked="f" coordsize="21600,21600" o:gfxdata="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AR&#10;eiuw2wAAAA0BAAAPAAAAAAAAAAEAIAAAADgAAABkcnMvZG93bnJldi54bWxQSwECFAAUAAAACACH&#10;TuJAWepxx9IBAABwAwAADgAAAAAAAAABACAAAABAAQAAZHJzL2Uyb0RvYy54bWxQSwUGAAAAAAYA&#10;BgBZAQAAhAUAAAAA&#10;">
                <v:fill on="t" opacity="47801f" focussize="0,0"/>
                <v:stroke on="f"/>
                <v:imagedata o:title=""/>
                <o:lock v:ext="edit" aspectratio="f"/>
                <v:textbox style="layout-flow:vertical-ideographic;">
                  <w:txbxContent>
                    <w:p/>
                  </w:txbxContent>
                </v:textbox>
              </v:shape>
            </w:pict>
          </mc:Fallback>
        </mc:AlternateContent>
      </w:r>
    </w:p>
    <w:tbl>
      <w:tblPr>
        <w:tblStyle w:val="22"/>
        <w:tblW w:w="10871" w:type="dxa"/>
        <w:tblInd w:w="-176" w:type="dxa"/>
        <w:tblLayout w:type="autofit"/>
        <w:tblCellMar>
          <w:top w:w="0" w:type="dxa"/>
          <w:left w:w="108" w:type="dxa"/>
          <w:bottom w:w="0" w:type="dxa"/>
          <w:right w:w="108" w:type="dxa"/>
        </w:tblCellMar>
      </w:tblPr>
      <w:tblGrid>
        <w:gridCol w:w="3267"/>
        <w:gridCol w:w="7604"/>
      </w:tblGrid>
      <w:tr>
        <w:trPr>
          <w:trHeight w:val="13411" w:hRule="atLeast"/>
        </w:trPr>
        <w:tc>
          <w:tcPr>
            <w:tcW w:w="3267" w:type="dxa"/>
            <w:tcBorders>
              <w:right w:val="single" w:color="9E1F00" w:sz="2" w:space="0"/>
            </w:tcBorders>
            <w:noWrap w:val="0"/>
            <w:vAlign w:val="top"/>
          </w:tcPr>
          <w:tbl>
            <w:tblPr>
              <w:tblStyle w:val="22"/>
              <w:tblpPr w:leftFromText="181" w:rightFromText="181" w:vertAnchor="text" w:tblpY="7"/>
              <w:tblW w:w="2997" w:type="dxa"/>
              <w:tblInd w:w="0" w:type="dxa"/>
              <w:tblLayout w:type="autofit"/>
              <w:tblCellMar>
                <w:top w:w="0" w:type="dxa"/>
                <w:left w:w="108" w:type="dxa"/>
                <w:bottom w:w="0" w:type="dxa"/>
                <w:right w:w="108" w:type="dxa"/>
              </w:tblCellMar>
            </w:tblPr>
            <w:tblGrid>
              <w:gridCol w:w="2997"/>
            </w:tblGrid>
            <w:tr>
              <w:trPr>
                <w:trHeight w:val="23" w:hRule="exact"/>
              </w:trPr>
              <w:tc>
                <w:tcPr>
                  <w:tcW w:w="2997" w:type="dxa"/>
                  <w:tcBorders>
                    <w:bottom w:val="single" w:color="9E1F00" w:sz="12" w:space="0"/>
                  </w:tcBorders>
                  <w:noWrap w:val="0"/>
                  <w:vAlign w:val="top"/>
                </w:tcPr>
                <w:p>
                  <w:pPr>
                    <w:rPr>
                      <w:rFonts w:eastAsia="楷体" w:cs="Arial"/>
                      <w:color w:val="000000"/>
                    </w:rPr>
                  </w:pPr>
                  <w:r>
                    <w:rPr>
                      <w:rFonts w:eastAsia="楷体" w:cs="Arial"/>
                      <w:color w:val="000000"/>
                    </w:rPr>
                    <w:t>[Table_Title]</w:t>
                  </w:r>
                </w:p>
              </w:tc>
            </w:tr>
            <w:tr>
              <w:trPr>
                <w:trHeight w:val="342" w:hRule="exact"/>
              </w:trPr>
              <w:tc>
                <w:tcPr>
                  <w:tcW w:w="2997" w:type="dxa"/>
                  <w:tcBorders>
                    <w:top w:val="single" w:color="9E1F00" w:sz="12" w:space="0"/>
                    <w:bottom w:val="dashed" w:color="E4C4AD" w:sz="12" w:space="0"/>
                  </w:tcBorders>
                  <w:shd w:val="clear" w:color="auto" w:fill="FFF4F2"/>
                  <w:noWrap w:val="0"/>
                  <w:vAlign w:val="top"/>
                </w:tcPr>
                <w:p>
                  <w:pPr>
                    <w:pStyle w:val="39"/>
                    <w:jc w:val="both"/>
                    <w:rPr>
                      <w:rFonts w:ascii="Arial" w:hAnsi="Arial" w:eastAsia="楷体" w:cs="Arial"/>
                      <w:color w:val="000000"/>
                      <w:sz w:val="24"/>
                      <w:szCs w:val="24"/>
                    </w:rPr>
                  </w:pPr>
                  <w:r>
                    <w:rPr>
                      <w:rFonts w:ascii="Arial" w:hAnsi="Arial" w:eastAsia="楷体" w:cs="Arial"/>
                      <w:color w:val="000000"/>
                      <w:sz w:val="24"/>
                      <w:szCs w:val="24"/>
                    </w:rPr>
                    <w:t>评级：买入(首次)</w:t>
                  </w:r>
                </w:p>
              </w:tc>
            </w:tr>
            <w:tr>
              <w:trPr>
                <w:trHeight w:val="342" w:hRule="exact"/>
              </w:trPr>
              <w:tc>
                <w:tcPr>
                  <w:tcW w:w="2997" w:type="dxa"/>
                  <w:tcBorders>
                    <w:top w:val="dashed" w:color="E4C4AD" w:sz="12" w:space="0"/>
                  </w:tcBorders>
                  <w:noWrap w:val="0"/>
                  <w:vAlign w:val="top"/>
                </w:tcPr>
                <w:p>
                  <w:pPr>
                    <w:pStyle w:val="39"/>
                    <w:jc w:val="both"/>
                    <w:rPr>
                      <w:rFonts w:ascii="Arial" w:hAnsi="Arial" w:eastAsia="楷体" w:cs="Arial"/>
                      <w:color w:val="000000"/>
                      <w:sz w:val="24"/>
                      <w:szCs w:val="24"/>
                    </w:rPr>
                  </w:pPr>
                  <w:r>
                    <w:rPr>
                      <w:rFonts w:ascii="Arial" w:hAnsi="Arial" w:eastAsia="楷体" w:cs="Arial"/>
                      <w:color w:val="000000"/>
                      <w:sz w:val="18"/>
                      <w:szCs w:val="18"/>
                    </w:rPr>
                    <w:t>市场价格：</w:t>
                  </w:r>
                </w:p>
              </w:tc>
            </w:tr>
            <w:tr>
              <w:trPr>
                <w:trHeight w:val="342" w:hRule="exact"/>
              </w:trPr>
              <w:tc>
                <w:tcPr>
                  <w:tcW w:w="2997" w:type="dxa"/>
                  <w:tcBorders>
                    <w:bottom w:val="single" w:color="9E1F00" w:sz="12" w:space="0"/>
                  </w:tcBorders>
                  <w:noWrap w:val="0"/>
                  <w:vAlign w:val="top"/>
                </w:tcPr>
                <w:p>
                  <w:pPr>
                    <w:pStyle w:val="39"/>
                    <w:jc w:val="both"/>
                    <w:rPr>
                      <w:rFonts w:ascii="Arial" w:hAnsi="Arial" w:eastAsia="楷体" w:cs="Arial"/>
                      <w:color w:val="000000"/>
                      <w:sz w:val="24"/>
                      <w:szCs w:val="24"/>
                    </w:rPr>
                  </w:pPr>
                  <w:r>
                    <w:rPr>
                      <w:rFonts w:ascii="Arial" w:hAnsi="Arial" w:eastAsia="楷体" w:cs="Arial"/>
                      <w:color w:val="000000"/>
                      <w:sz w:val="18"/>
                      <w:szCs w:val="18"/>
                    </w:rPr>
                    <w:t>：</w:t>
                  </w:r>
                </w:p>
              </w:tc>
            </w:tr>
            <w:tr>
              <w:trPr>
                <w:trHeight w:val="342" w:hRule="exact"/>
              </w:trPr>
              <w:tc>
                <w:tcPr>
                  <w:tcW w:w="2997" w:type="dxa"/>
                  <w:noWrap w:val="0"/>
                  <w:vAlign w:val="top"/>
                </w:tcPr>
                <w:p>
                  <w:pPr>
                    <w:pStyle w:val="28"/>
                    <w:jc w:val="both"/>
                    <w:rPr>
                      <w:rFonts w:eastAsia="楷体" w:cs="Arial"/>
                      <w:color w:val="000000"/>
                    </w:rPr>
                  </w:pPr>
                </w:p>
              </w:tc>
            </w:tr>
            <w:tr>
              <w:trPr>
                <w:trHeight w:val="342" w:hRule="exact"/>
              </w:trPr>
              <w:tc>
                <w:tcPr>
                  <w:tcW w:w="2997" w:type="dxa"/>
                  <w:noWrap w:val="0"/>
                  <w:vAlign w:val="top"/>
                </w:tcPr>
                <w:p>
                  <w:pPr>
                    <w:pStyle w:val="28"/>
                    <w:jc w:val="both"/>
                    <w:rPr>
                      <w:rFonts w:eastAsia="楷体" w:cs="Arial"/>
                      <w:color w:val="000000"/>
                    </w:rPr>
                  </w:pPr>
                  <w:bookmarkStart w:id="94" w:name="_GoBack"/>
                  <w:bookmarkEnd w:id="94"/>
                </w:p>
              </w:tc>
            </w:tr>
            <w:tr>
              <w:trPr>
                <w:trHeight w:val="342" w:hRule="exact"/>
              </w:trPr>
              <w:tc>
                <w:tcPr>
                  <w:tcW w:w="2997" w:type="dxa"/>
                  <w:noWrap w:val="0"/>
                  <w:vAlign w:val="top"/>
                </w:tcPr>
                <w:p>
                  <w:pPr>
                    <w:pStyle w:val="28"/>
                    <w:jc w:val="both"/>
                    <w:rPr>
                      <w:rFonts w:eastAsia="楷体" w:cs="Arial"/>
                      <w:b/>
                      <w:color w:val="000000"/>
                    </w:rPr>
                  </w:pPr>
                </w:p>
              </w:tc>
            </w:tr>
            <w:tr>
              <w:trPr>
                <w:trHeight w:val="342" w:hRule="exact"/>
              </w:trPr>
              <w:tc>
                <w:tcPr>
                  <w:tcW w:w="2997" w:type="dxa"/>
                  <w:noWrap w:val="0"/>
                  <w:vAlign w:val="top"/>
                </w:tcPr>
                <w:p>
                  <w:pPr>
                    <w:pStyle w:val="28"/>
                    <w:jc w:val="both"/>
                    <w:rPr>
                      <w:rFonts w:eastAsia="楷体" w:cs="Arial"/>
                      <w:b/>
                      <w:color w:val="000000"/>
                    </w:rPr>
                  </w:pPr>
                </w:p>
              </w:tc>
            </w:tr>
            <w:tr>
              <w:trPr>
                <w:trHeight w:val="342" w:hRule="exact"/>
              </w:trPr>
              <w:tc>
                <w:tcPr>
                  <w:tcW w:w="2997" w:type="dxa"/>
                  <w:noWrap w:val="0"/>
                  <w:vAlign w:val="top"/>
                </w:tcPr>
                <w:p>
                  <w:pPr>
                    <w:pStyle w:val="28"/>
                    <w:jc w:val="both"/>
                    <w:rPr>
                      <w:rFonts w:eastAsia="楷体" w:cs="Arial"/>
                      <w:color w:val="000000"/>
                    </w:rPr>
                  </w:pPr>
                </w:p>
              </w:tc>
            </w:tr>
          </w:tbl>
          <w:p>
            <w:pPr>
              <w:spacing w:line="120" w:lineRule="exact"/>
              <w:rPr>
                <w:rFonts w:eastAsia="楷体" w:cs="Arial"/>
                <w:color w:val="000000"/>
              </w:rPr>
            </w:pPr>
          </w:p>
          <w:tbl>
            <w:tblPr>
              <w:tblStyle w:val="22"/>
              <w:tblpPr w:leftFromText="181" w:rightFromText="181" w:vertAnchor="text" w:tblpY="7"/>
              <w:tblW w:w="3011" w:type="dxa"/>
              <w:tblInd w:w="0" w:type="dxa"/>
              <w:tblLayout w:type="autofit"/>
              <w:tblCellMar>
                <w:top w:w="0" w:type="dxa"/>
                <w:left w:w="108" w:type="dxa"/>
                <w:bottom w:w="0" w:type="dxa"/>
                <w:right w:w="108" w:type="dxa"/>
              </w:tblCellMar>
            </w:tblPr>
            <w:tblGrid>
              <w:gridCol w:w="1701"/>
              <w:gridCol w:w="1310"/>
            </w:tblGrid>
            <w:tr>
              <w:trPr>
                <w:trHeight w:val="23" w:hRule="exact"/>
              </w:trPr>
              <w:tc>
                <w:tcPr>
                  <w:tcW w:w="3011" w:type="dxa"/>
                  <w:gridSpan w:val="2"/>
                  <w:tcBorders>
                    <w:bottom w:val="single" w:color="9E1F00" w:sz="12" w:space="0"/>
                  </w:tcBorders>
                  <w:noWrap w:val="0"/>
                  <w:vAlign w:val="top"/>
                </w:tcPr>
                <w:p>
                  <w:pPr>
                    <w:rPr>
                      <w:rFonts w:eastAsia="楷体" w:cs="Arial"/>
                      <w:color w:val="000000"/>
                    </w:rPr>
                  </w:pPr>
                  <w:r>
                    <w:rPr>
                      <w:rFonts w:eastAsia="楷体" w:cs="Arial"/>
                      <w:color w:val="000000"/>
                    </w:rPr>
                    <w:t>[</w:t>
                  </w:r>
                  <w:r>
                    <w:rPr>
                      <w:rFonts w:eastAsia="楷体" w:cs="Arial"/>
                      <w:color w:val="000000"/>
                    </w:rPr>
                    <w:cr/>
                  </w:r>
                  <w:r>
                    <w:rPr>
                      <w:rFonts w:eastAsia="楷体" w:cs="Arial"/>
                      <w:color w:val="000000"/>
                    </w:rPr>
                    <w:t>ab</w:t>
                  </w:r>
                  <w:r>
                    <w:rPr>
                      <w:rFonts w:eastAsia="楷体" w:cs="Arial"/>
                      <w:color w:val="000000"/>
                    </w:rPr>
                    <w:cr/>
                  </w:r>
                  <w:r>
                    <w:rPr>
                      <w:rFonts w:eastAsia="楷体" w:cs="Arial"/>
                      <w:color w:val="000000"/>
                    </w:rPr>
                    <w:t>e_Profit]</w:t>
                  </w:r>
                </w:p>
              </w:tc>
            </w:tr>
            <w:tr>
              <w:trPr>
                <w:trHeight w:val="312" w:hRule="exact"/>
              </w:trPr>
              <w:tc>
                <w:tcPr>
                  <w:tcW w:w="3011" w:type="dxa"/>
                  <w:gridSpan w:val="2"/>
                  <w:tcBorders>
                    <w:top w:val="single" w:color="9E1F00" w:sz="12" w:space="0"/>
                    <w:bottom w:val="dashed" w:color="E4C4AD" w:sz="12" w:space="0"/>
                  </w:tcBorders>
                  <w:shd w:val="clear" w:color="auto" w:fill="FFF4F2"/>
                  <w:noWrap w:val="0"/>
                  <w:vAlign w:val="top"/>
                </w:tcPr>
                <w:p>
                  <w:pPr>
                    <w:pStyle w:val="25"/>
                    <w:rPr>
                      <w:rFonts w:ascii="Arial" w:eastAsia="楷体" w:cs="Arial"/>
                      <w:color w:val="000000"/>
                    </w:rPr>
                  </w:pPr>
                  <w:r>
                    <w:rPr>
                      <w:rFonts w:ascii="Arial" w:eastAsia="楷体" w:cs="Arial"/>
                      <w:color w:val="000000"/>
                    </w:rPr>
                    <w:t>基本状况</w:t>
                  </w:r>
                </w:p>
              </w:tc>
            </w:tr>
            <w:tr>
              <w:trPr>
                <w:trHeight w:val="255" w:hRule="exact"/>
              </w:trPr>
              <w:tc>
                <w:tcPr>
                  <w:tcW w:w="1701" w:type="dxa"/>
                  <w:tcBorders>
                    <w:top w:val="dashed" w:color="E4C4AD" w:sz="12" w:space="0"/>
                  </w:tcBorders>
                  <w:noWrap w:val="0"/>
                  <w:vAlign w:val="top"/>
                </w:tcPr>
                <w:p>
                  <w:pPr>
                    <w:rPr>
                      <w:rStyle w:val="44"/>
                      <w:rFonts w:eastAsia="楷体" w:cs="Arial"/>
                      <w:color w:val="000000"/>
                    </w:rPr>
                  </w:pPr>
                  <w:r>
                    <w:rPr>
                      <w:rStyle w:val="44"/>
                      <w:rFonts w:eastAsia="楷体" w:cs="Arial"/>
                      <w:color w:val="000000"/>
                    </w:rPr>
                    <w:t>总股本(亿股</w:t>
                  </w:r>
                  <w:r>
                    <w:rPr>
                      <w:rStyle w:val="44"/>
                      <w:rFonts w:hint="eastAsia" w:eastAsia="楷体" w:cs="Arial"/>
                      <w:color w:val="000000"/>
                    </w:rPr>
                    <w:t>)</w:t>
                  </w:r>
                  <w:r>
                    <w:rPr>
                      <w:rStyle w:val="44"/>
                      <w:rFonts w:eastAsia="楷体" w:cs="Arial"/>
                      <w:color w:val="000000"/>
                    </w:rPr>
                    <w:cr/>
                  </w:r>
                </w:p>
              </w:tc>
              <w:tc>
                <w:tcPr>
                  <w:tcW w:w="1310" w:type="dxa"/>
                  <w:tcBorders>
                    <w:top w:val="dashed" w:color="E4C4AD" w:sz="12" w:space="0"/>
                  </w:tcBorders>
                  <w:noWrap w:val="0"/>
                  <w:vAlign w:val="top"/>
                </w:tcPr>
                <w:p>
                  <w:pPr>
                    <w:pStyle w:val="28"/>
                    <w:rPr>
                      <w:rFonts w:eastAsia="楷体" w:cs="Arial"/>
                      <w:color w:val="000000"/>
                    </w:rPr>
                  </w:pPr>
                </w:p>
              </w:tc>
            </w:tr>
            <w:tr>
              <w:trPr>
                <w:trHeight w:val="255" w:hRule="exact"/>
              </w:trPr>
              <w:tc>
                <w:tcPr>
                  <w:tcW w:w="1701" w:type="dxa"/>
                  <w:noWrap w:val="0"/>
                  <w:vAlign w:val="top"/>
                </w:tcPr>
                <w:p>
                  <w:pPr>
                    <w:rPr>
                      <w:rStyle w:val="44"/>
                      <w:rFonts w:eastAsia="楷体" w:cs="Arial"/>
                      <w:color w:val="000000"/>
                    </w:rPr>
                  </w:pPr>
                  <w:r>
                    <w:rPr>
                      <w:rStyle w:val="44"/>
                      <w:rFonts w:eastAsia="楷体" w:cs="Arial"/>
                      <w:color w:val="000000"/>
                    </w:rPr>
                    <w:t>流通股本(亿股)</w:t>
                  </w:r>
                </w:p>
              </w:tc>
              <w:tc>
                <w:tcPr>
                  <w:tcW w:w="1310" w:type="dxa"/>
                  <w:noWrap w:val="0"/>
                  <w:vAlign w:val="top"/>
                </w:tcPr>
                <w:p>
                  <w:pPr>
                    <w:pStyle w:val="28"/>
                    <w:rPr>
                      <w:rFonts w:eastAsia="楷体" w:cs="Arial"/>
                      <w:color w:val="000000"/>
                    </w:rPr>
                  </w:pPr>
                </w:p>
              </w:tc>
            </w:tr>
            <w:tr>
              <w:trPr>
                <w:trHeight w:val="255" w:hRule="exact"/>
              </w:trPr>
              <w:tc>
                <w:tcPr>
                  <w:tcW w:w="1701" w:type="dxa"/>
                  <w:noWrap w:val="0"/>
                  <w:vAlign w:val="top"/>
                </w:tcPr>
                <w:p>
                  <w:pPr>
                    <w:rPr>
                      <w:rStyle w:val="44"/>
                      <w:rFonts w:eastAsia="楷体" w:cs="Arial"/>
                      <w:color w:val="000000"/>
                    </w:rPr>
                  </w:pPr>
                  <w:r>
                    <w:rPr>
                      <w:rStyle w:val="44"/>
                      <w:rFonts w:eastAsia="楷体" w:cs="Arial"/>
                      <w:color w:val="000000"/>
                    </w:rPr>
                    <w:t>市价(元)</w:t>
                  </w:r>
                </w:p>
              </w:tc>
              <w:tc>
                <w:tcPr>
                  <w:tcW w:w="1310" w:type="dxa"/>
                  <w:noWrap w:val="0"/>
                  <w:vAlign w:val="top"/>
                </w:tcPr>
                <w:p>
                  <w:pPr>
                    <w:pStyle w:val="28"/>
                    <w:rPr>
                      <w:rFonts w:eastAsia="楷体" w:cs="Arial"/>
                      <w:color w:val="000000"/>
                    </w:rPr>
                  </w:pPr>
                </w:p>
              </w:tc>
            </w:tr>
            <w:tr>
              <w:trPr>
                <w:trHeight w:val="255" w:hRule="exact"/>
              </w:trPr>
              <w:tc>
                <w:tcPr>
                  <w:tcW w:w="1701" w:type="dxa"/>
                  <w:noWrap w:val="0"/>
                  <w:vAlign w:val="top"/>
                </w:tcPr>
                <w:p>
                  <w:pPr>
                    <w:rPr>
                      <w:rStyle w:val="44"/>
                      <w:rFonts w:eastAsia="楷体" w:cs="Arial"/>
                      <w:color w:val="000000"/>
                    </w:rPr>
                  </w:pPr>
                  <w:r>
                    <w:rPr>
                      <w:rStyle w:val="44"/>
                      <w:rFonts w:eastAsia="楷体" w:cs="Arial"/>
                      <w:color w:val="000000"/>
                    </w:rPr>
                    <w:t>市值(亿元)</w:t>
                  </w:r>
                </w:p>
              </w:tc>
              <w:tc>
                <w:tcPr>
                  <w:tcW w:w="1310" w:type="dxa"/>
                  <w:noWrap w:val="0"/>
                  <w:vAlign w:val="top"/>
                </w:tcPr>
                <w:p>
                  <w:pPr>
                    <w:pStyle w:val="28"/>
                    <w:wordWrap w:val="0"/>
                    <w:rPr>
                      <w:rFonts w:eastAsia="楷体" w:cs="Arial"/>
                      <w:color w:val="000000"/>
                    </w:rPr>
                  </w:pPr>
                </w:p>
              </w:tc>
            </w:tr>
            <w:tr>
              <w:trPr>
                <w:trHeight w:val="255" w:hRule="exact"/>
              </w:trPr>
              <w:tc>
                <w:tcPr>
                  <w:tcW w:w="1701" w:type="dxa"/>
                  <w:noWrap w:val="0"/>
                  <w:vAlign w:val="top"/>
                </w:tcPr>
                <w:p>
                  <w:pPr>
                    <w:rPr>
                      <w:rStyle w:val="44"/>
                      <w:rFonts w:eastAsia="楷体" w:cs="Arial"/>
                      <w:color w:val="000000"/>
                    </w:rPr>
                  </w:pPr>
                  <w:r>
                    <w:rPr>
                      <w:rStyle w:val="44"/>
                      <w:rFonts w:eastAsia="楷体" w:cs="Arial"/>
                      <w:color w:val="000000"/>
                    </w:rPr>
                    <w:t>流通市值(</w:t>
                  </w:r>
                  <w:r>
                    <w:rPr>
                      <w:rStyle w:val="44"/>
                      <w:rFonts w:hint="eastAsia" w:eastAsia="楷体" w:cs="Arial"/>
                      <w:color w:val="000000"/>
                    </w:rPr>
                    <w:t>亿</w:t>
                  </w:r>
                  <w:r>
                    <w:rPr>
                      <w:rStyle w:val="44"/>
                      <w:rFonts w:eastAsia="楷体" w:cs="Arial"/>
                      <w:color w:val="000000"/>
                    </w:rPr>
                    <w:t>元)</w:t>
                  </w:r>
                </w:p>
              </w:tc>
              <w:tc>
                <w:tcPr>
                  <w:tcW w:w="1310" w:type="dxa"/>
                  <w:noWrap w:val="0"/>
                  <w:vAlign w:val="top"/>
                </w:tcPr>
                <w:p>
                  <w:pPr>
                    <w:pStyle w:val="28"/>
                    <w:wordWrap w:val="0"/>
                    <w:rPr>
                      <w:rFonts w:eastAsia="楷体" w:cs="Arial"/>
                      <w:color w:val="000000"/>
                    </w:rPr>
                  </w:pPr>
                </w:p>
              </w:tc>
            </w:tr>
          </w:tbl>
          <w:p>
            <w:pPr>
              <w:spacing w:line="120" w:lineRule="exact"/>
              <w:rPr>
                <w:rFonts w:eastAsia="楷体" w:cs="Arial"/>
                <w:color w:val="000000"/>
              </w:rPr>
            </w:pPr>
          </w:p>
          <w:tbl>
            <w:tblPr>
              <w:tblStyle w:val="22"/>
              <w:tblpPr w:leftFromText="181" w:rightFromText="181" w:vertAnchor="text" w:tblpY="7"/>
              <w:tblW w:w="3037" w:type="dxa"/>
              <w:tblInd w:w="0" w:type="dxa"/>
              <w:tblLayout w:type="autofit"/>
              <w:tblCellMar>
                <w:top w:w="0" w:type="dxa"/>
                <w:left w:w="108" w:type="dxa"/>
                <w:bottom w:w="0" w:type="dxa"/>
                <w:right w:w="108" w:type="dxa"/>
              </w:tblCellMar>
            </w:tblPr>
            <w:tblGrid>
              <w:gridCol w:w="3037"/>
            </w:tblGrid>
            <w:tr>
              <w:trPr>
                <w:trHeight w:val="28" w:hRule="exact"/>
              </w:trPr>
              <w:tc>
                <w:tcPr>
                  <w:tcW w:w="3037" w:type="dxa"/>
                  <w:tcBorders>
                    <w:bottom w:val="single" w:color="9E1F00" w:sz="12" w:space="0"/>
                  </w:tcBorders>
                  <w:noWrap w:val="0"/>
                  <w:vAlign w:val="top"/>
                </w:tcPr>
                <w:p>
                  <w:pPr>
                    <w:rPr>
                      <w:rFonts w:eastAsia="楷体" w:cs="Arial"/>
                      <w:color w:val="000000"/>
                    </w:rPr>
                  </w:pPr>
                  <w:r>
                    <w:rPr>
                      <w:rFonts w:eastAsia="楷体" w:cs="Arial"/>
                      <w:color w:val="000000"/>
                    </w:rPr>
                    <w:t>[Table_QuotePic]</w:t>
                  </w:r>
                </w:p>
              </w:tc>
            </w:tr>
            <w:tr>
              <w:trPr>
                <w:trHeight w:val="286" w:hRule="exact"/>
              </w:trPr>
              <w:tc>
                <w:tcPr>
                  <w:tcW w:w="3037" w:type="dxa"/>
                  <w:tcBorders>
                    <w:top w:val="single" w:color="9E1F00" w:sz="12" w:space="0"/>
                    <w:bottom w:val="dashed" w:color="E4C4AD" w:sz="12" w:space="0"/>
                  </w:tcBorders>
                  <w:shd w:val="clear" w:color="auto" w:fill="FFF4F2"/>
                  <w:noWrap w:val="0"/>
                  <w:vAlign w:val="bottom"/>
                </w:tcPr>
                <w:p>
                  <w:pPr>
                    <w:pStyle w:val="25"/>
                    <w:rPr>
                      <w:rFonts w:ascii="Arial" w:eastAsia="楷体" w:cs="Arial"/>
                      <w:color w:val="000000"/>
                    </w:rPr>
                  </w:pPr>
                  <w:r>
                    <w:rPr>
                      <w:rFonts w:ascii="Arial" w:eastAsia="楷体" w:cs="Arial"/>
                      <w:color w:val="000000"/>
                    </w:rPr>
                    <w:t>股价与行业-市场走势对比</w:t>
                  </w:r>
                </w:p>
              </w:tc>
            </w:tr>
            <w:tr>
              <w:trPr>
                <w:trHeight w:val="2442" w:hRule="exact"/>
              </w:trPr>
              <w:tc>
                <w:tcPr>
                  <w:tcW w:w="3037" w:type="dxa"/>
                  <w:tcBorders>
                    <w:top w:val="dashed" w:color="E4C4AD" w:sz="12" w:space="0"/>
                    <w:bottom w:val="dashed" w:color="E4C4AD" w:sz="12" w:space="0"/>
                  </w:tcBorders>
                  <w:noWrap w:val="0"/>
                  <w:vAlign w:val="center"/>
                </w:tcPr>
                <w:p>
                  <w:pPr>
                    <w:jc w:val="center"/>
                    <w:rPr>
                      <w:rFonts w:eastAsia="楷体" w:cs="Arial"/>
                      <w:b/>
                      <w:bCs/>
                      <w:color w:val="000000"/>
                    </w:rPr>
                  </w:pPr>
                  <w:bookmarkStart w:id="0" w:name="sinitek_field_009"/>
                  <w:bookmarkStart w:id="1" w:name="sinitek_field_001"/>
                  <w:r>
                    <w:rPr>
                      <w:rFonts w:eastAsia="楷体" w:cs="Arial"/>
                      <w:b/>
                      <w:bCs/>
                      <w:color w:val="000000"/>
                    </w:rPr>
                    <w:fldChar w:fldCharType="begin"/>
                  </w:r>
                  <w:r>
                    <w:rPr>
                      <w:rFonts w:eastAsia="楷体" w:cs="Arial"/>
                      <w:b/>
                      <w:bCs/>
                      <w:color w:val="000000"/>
                    </w:rPr>
                    <w:instrText xml:space="preserve">ADDIN CHART stkmarketchart("${stkcode}")</w:instrText>
                  </w:r>
                  <w:r>
                    <w:rPr>
                      <w:rFonts w:eastAsia="楷体" w:cs="Arial"/>
                      <w:b/>
                      <w:bCs/>
                      <w:color w:val="000000"/>
                    </w:rPr>
                    <w:fldChar w:fldCharType="end"/>
                  </w:r>
                  <w:bookmarkEnd w:id="0"/>
                  <w:r>
                    <w:rPr>
                      <w:rFonts w:eastAsia="楷体" w:cs="Arial"/>
                      <w:b/>
                      <w:bCs/>
                      <w:color w:val="000000"/>
                    </w:rPr>
                    <w:fldChar w:fldCharType="begin"/>
                  </w:r>
                  <w:r>
                    <w:rPr>
                      <w:rFonts w:eastAsia="楷体" w:cs="Arial"/>
                      <w:b/>
                      <w:bCs/>
                      <w:color w:val="000000"/>
                    </w:rPr>
                    <w:instrText xml:space="preserve">ADDIN CHART stkmarketchart("${stkcode}")</w:instrText>
                  </w:r>
                  <w:r>
                    <w:rPr>
                      <w:rFonts w:eastAsia="楷体" w:cs="Arial"/>
                      <w:b/>
                      <w:bCs/>
                      <w:color w:val="000000"/>
                    </w:rPr>
                    <w:fldChar w:fldCharType="end"/>
                  </w:r>
                  <w:bookmarkEnd w:id="1"/>
                </w:p>
              </w:tc>
            </w:tr>
            <w:tr>
              <w:trPr>
                <w:trHeight w:val="20" w:hRule="exact"/>
              </w:trPr>
              <w:tc>
                <w:tcPr>
                  <w:tcW w:w="3037" w:type="dxa"/>
                  <w:tcBorders>
                    <w:top w:val="dashed" w:color="E4C4AD" w:sz="12" w:space="0"/>
                    <w:bottom w:val="single" w:color="9E1F00" w:sz="12" w:space="0"/>
                  </w:tcBorders>
                  <w:noWrap w:val="0"/>
                  <w:vAlign w:val="top"/>
                </w:tcPr>
                <w:p>
                  <w:pPr>
                    <w:rPr>
                      <w:rFonts w:eastAsia="楷体" w:cs="Arial"/>
                      <w:color w:val="000000"/>
                      <w:sz w:val="18"/>
                      <w:szCs w:val="18"/>
                    </w:rPr>
                  </w:pPr>
                  <w:r>
                    <w:rPr>
                      <w:rFonts w:eastAsia="楷体" w:cs="Arial"/>
                      <w:color w:val="000000"/>
                      <w:kern w:val="0"/>
                      <w:sz w:val="18"/>
                      <w:szCs w:val="18"/>
                    </w:rPr>
                    <w:t>公司持有该股票比例</w:t>
                  </w:r>
                </w:p>
              </w:tc>
            </w:tr>
          </w:tbl>
          <w:p>
            <w:pPr>
              <w:spacing w:line="120" w:lineRule="exact"/>
              <w:rPr>
                <w:rFonts w:eastAsia="楷体" w:cs="Arial"/>
                <w:color w:val="000000"/>
              </w:rPr>
            </w:pPr>
          </w:p>
          <w:tbl>
            <w:tblPr>
              <w:tblStyle w:val="22"/>
              <w:tblpPr w:leftFromText="181" w:rightFromText="181" w:vertAnchor="text" w:tblpY="7"/>
              <w:tblW w:w="2997" w:type="dxa"/>
              <w:tblInd w:w="0" w:type="dxa"/>
              <w:tblLayout w:type="autofit"/>
              <w:tblCellMar>
                <w:top w:w="0" w:type="dxa"/>
                <w:left w:w="108" w:type="dxa"/>
                <w:bottom w:w="0" w:type="dxa"/>
                <w:right w:w="108" w:type="dxa"/>
              </w:tblCellMar>
            </w:tblPr>
            <w:tblGrid>
              <w:gridCol w:w="2997"/>
            </w:tblGrid>
            <w:tr>
              <w:trPr>
                <w:trHeight w:val="28" w:hRule="exact"/>
              </w:trPr>
              <w:tc>
                <w:tcPr>
                  <w:tcW w:w="2997" w:type="dxa"/>
                  <w:tcBorders>
                    <w:top w:val="single" w:color="9E1F00" w:sz="12" w:space="0"/>
                  </w:tcBorders>
                  <w:noWrap w:val="0"/>
                  <w:vAlign w:val="top"/>
                </w:tcPr>
                <w:p>
                  <w:pPr>
                    <w:rPr>
                      <w:rFonts w:eastAsia="楷体" w:cs="Arial"/>
                      <w:color w:val="000000"/>
                    </w:rPr>
                  </w:pPr>
                  <w:r>
                    <w:rPr>
                      <w:rFonts w:eastAsia="楷体" w:cs="Arial"/>
                      <w:color w:val="000000"/>
                    </w:rPr>
                    <w:t>[Tab</w:t>
                  </w:r>
                  <w:r>
                    <w:rPr>
                      <w:rFonts w:eastAsia="楷体" w:cs="Arial"/>
                      <w:color w:val="000000"/>
                    </w:rPr>
                    <w:cr/>
                  </w:r>
                  <w:r>
                    <w:rPr>
                      <w:rFonts w:eastAsia="楷体" w:cs="Arial"/>
                      <w:color w:val="000000"/>
                    </w:rPr>
                    <w:t>e_Report]</w:t>
                  </w:r>
                </w:p>
              </w:tc>
            </w:tr>
            <w:tr>
              <w:trPr>
                <w:trHeight w:val="314" w:hRule="exact"/>
              </w:trPr>
              <w:tc>
                <w:tcPr>
                  <w:tcW w:w="2997" w:type="dxa"/>
                  <w:tcBorders>
                    <w:bottom w:val="dashed" w:color="E4C4AD" w:sz="12" w:space="0"/>
                  </w:tcBorders>
                  <w:shd w:val="clear" w:color="auto" w:fill="FFF4F2"/>
                  <w:noWrap w:val="0"/>
                  <w:vAlign w:val="top"/>
                </w:tcPr>
                <w:p>
                  <w:pPr>
                    <w:pStyle w:val="25"/>
                    <w:rPr>
                      <w:rFonts w:ascii="Arial" w:eastAsia="楷体" w:cs="Arial"/>
                      <w:color w:val="000000"/>
                    </w:rPr>
                  </w:pPr>
                  <w:r>
                    <w:rPr>
                      <w:rFonts w:ascii="Arial" w:eastAsia="楷体" w:cs="Arial"/>
                      <w:color w:val="000000"/>
                    </w:rPr>
                    <w:t>相关报告</w:t>
                  </w:r>
                </w:p>
              </w:tc>
            </w:tr>
            <w:tr>
              <w:trPr>
                <w:trHeight w:val="342" w:hRule="atLeast"/>
              </w:trPr>
              <w:tc>
                <w:tcPr>
                  <w:tcW w:w="2997" w:type="dxa"/>
                  <w:tcBorders>
                    <w:top w:val="dashed" w:color="E4C4AD" w:sz="12" w:space="0"/>
                  </w:tcBorders>
                  <w:noWrap w:val="0"/>
                  <w:vAlign w:val="top"/>
                </w:tcPr>
                <w:p>
                  <w:pPr>
                    <w:pStyle w:val="28"/>
                    <w:jc w:val="both"/>
                    <w:rPr>
                      <w:rFonts w:eastAsia="楷体" w:cs="Arial"/>
                      <w:color w:val="000000"/>
                    </w:rPr>
                  </w:pPr>
                </w:p>
              </w:tc>
            </w:tr>
            <w:tr>
              <w:trPr>
                <w:trHeight w:val="342" w:hRule="atLeast"/>
              </w:trPr>
              <w:tc>
                <w:tcPr>
                  <w:tcW w:w="2997" w:type="dxa"/>
                  <w:noWrap w:val="0"/>
                  <w:vAlign w:val="top"/>
                </w:tcPr>
                <w:p>
                  <w:pPr>
                    <w:pStyle w:val="28"/>
                    <w:jc w:val="both"/>
                    <w:rPr>
                      <w:rFonts w:eastAsia="楷体" w:cs="Arial"/>
                      <w:color w:val="000000"/>
                    </w:rPr>
                  </w:pPr>
                </w:p>
              </w:tc>
            </w:tr>
            <w:tr>
              <w:trPr>
                <w:trHeight w:val="342" w:hRule="atLeast"/>
              </w:trPr>
              <w:tc>
                <w:tcPr>
                  <w:tcW w:w="2997" w:type="dxa"/>
                  <w:noWrap w:val="0"/>
                  <w:vAlign w:val="top"/>
                </w:tcPr>
                <w:p>
                  <w:pPr>
                    <w:pStyle w:val="28"/>
                    <w:jc w:val="both"/>
                    <w:rPr>
                      <w:rFonts w:eastAsia="楷体" w:cs="Arial"/>
                      <w:color w:val="000000"/>
                    </w:rPr>
                  </w:pPr>
                </w:p>
              </w:tc>
            </w:tr>
          </w:tbl>
          <w:p>
            <w:pPr>
              <w:spacing w:line="120" w:lineRule="exact"/>
              <w:rPr>
                <w:rFonts w:eastAsia="楷体" w:cs="Arial"/>
                <w:color w:val="000000"/>
              </w:rPr>
            </w:pPr>
          </w:p>
        </w:tc>
        <w:tc>
          <w:tcPr>
            <w:tcW w:w="7604" w:type="dxa"/>
            <w:tcBorders>
              <w:left w:val="single" w:color="9E1F00" w:sz="2" w:space="0"/>
            </w:tcBorders>
            <w:noWrap w:val="0"/>
            <w:vAlign w:val="top"/>
          </w:tcPr>
          <w:tbl>
            <w:tblPr>
              <w:tblStyle w:val="22"/>
              <w:tblpPr w:leftFromText="181" w:rightFromText="181" w:vertAnchor="text" w:tblpY="7"/>
              <w:tblW w:w="7388" w:type="dxa"/>
              <w:tblInd w:w="0" w:type="dxa"/>
              <w:tblLayout w:type="autofit"/>
              <w:tblCellMar>
                <w:top w:w="0" w:type="dxa"/>
                <w:left w:w="57" w:type="dxa"/>
                <w:bottom w:w="0" w:type="dxa"/>
                <w:right w:w="57" w:type="dxa"/>
              </w:tblCellMar>
            </w:tblPr>
            <w:tblGrid>
              <w:gridCol w:w="2389"/>
              <w:gridCol w:w="1000"/>
              <w:gridCol w:w="1000"/>
              <w:gridCol w:w="1003"/>
              <w:gridCol w:w="992"/>
              <w:gridCol w:w="1004"/>
            </w:tblGrid>
            <w:tr>
              <w:trPr>
                <w:trHeight w:val="23" w:hRule="exact"/>
              </w:trPr>
              <w:tc>
                <w:tcPr>
                  <w:tcW w:w="4321" w:type="pct"/>
                  <w:gridSpan w:val="5"/>
                  <w:tcBorders>
                    <w:bottom w:val="single" w:color="9E1F00" w:sz="12" w:space="0"/>
                  </w:tcBorders>
                  <w:noWrap w:val="0"/>
                  <w:vAlign w:val="top"/>
                </w:tcPr>
                <w:p>
                  <w:pPr>
                    <w:rPr>
                      <w:rFonts w:eastAsia="楷体" w:cs="Arial"/>
                      <w:color w:val="000000"/>
                    </w:rPr>
                  </w:pPr>
                  <w:r>
                    <w:rPr>
                      <w:rFonts w:eastAsia="楷体" w:cs="Arial"/>
                      <w:color w:val="000000"/>
                    </w:rPr>
                    <w:t>[Table_Finance]</w:t>
                  </w:r>
                </w:p>
              </w:tc>
              <w:tc>
                <w:tcPr>
                  <w:tcW w:w="679" w:type="pct"/>
                  <w:tcBorders>
                    <w:bottom w:val="single" w:color="9E1F00" w:sz="12" w:space="0"/>
                  </w:tcBorders>
                  <w:noWrap w:val="0"/>
                  <w:vAlign w:val="top"/>
                </w:tcPr>
                <w:p>
                  <w:pPr>
                    <w:rPr>
                      <w:rFonts w:eastAsia="楷体" w:cs="Arial"/>
                      <w:color w:val="000000"/>
                    </w:rPr>
                  </w:pPr>
                </w:p>
              </w:tc>
            </w:tr>
            <w:tr>
              <w:trPr>
                <w:trHeight w:val="314" w:hRule="exact"/>
              </w:trPr>
              <w:tc>
                <w:tcPr>
                  <w:tcW w:w="5000" w:type="pct"/>
                  <w:gridSpan w:val="6"/>
                  <w:tcBorders>
                    <w:top w:val="single" w:color="9E1F00" w:sz="12" w:space="0"/>
                    <w:bottom w:val="dashed" w:color="E4C4AD" w:sz="12" w:space="0"/>
                  </w:tcBorders>
                  <w:shd w:val="clear" w:color="auto" w:fill="FFF4F2"/>
                  <w:noWrap w:val="0"/>
                  <w:vAlign w:val="top"/>
                </w:tcPr>
                <w:p>
                  <w:pPr>
                    <w:pStyle w:val="25"/>
                    <w:rPr>
                      <w:rFonts w:ascii="Arial" w:eastAsia="楷体" w:cs="Arial"/>
                      <w:color w:val="000000"/>
                    </w:rPr>
                  </w:pPr>
                  <w:r>
                    <w:rPr>
                      <w:rFonts w:ascii="Arial" w:eastAsia="楷体" w:cs="Arial"/>
                      <w:color w:val="000000"/>
                    </w:rPr>
                    <w:t>公司盈利</w:t>
                  </w:r>
                  <w:r>
                    <w:rPr>
                      <w:rFonts w:hint="eastAsia" w:ascii="Arial" w:eastAsia="楷体" w:cs="Arial"/>
                      <w:color w:val="000000"/>
                    </w:rPr>
                    <w:t>预测</w:t>
                  </w:r>
                  <w:r>
                    <w:rPr>
                      <w:rFonts w:ascii="Arial" w:eastAsia="楷体" w:cs="Arial"/>
                      <w:color w:val="000000"/>
                    </w:rPr>
                    <w:t>及估值</w:t>
                  </w:r>
                </w:p>
              </w:tc>
            </w:tr>
            <w:tr>
              <w:trPr>
                <w:trHeight w:val="286" w:hRule="exact"/>
              </w:trPr>
              <w:tc>
                <w:tcPr>
                  <w:tcW w:w="1617" w:type="pct"/>
                  <w:tcBorders>
                    <w:top w:val="dashed" w:color="E4C4AD" w:sz="12" w:space="0"/>
                  </w:tcBorders>
                  <w:shd w:val="clear" w:color="auto" w:fill="FDE9D9"/>
                  <w:noWrap w:val="0"/>
                  <w:vAlign w:val="top"/>
                </w:tcPr>
                <w:p>
                  <w:pPr>
                    <w:rPr>
                      <w:rFonts w:eastAsia="楷体" w:cs="Arial"/>
                      <w:color w:val="000000"/>
                    </w:rPr>
                  </w:pPr>
                  <w:r>
                    <w:rPr>
                      <w:rFonts w:eastAsia="楷体" w:cs="Arial"/>
                      <w:color w:val="000000"/>
                    </w:rPr>
                    <w:t>指标</w:t>
                  </w:r>
                </w:p>
              </w:tc>
              <w:tc>
                <w:tcPr>
                  <w:tcW w:w="677" w:type="pct"/>
                  <w:tcBorders>
                    <w:top w:val="dashed" w:color="E4C4AD" w:sz="12" w:space="0"/>
                  </w:tcBorders>
                  <w:shd w:val="clear" w:color="auto" w:fill="FDE9D9"/>
                  <w:noWrap w:val="0"/>
                  <w:vAlign w:val="top"/>
                </w:tcPr>
                <w:p>
                  <w:pPr>
                    <w:pStyle w:val="24"/>
                    <w:jc w:val="center"/>
                    <w:rPr>
                      <w:rFonts w:eastAsia="楷体" w:cs="Arial"/>
                      <w:color w:val="000000"/>
                    </w:rPr>
                  </w:pPr>
                  <w:r>
                    <w:rPr>
                      <w:rFonts w:eastAsia="楷体" w:cs="Arial"/>
                      <w:color w:val="000000"/>
                    </w:rPr>
                    <w:t>2018A</w:t>
                  </w:r>
                </w:p>
              </w:tc>
              <w:tc>
                <w:tcPr>
                  <w:tcW w:w="677" w:type="pct"/>
                  <w:tcBorders>
                    <w:top w:val="dashed" w:color="E4C4AD" w:sz="12" w:space="0"/>
                  </w:tcBorders>
                  <w:shd w:val="clear" w:color="auto" w:fill="FDE9D9"/>
                  <w:noWrap w:val="0"/>
                  <w:vAlign w:val="top"/>
                </w:tcPr>
                <w:p>
                  <w:pPr>
                    <w:pStyle w:val="24"/>
                    <w:jc w:val="center"/>
                    <w:rPr>
                      <w:rFonts w:eastAsia="楷体" w:cs="Arial"/>
                      <w:color w:val="000000"/>
                    </w:rPr>
                  </w:pPr>
                  <w:r>
                    <w:rPr>
                      <w:rFonts w:eastAsia="楷体" w:cs="Arial"/>
                      <w:color w:val="000000"/>
                    </w:rPr>
                    <w:t>2019A</w:t>
                  </w:r>
                </w:p>
              </w:tc>
              <w:tc>
                <w:tcPr>
                  <w:tcW w:w="679" w:type="pct"/>
                  <w:tcBorders>
                    <w:top w:val="dashed" w:color="E4C4AD" w:sz="12" w:space="0"/>
                  </w:tcBorders>
                  <w:shd w:val="clear" w:color="auto" w:fill="FDE9D9"/>
                  <w:noWrap w:val="0"/>
                  <w:vAlign w:val="top"/>
                </w:tcPr>
                <w:p>
                  <w:pPr>
                    <w:pStyle w:val="24"/>
                    <w:jc w:val="center"/>
                    <w:rPr>
                      <w:rFonts w:eastAsia="楷体" w:cs="Arial"/>
                      <w:color w:val="000000"/>
                    </w:rPr>
                  </w:pPr>
                  <w:r>
                    <w:rPr>
                      <w:rFonts w:eastAsia="楷体" w:cs="Arial"/>
                      <w:color w:val="000000"/>
                    </w:rPr>
                    <w:t>2020E</w:t>
                  </w:r>
                </w:p>
              </w:tc>
              <w:tc>
                <w:tcPr>
                  <w:tcW w:w="671" w:type="pct"/>
                  <w:tcBorders>
                    <w:top w:val="dashed" w:color="E4C4AD" w:sz="12" w:space="0"/>
                  </w:tcBorders>
                  <w:shd w:val="clear" w:color="auto" w:fill="FDE9D9"/>
                  <w:noWrap w:val="0"/>
                  <w:vAlign w:val="top"/>
                </w:tcPr>
                <w:p>
                  <w:pPr>
                    <w:pStyle w:val="24"/>
                    <w:jc w:val="center"/>
                    <w:rPr>
                      <w:rFonts w:eastAsia="楷体" w:cs="Arial"/>
                      <w:color w:val="000000"/>
                    </w:rPr>
                  </w:pPr>
                  <w:r>
                    <w:rPr>
                      <w:rFonts w:eastAsia="楷体" w:cs="Arial"/>
                      <w:color w:val="000000"/>
                    </w:rPr>
                    <w:t>2021E</w:t>
                  </w:r>
                </w:p>
              </w:tc>
              <w:tc>
                <w:tcPr>
                  <w:tcW w:w="679" w:type="pct"/>
                  <w:tcBorders>
                    <w:top w:val="dashed" w:color="E4C4AD" w:sz="12" w:space="0"/>
                  </w:tcBorders>
                  <w:shd w:val="clear" w:color="auto" w:fill="FDE9D9"/>
                  <w:noWrap w:val="0"/>
                  <w:vAlign w:val="top"/>
                </w:tcPr>
                <w:p>
                  <w:pPr>
                    <w:pStyle w:val="24"/>
                    <w:jc w:val="center"/>
                    <w:rPr>
                      <w:rFonts w:eastAsia="楷体" w:cs="Arial"/>
                      <w:color w:val="000000"/>
                    </w:rPr>
                  </w:pPr>
                  <w:r>
                    <w:rPr>
                      <w:rFonts w:eastAsia="楷体" w:cs="Arial"/>
                      <w:color w:val="000000"/>
                    </w:rPr>
                    <w:t>2022E</w:t>
                  </w: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营业收入（百万元）</w:t>
                  </w:r>
                </w:p>
              </w:tc>
              <w:tc>
                <w:tcPr>
                  <w:tcW w:w="677" w:type="pct"/>
                  <w:shd w:val="clear" w:color="auto" w:fill="auto"/>
                  <w:noWrap w:val="0"/>
                  <w:vAlign w:val="center"/>
                </w:tcPr>
                <w:p>
                  <w:pPr>
                    <w:ind w:right="100"/>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ind w:right="100"/>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增长率yoy%</w:t>
                  </w:r>
                </w:p>
              </w:tc>
              <w:tc>
                <w:tcPr>
                  <w:tcW w:w="677" w:type="pct"/>
                  <w:shd w:val="clear" w:color="auto" w:fill="auto"/>
                  <w:noWrap w:val="0"/>
                  <w:vAlign w:val="center"/>
                </w:tcPr>
                <w:p>
                  <w:pPr>
                    <w:jc w:val="right"/>
                    <w:rPr>
                      <w:rFonts w:eastAsia="SimSun" w:cs="Arial"/>
                      <w:sz w:val="20"/>
                      <w:szCs w:val="20"/>
                    </w:rPr>
                  </w:pPr>
                </w:p>
              </w:tc>
              <w:tc>
                <w:tcPr>
                  <w:tcW w:w="677" w:type="pct"/>
                  <w:shd w:val="clear" w:color="auto" w:fill="auto"/>
                  <w:noWrap w:val="0"/>
                  <w:vAlign w:val="center"/>
                </w:tcPr>
                <w:p>
                  <w:pPr>
                    <w:jc w:val="right"/>
                    <w:rPr>
                      <w:rFonts w:eastAsia="SimSun" w:cs="Arial"/>
                      <w:sz w:val="20"/>
                      <w:szCs w:val="20"/>
                    </w:rPr>
                  </w:pPr>
                </w:p>
              </w:tc>
              <w:tc>
                <w:tcPr>
                  <w:tcW w:w="679" w:type="pct"/>
                  <w:shd w:val="clear" w:color="auto" w:fill="auto"/>
                  <w:noWrap w:val="0"/>
                  <w:vAlign w:val="center"/>
                </w:tcPr>
                <w:p>
                  <w:pPr>
                    <w:jc w:val="right"/>
                    <w:rPr>
                      <w:rFonts w:eastAsia="SimSun" w:cs="Arial"/>
                      <w:sz w:val="20"/>
                      <w:szCs w:val="20"/>
                    </w:rPr>
                  </w:pPr>
                </w:p>
              </w:tc>
              <w:tc>
                <w:tcPr>
                  <w:tcW w:w="671" w:type="pct"/>
                  <w:shd w:val="clear" w:color="auto" w:fill="FDE9D9"/>
                  <w:noWrap w:val="0"/>
                  <w:vAlign w:val="center"/>
                </w:tcPr>
                <w:p>
                  <w:pPr>
                    <w:jc w:val="right"/>
                    <w:rPr>
                      <w:rFonts w:eastAsia="SimSun" w:cs="Arial"/>
                      <w:sz w:val="20"/>
                      <w:szCs w:val="20"/>
                    </w:rPr>
                  </w:pPr>
                </w:p>
              </w:tc>
              <w:tc>
                <w:tcPr>
                  <w:tcW w:w="679" w:type="pct"/>
                  <w:noWrap w:val="0"/>
                  <w:vAlign w:val="center"/>
                </w:tcPr>
                <w:p>
                  <w:pPr>
                    <w:jc w:val="right"/>
                    <w:rPr>
                      <w:rFonts w:eastAsia="SimSun" w:cs="Arial"/>
                      <w:sz w:val="20"/>
                      <w:szCs w:val="20"/>
                    </w:rPr>
                  </w:pP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归母净利润（百万元）</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FFFFFF"/>
                  <w:noWrap w:val="0"/>
                  <w:vAlign w:val="top"/>
                </w:tcPr>
                <w:p>
                  <w:pPr>
                    <w:rPr>
                      <w:rStyle w:val="44"/>
                      <w:rFonts w:eastAsia="楷体" w:cs="Arial"/>
                      <w:color w:val="000000"/>
                    </w:rPr>
                  </w:pPr>
                  <w:r>
                    <w:rPr>
                      <w:rStyle w:val="44"/>
                      <w:rFonts w:eastAsia="楷体" w:cs="Arial"/>
                      <w:color w:val="000000"/>
                    </w:rPr>
                    <w:t>增长率</w:t>
                  </w:r>
                  <w:r>
                    <w:rPr>
                      <w:rStyle w:val="44"/>
                      <w:rFonts w:eastAsia="楷体" w:cs="Arial"/>
                      <w:color w:val="000000"/>
                    </w:rPr>
                    <w:cr/>
                  </w:r>
                  <w:r>
                    <w:rPr>
                      <w:rStyle w:val="44"/>
                      <w:rFonts w:eastAsia="楷体" w:cs="Arial"/>
                      <w:color w:val="000000"/>
                    </w:rPr>
                    <w:t>oy%</w:t>
                  </w:r>
                </w:p>
              </w:tc>
              <w:tc>
                <w:tcPr>
                  <w:tcW w:w="677" w:type="pct"/>
                  <w:shd w:val="clear" w:color="auto" w:fill="FFFFFF"/>
                  <w:noWrap w:val="0"/>
                  <w:vAlign w:val="center"/>
                </w:tcPr>
                <w:p>
                  <w:pPr>
                    <w:jc w:val="right"/>
                    <w:rPr>
                      <w:rFonts w:eastAsia="SimSun" w:cs="Arial"/>
                      <w:sz w:val="20"/>
                      <w:szCs w:val="20"/>
                    </w:rPr>
                  </w:pPr>
                </w:p>
              </w:tc>
              <w:tc>
                <w:tcPr>
                  <w:tcW w:w="677" w:type="pct"/>
                  <w:shd w:val="clear" w:color="auto" w:fill="FFFFFF"/>
                  <w:noWrap w:val="0"/>
                  <w:vAlign w:val="center"/>
                </w:tcPr>
                <w:p>
                  <w:pPr>
                    <w:jc w:val="right"/>
                    <w:rPr>
                      <w:rFonts w:eastAsia="SimSun" w:cs="Arial"/>
                      <w:sz w:val="20"/>
                      <w:szCs w:val="20"/>
                    </w:rPr>
                  </w:pPr>
                </w:p>
              </w:tc>
              <w:tc>
                <w:tcPr>
                  <w:tcW w:w="679" w:type="pct"/>
                  <w:shd w:val="clear" w:color="auto" w:fill="auto"/>
                  <w:noWrap w:val="0"/>
                  <w:vAlign w:val="center"/>
                </w:tcPr>
                <w:p>
                  <w:pPr>
                    <w:jc w:val="right"/>
                    <w:rPr>
                      <w:rFonts w:eastAsia="SimSun" w:cs="Arial"/>
                      <w:sz w:val="20"/>
                      <w:szCs w:val="20"/>
                    </w:rPr>
                  </w:pPr>
                </w:p>
              </w:tc>
              <w:tc>
                <w:tcPr>
                  <w:tcW w:w="671" w:type="pct"/>
                  <w:shd w:val="clear" w:color="auto" w:fill="FDE9D9"/>
                  <w:noWrap w:val="0"/>
                  <w:vAlign w:val="center"/>
                </w:tcPr>
                <w:p>
                  <w:pPr>
                    <w:jc w:val="right"/>
                    <w:rPr>
                      <w:rFonts w:eastAsia="SimSun" w:cs="Arial"/>
                      <w:sz w:val="20"/>
                      <w:szCs w:val="20"/>
                    </w:rPr>
                  </w:pPr>
                </w:p>
              </w:tc>
              <w:tc>
                <w:tcPr>
                  <w:tcW w:w="679" w:type="pct"/>
                  <w:shd w:val="clear" w:color="auto" w:fill="FFFFFF"/>
                  <w:noWrap w:val="0"/>
                  <w:vAlign w:val="center"/>
                </w:tcPr>
                <w:p>
                  <w:pPr>
                    <w:jc w:val="right"/>
                    <w:rPr>
                      <w:rFonts w:eastAsia="SimSun" w:cs="Arial"/>
                      <w:sz w:val="20"/>
                      <w:szCs w:val="20"/>
                    </w:rPr>
                  </w:pPr>
                </w:p>
              </w:tc>
            </w:tr>
            <w:tr>
              <w:trPr>
                <w:trHeight w:val="245" w:hRule="exact"/>
              </w:trPr>
              <w:tc>
                <w:tcPr>
                  <w:tcW w:w="1617" w:type="pct"/>
                  <w:shd w:val="clear" w:color="auto" w:fill="FDE9D9"/>
                  <w:noWrap w:val="0"/>
                  <w:vAlign w:val="top"/>
                </w:tcPr>
                <w:p>
                  <w:pPr>
                    <w:rPr>
                      <w:rStyle w:val="44"/>
                      <w:rFonts w:eastAsia="楷体" w:cs="Arial"/>
                      <w:color w:val="000000"/>
                    </w:rPr>
                  </w:pPr>
                  <w:r>
                    <w:rPr>
                      <w:rStyle w:val="44"/>
                      <w:rFonts w:eastAsia="楷体" w:cs="Arial"/>
                      <w:color w:val="000000"/>
                    </w:rPr>
                    <w:t>每股收益（元）</w:t>
                  </w:r>
                </w:p>
              </w:tc>
              <w:tc>
                <w:tcPr>
                  <w:tcW w:w="677"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FDE9D9"/>
                  <w:noWrap w:val="0"/>
                  <w:vAlign w:val="center"/>
                </w:tcPr>
                <w:p>
                  <w:pPr>
                    <w:ind w:right="100"/>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FDE9D9"/>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每股现金流量</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净资产收益率</w:t>
                  </w:r>
                </w:p>
              </w:tc>
              <w:tc>
                <w:tcPr>
                  <w:tcW w:w="677" w:type="pct"/>
                  <w:shd w:val="clear" w:color="auto" w:fill="auto"/>
                  <w:noWrap w:val="0"/>
                  <w:vAlign w:val="center"/>
                </w:tcPr>
                <w:p>
                  <w:pPr>
                    <w:jc w:val="right"/>
                    <w:rPr>
                      <w:rFonts w:eastAsia="SimSun" w:cs="Arial"/>
                      <w:sz w:val="20"/>
                      <w:szCs w:val="20"/>
                    </w:rPr>
                  </w:pPr>
                </w:p>
              </w:tc>
              <w:tc>
                <w:tcPr>
                  <w:tcW w:w="677" w:type="pct"/>
                  <w:shd w:val="clear" w:color="auto" w:fill="auto"/>
                  <w:noWrap w:val="0"/>
                  <w:vAlign w:val="center"/>
                </w:tcPr>
                <w:p>
                  <w:pPr>
                    <w:jc w:val="right"/>
                    <w:rPr>
                      <w:rFonts w:eastAsia="SimSun" w:cs="Arial"/>
                      <w:sz w:val="20"/>
                      <w:szCs w:val="20"/>
                    </w:rPr>
                  </w:pPr>
                </w:p>
              </w:tc>
              <w:tc>
                <w:tcPr>
                  <w:tcW w:w="679" w:type="pct"/>
                  <w:shd w:val="clear" w:color="auto" w:fill="auto"/>
                  <w:noWrap w:val="0"/>
                  <w:vAlign w:val="center"/>
                </w:tcPr>
                <w:p>
                  <w:pPr>
                    <w:jc w:val="right"/>
                    <w:rPr>
                      <w:rFonts w:eastAsia="SimSun" w:cs="Arial"/>
                      <w:sz w:val="20"/>
                      <w:szCs w:val="20"/>
                    </w:rPr>
                  </w:pPr>
                </w:p>
              </w:tc>
              <w:tc>
                <w:tcPr>
                  <w:tcW w:w="671" w:type="pct"/>
                  <w:shd w:val="clear" w:color="auto" w:fill="FDE9D9"/>
                  <w:noWrap w:val="0"/>
                  <w:vAlign w:val="center"/>
                </w:tcPr>
                <w:p>
                  <w:pPr>
                    <w:jc w:val="right"/>
                    <w:rPr>
                      <w:rFonts w:eastAsia="SimSun" w:cs="Arial"/>
                      <w:sz w:val="20"/>
                      <w:szCs w:val="20"/>
                    </w:rPr>
                  </w:pPr>
                </w:p>
              </w:tc>
              <w:tc>
                <w:tcPr>
                  <w:tcW w:w="679" w:type="pct"/>
                  <w:noWrap w:val="0"/>
                  <w:vAlign w:val="center"/>
                </w:tcPr>
                <w:p>
                  <w:pPr>
                    <w:jc w:val="right"/>
                    <w:rPr>
                      <w:rFonts w:eastAsia="SimSun" w:cs="Arial"/>
                      <w:sz w:val="20"/>
                      <w:szCs w:val="20"/>
                    </w:rPr>
                  </w:pP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P/E</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auto"/>
                  <w:noWrap w:val="0"/>
                  <w:vAlign w:val="top"/>
                </w:tcPr>
                <w:p>
                  <w:pPr>
                    <w:rPr>
                      <w:rStyle w:val="44"/>
                      <w:rFonts w:eastAsia="楷体" w:cs="Arial"/>
                      <w:color w:val="000000"/>
                    </w:rPr>
                  </w:pPr>
                  <w:r>
                    <w:rPr>
                      <w:rStyle w:val="44"/>
                      <w:rFonts w:eastAsia="楷体" w:cs="Arial"/>
                      <w:color w:val="000000"/>
                    </w:rPr>
                    <w:t>PEG</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r>
              <w:trPr>
                <w:trHeight w:val="245" w:hRule="exact"/>
              </w:trPr>
              <w:tc>
                <w:tcPr>
                  <w:tcW w:w="1617" w:type="pct"/>
                  <w:shd w:val="clear" w:color="auto" w:fill="auto"/>
                  <w:noWrap w:val="0"/>
                  <w:vAlign w:val="top"/>
                </w:tcPr>
                <w:p>
                  <w:pPr>
                    <w:rPr>
                      <w:rFonts w:eastAsia="楷体" w:cs="Arial"/>
                      <w:color w:val="000000"/>
                    </w:rPr>
                  </w:pPr>
                  <w:r>
                    <w:rPr>
                      <w:rStyle w:val="44"/>
                      <w:rFonts w:eastAsia="楷体" w:cs="Arial"/>
                      <w:color w:val="000000"/>
                    </w:rPr>
                    <w:t>P/B</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7"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9" w:type="pct"/>
                  <w:shd w:val="clear" w:color="auto" w:fill="auto"/>
                  <w:noWrap w:val="0"/>
                  <w:vAlign w:val="center"/>
                </w:tcPr>
                <w:p>
                  <w:pPr>
                    <w:jc w:val="right"/>
                    <w:rPr>
                      <w:rFonts w:eastAsia="SimSun" w:cs="Arial"/>
                      <w:sz w:val="20"/>
                      <w:szCs w:val="20"/>
                    </w:rPr>
                  </w:pPr>
                  <w:r>
                    <w:rPr>
                      <w:rFonts w:cs="Arial"/>
                      <w:sz w:val="20"/>
                      <w:szCs w:val="20"/>
                    </w:rPr>
                    <w:t xml:space="preserve"> </w:t>
                  </w:r>
                </w:p>
              </w:tc>
              <w:tc>
                <w:tcPr>
                  <w:tcW w:w="671" w:type="pct"/>
                  <w:shd w:val="clear" w:color="auto" w:fill="FDE9D9"/>
                  <w:noWrap w:val="0"/>
                  <w:vAlign w:val="center"/>
                </w:tcPr>
                <w:p>
                  <w:pPr>
                    <w:ind w:right="100"/>
                    <w:jc w:val="right"/>
                    <w:rPr>
                      <w:rFonts w:eastAsia="SimSun" w:cs="Arial"/>
                      <w:sz w:val="20"/>
                      <w:szCs w:val="20"/>
                    </w:rPr>
                  </w:pPr>
                  <w:r>
                    <w:rPr>
                      <w:rFonts w:cs="Arial"/>
                      <w:sz w:val="20"/>
                      <w:szCs w:val="20"/>
                    </w:rPr>
                    <w:t xml:space="preserve"> </w:t>
                  </w:r>
                </w:p>
              </w:tc>
              <w:tc>
                <w:tcPr>
                  <w:tcW w:w="679" w:type="pct"/>
                  <w:noWrap w:val="0"/>
                  <w:vAlign w:val="center"/>
                </w:tcPr>
                <w:p>
                  <w:pPr>
                    <w:jc w:val="right"/>
                    <w:rPr>
                      <w:rFonts w:eastAsia="SimSun" w:cs="Arial"/>
                      <w:sz w:val="20"/>
                      <w:szCs w:val="20"/>
                    </w:rPr>
                  </w:pPr>
                  <w:r>
                    <w:rPr>
                      <w:rFonts w:cs="Arial"/>
                      <w:sz w:val="20"/>
                      <w:szCs w:val="20"/>
                    </w:rPr>
                    <w:t xml:space="preserve"> </w:t>
                  </w:r>
                </w:p>
              </w:tc>
            </w:tr>
          </w:tbl>
          <w:p>
            <w:pPr>
              <w:spacing w:line="120" w:lineRule="exact"/>
              <w:rPr>
                <w:rFonts w:eastAsia="楷体" w:cs="Arial"/>
                <w:b/>
                <w:color w:val="000000"/>
                <w:sz w:val="30"/>
                <w:szCs w:val="30"/>
              </w:rPr>
            </w:pPr>
          </w:p>
          <w:tbl>
            <w:tblPr>
              <w:tblStyle w:val="22"/>
              <w:tblpPr w:leftFromText="181" w:rightFromText="181" w:vertAnchor="text" w:tblpY="7"/>
              <w:tblW w:w="5000" w:type="pct"/>
              <w:tblInd w:w="2" w:type="dxa"/>
              <w:tblLayout w:type="autofit"/>
              <w:tblCellMar>
                <w:top w:w="0" w:type="dxa"/>
                <w:left w:w="108" w:type="dxa"/>
                <w:bottom w:w="0" w:type="dxa"/>
                <w:right w:w="108" w:type="dxa"/>
              </w:tblCellMar>
            </w:tblPr>
            <w:tblGrid>
              <w:gridCol w:w="7388"/>
            </w:tblGrid>
            <w:tr>
              <w:trPr>
                <w:trHeight w:val="23" w:hRule="exact"/>
              </w:trPr>
              <w:tc>
                <w:tcPr>
                  <w:tcW w:w="6783" w:type="dxa"/>
                  <w:tcBorders>
                    <w:top w:val="single" w:color="9E1F00" w:sz="12" w:space="0"/>
                  </w:tcBorders>
                  <w:noWrap w:val="0"/>
                  <w:vAlign w:val="center"/>
                </w:tcPr>
                <w:p>
                  <w:pPr>
                    <w:rPr>
                      <w:rFonts w:eastAsia="楷体" w:cs="Arial"/>
                      <w:color w:val="000000"/>
                    </w:rPr>
                  </w:pPr>
                  <w:r>
                    <w:rPr>
                      <w:rFonts w:eastAsia="楷体" w:cs="Arial"/>
                      <w:color w:val="000000"/>
                    </w:rPr>
                    <w:t>[</w:t>
                  </w:r>
                  <w:r>
                    <w:rPr>
                      <w:rFonts w:eastAsia="楷体" w:cs="Arial"/>
                      <w:color w:val="000000"/>
                    </w:rPr>
                    <w:cr/>
                  </w:r>
                  <w:r>
                    <w:rPr>
                      <w:rFonts w:eastAsia="楷体" w:cs="Arial"/>
                      <w:color w:val="000000"/>
                    </w:rPr>
                    <w:t>able_</w:t>
                  </w:r>
                  <w:r>
                    <w:rPr>
                      <w:rFonts w:eastAsia="楷体" w:cs="Arial"/>
                      <w:color w:val="000000"/>
                    </w:rPr>
                    <w:cr/>
                  </w:r>
                  <w:r>
                    <w:rPr>
                      <w:rFonts w:eastAsia="楷体" w:cs="Arial"/>
                      <w:color w:val="000000"/>
                    </w:rPr>
                    <w:t>ummary]</w:t>
                  </w:r>
                </w:p>
              </w:tc>
            </w:tr>
            <w:tr>
              <w:trPr>
                <w:trHeight w:val="312" w:hRule="exact"/>
              </w:trPr>
              <w:tc>
                <w:tcPr>
                  <w:tcW w:w="6783" w:type="dxa"/>
                  <w:tcBorders>
                    <w:bottom w:val="dashed" w:color="E4C4AD" w:sz="12" w:space="0"/>
                  </w:tcBorders>
                  <w:shd w:val="clear" w:color="auto" w:fill="FFF4F2"/>
                  <w:noWrap w:val="0"/>
                  <w:vAlign w:val="center"/>
                </w:tcPr>
                <w:p>
                  <w:pPr>
                    <w:pStyle w:val="25"/>
                    <w:rPr>
                      <w:rFonts w:ascii="Arial" w:eastAsia="楷体" w:cs="Arial"/>
                      <w:color w:val="000000"/>
                    </w:rPr>
                  </w:pPr>
                  <w:r>
                    <w:rPr>
                      <w:rFonts w:ascii="Arial" w:eastAsia="楷体" w:cs="Arial"/>
                      <w:color w:val="000000"/>
                    </w:rPr>
                    <w:t>投资要点</w:t>
                  </w:r>
                </w:p>
              </w:tc>
            </w:tr>
            <w:tr>
              <w:trPr>
                <w:trHeight w:val="8617" w:hRule="atLeast"/>
              </w:trPr>
              <w:tc>
                <w:tcPr>
                  <w:tcW w:w="6783" w:type="dxa"/>
                  <w:tcBorders>
                    <w:top w:val="dashed" w:color="E4C4AD" w:sz="12" w:space="0"/>
                  </w:tcBorders>
                  <w:noWrap w:val="0"/>
                  <w:vAlign w:val="top"/>
                </w:tcPr>
                <w:p>
                  <w:pPr>
                    <w:numPr>
                      <w:ilvl w:val="0"/>
                      <w:numId w:val="6"/>
                    </w:numPr>
                    <w:spacing w:before="156" w:beforeLines="50" w:after="156" w:afterLines="50"/>
                    <w:ind w:left="402" w:hanging="400" w:hangingChars="200"/>
                    <w:rPr>
                      <w:rFonts w:hint="eastAsia" w:eastAsia="楷体" w:cs="Arial"/>
                      <w:color w:val="000000"/>
                      <w:sz w:val="20"/>
                      <w:szCs w:val="20"/>
                      <w:u w:val="single"/>
                    </w:rPr>
                  </w:pPr>
                  <w:r>
                    <w:rPr>
                      <w:rFonts w:hint="default" w:eastAsia="楷体" w:cs="Arial"/>
                      <w:b/>
                      <w:color w:val="000000"/>
                      <w:sz w:val="20"/>
                      <w:szCs w:val="20"/>
                      <w:u w:val="single"/>
                    </w:rPr>
                    <w:t xml:space="preserve">博通集成，打造无线通讯芯片领域的平台型企业 </w:t>
                  </w:r>
                </w:p>
                <w:p>
                  <w:pPr>
                    <w:numPr>
                      <w:ilvl w:val="0"/>
                      <w:numId w:val="0"/>
                    </w:numPr>
                    <w:spacing w:before="156" w:beforeLines="50"/>
                    <w:ind w:leftChars="0"/>
                    <w:rPr>
                      <w:rFonts w:eastAsia="楷体" w:cs="Arial"/>
                      <w:b/>
                      <w:bCs/>
                      <w:color w:val="000000"/>
                      <w:sz w:val="20"/>
                      <w:szCs w:val="20"/>
                      <w:u w:val="single"/>
                    </w:rPr>
                  </w:pPr>
                  <w:r>
                    <w:rPr>
                      <w:rFonts w:hint="default" w:eastAsia="楷体" w:cs="Arial"/>
                      <w:b/>
                      <w:bCs/>
                      <w:color w:val="000000"/>
                      <w:sz w:val="20"/>
                      <w:szCs w:val="20"/>
                    </w:rPr>
                    <w:t>无线数传起家，协同发展布局无线类芯片平台。</w:t>
                  </w:r>
                  <w:r>
                    <w:rPr>
                      <w:rFonts w:hint="default" w:eastAsia="楷体" w:cs="Arial"/>
                      <w:color w:val="000000"/>
                      <w:sz w:val="20"/>
                      <w:szCs w:val="20"/>
                    </w:rPr>
                    <w:t>公司的主营业务为无线通讯集成电路芯片的研发与销售，具体类型分为无线数传芯片和无线音频芯片。公司作为国内领先的无线通讯集成电路芯片设计公司，专注于研发设计高集成度、低能耗的无线数传类芯片产品和无线音频类芯片产品，产品种类丰富覆盖多个领域如智能交通、智能家居、计算机外设等。公司2019年把握ETC行业爆发机会，依靠高于国标的ETC芯片组，享受行业红利，2019年首次实现超10亿元的营收。未来公司将依靠极低功耗、技术先进的TWS总成芯片BK3288和Wi-Fi芯片BK7231系列，下游应用有望切入中高端TWS耳机品牌和智能家居，实现快速放量，是公司未来主要盈利增长看点之一。2021年盈利有望迎来拐点。</w:t>
                  </w:r>
                </w:p>
                <w:p>
                  <w:pPr>
                    <w:numPr>
                      <w:ilvl w:val="0"/>
                      <w:numId w:val="6"/>
                    </w:numPr>
                    <w:spacing w:before="156" w:beforeLines="50" w:after="156" w:afterLines="50"/>
                    <w:rPr>
                      <w:rFonts w:hint="eastAsia" w:eastAsia="楷体" w:cs="Arial"/>
                      <w:b/>
                      <w:color w:val="000000"/>
                      <w:sz w:val="20"/>
                      <w:szCs w:val="20"/>
                      <w:u w:val="single"/>
                    </w:rPr>
                  </w:pPr>
                  <w:r>
                    <w:rPr>
                      <w:rFonts w:hint="default" w:eastAsia="楷体" w:cs="Arial"/>
                      <w:b/>
                      <w:color w:val="000000"/>
                      <w:sz w:val="20"/>
                      <w:szCs w:val="20"/>
                      <w:u w:val="single"/>
                    </w:rPr>
                    <w:t>TWS耳机，消费电子的黄金赛道</w:t>
                  </w:r>
                </w:p>
                <w:p>
                  <w:pPr>
                    <w:numPr>
                      <w:ilvl w:val="0"/>
                      <w:numId w:val="0"/>
                    </w:numPr>
                    <w:spacing w:before="156" w:beforeLines="50"/>
                    <w:rPr>
                      <w:rFonts w:hint="default" w:eastAsia="楷体" w:cs="Arial"/>
                      <w:color w:val="000000"/>
                      <w:sz w:val="20"/>
                      <w:szCs w:val="20"/>
                    </w:rPr>
                  </w:pPr>
                  <w:r>
                    <w:rPr>
                      <w:rFonts w:hint="eastAsia" w:eastAsia="楷体" w:cs="Arial"/>
                      <w:color w:val="000000"/>
                      <w:sz w:val="20"/>
                      <w:szCs w:val="20"/>
                    </w:rPr>
                    <w:t>TWS，即真正无线立体声，真蓝牙无线立体声耳机起步于从2016年</w:t>
                  </w:r>
                  <w:r>
                    <w:rPr>
                      <w:rFonts w:hint="default" w:eastAsia="楷体" w:cs="Arial"/>
                      <w:color w:val="000000"/>
                      <w:sz w:val="20"/>
                      <w:szCs w:val="20"/>
                    </w:rPr>
                    <w:t>。</w:t>
                  </w:r>
                  <w:r>
                    <w:rPr>
                      <w:rFonts w:hint="eastAsia" w:eastAsia="楷体" w:cs="Arial"/>
                      <w:color w:val="000000"/>
                      <w:sz w:val="20"/>
                      <w:szCs w:val="20"/>
                    </w:rPr>
                    <w:t>根据统计，全球TWS耳机出货量从16年起步，于2019年超过了3亿副（品牌端+白牌端）2020年虽收到疫情影响，但依旧不改高增长格局，预测全球出货量可达4-4.5亿副，且2021年有望出货量全球出货量超过6亿副</w:t>
                  </w:r>
                  <w:r>
                    <w:rPr>
                      <w:rFonts w:hint="default" w:eastAsia="楷体" w:cs="Arial"/>
                      <w:color w:val="000000"/>
                      <w:sz w:val="20"/>
                      <w:szCs w:val="20"/>
                    </w:rPr>
                    <w:t>。公司2020年推出BK3288芯片，主攻中高端市场。产品功耗性能优越，采用了28nm先进制程，集成了主动降噪单元以及语音唤醒（语音助手功能），使用专用音频 DSP等等。目前产品正处于客户导入和下游验证阶段，有望通过打入新的终端品牌厂商和白牌端深度参与明年安卓TWS快速放量和渗透率提高的过程，带来无线音频板块的业绩增量。</w:t>
                  </w:r>
                </w:p>
                <w:p>
                  <w:pPr>
                    <w:numPr>
                      <w:ilvl w:val="0"/>
                      <w:numId w:val="6"/>
                    </w:numPr>
                    <w:spacing w:before="156" w:beforeLines="50" w:after="156" w:afterLines="50"/>
                    <w:rPr>
                      <w:rFonts w:hint="eastAsia" w:eastAsia="楷体" w:cs="Arial"/>
                      <w:color w:val="000000"/>
                      <w:sz w:val="20"/>
                      <w:szCs w:val="20"/>
                    </w:rPr>
                  </w:pPr>
                  <w:r>
                    <w:rPr>
                      <w:rFonts w:hint="default" w:eastAsia="楷体" w:cs="Arial"/>
                      <w:b/>
                      <w:color w:val="000000"/>
                      <w:sz w:val="20"/>
                      <w:szCs w:val="20"/>
                      <w:u w:val="single"/>
                    </w:rPr>
                    <w:t>智能家居，Wi-Fi芯片赋能未来黄金十年</w:t>
                  </w:r>
                </w:p>
                <w:p>
                  <w:pPr>
                    <w:numPr>
                      <w:ilvl w:val="0"/>
                      <w:numId w:val="0"/>
                    </w:numPr>
                    <w:spacing w:before="156" w:beforeLines="50" w:after="156" w:afterLines="50"/>
                    <w:ind w:leftChars="0"/>
                    <w:rPr>
                      <w:rFonts w:hint="default" w:eastAsia="楷体" w:cs="Arial"/>
                      <w:color w:val="000000"/>
                      <w:sz w:val="20"/>
                      <w:szCs w:val="20"/>
                    </w:rPr>
                  </w:pPr>
                  <w:r>
                    <w:rPr>
                      <w:rFonts w:hint="default" w:eastAsia="楷体" w:cs="Arial"/>
                      <w:color w:val="000000"/>
                      <w:sz w:val="20"/>
                      <w:szCs w:val="20"/>
                    </w:rPr>
                    <w:t>经测算，我国2024年Wi-Fi芯片规模有望接近300亿元，2021-2024年CAGR为12.3%。目前</w:t>
                  </w:r>
                  <w:r>
                    <w:rPr>
                      <w:rFonts w:hint="eastAsia" w:eastAsia="楷体" w:cs="Arial"/>
                      <w:color w:val="000000"/>
                      <w:sz w:val="20"/>
                      <w:szCs w:val="20"/>
                    </w:rPr>
                    <w:t>我国智慧家居为占据我国物联网连接数的43%，为第一大应用场景</w:t>
                  </w:r>
                  <w:r>
                    <w:rPr>
                      <w:rFonts w:hint="default" w:eastAsia="楷体" w:cs="Arial"/>
                      <w:color w:val="000000"/>
                      <w:sz w:val="20"/>
                      <w:szCs w:val="20"/>
                    </w:rPr>
                    <w:t>。而</w:t>
                  </w:r>
                  <w:r>
                    <w:rPr>
                      <w:rFonts w:hint="eastAsia" w:eastAsia="楷体" w:cs="Arial"/>
                      <w:color w:val="000000"/>
                      <w:sz w:val="20"/>
                      <w:szCs w:val="20"/>
                    </w:rPr>
                    <w:t>凭借Wi-Fi高带宽、高速率、传输距离长等优点，Wi-Fi技术已成为智能家居无线局域网技术中重要的一环</w:t>
                  </w:r>
                  <w:r>
                    <w:rPr>
                      <w:rFonts w:hint="default" w:eastAsia="楷体" w:cs="Arial"/>
                      <w:color w:val="000000"/>
                      <w:sz w:val="20"/>
                      <w:szCs w:val="20"/>
                    </w:rPr>
                    <w:t>，</w:t>
                  </w:r>
                  <w:r>
                    <w:rPr>
                      <w:rFonts w:hint="eastAsia" w:eastAsia="楷体" w:cs="Arial"/>
                      <w:color w:val="000000"/>
                      <w:sz w:val="20"/>
                      <w:szCs w:val="20"/>
                    </w:rPr>
                    <w:t>所占组网技术19.4%的份额</w:t>
                  </w:r>
                  <w:r>
                    <w:rPr>
                      <w:rFonts w:hint="default" w:eastAsia="楷体" w:cs="Arial"/>
                      <w:color w:val="000000"/>
                      <w:sz w:val="20"/>
                      <w:szCs w:val="20"/>
                    </w:rPr>
                    <w:t>。公司与智能家居龙头涂鸦智能的深度合作，通过借助涂鸦平台赋能，公司Wi-Fi芯片出货量有望覆盖多个地区市场并持续放量。此外，2020年8月6日，博通集成发布公告以600万欧元收购希腊射频设计公司Adveos 100%股权，将提高公司强化射频电路设计能力，可有助于博通集成进一步强化自身在智能家居、物联网及智慧交通领域的战略布局，提升自身Wi-Fi芯片等无线传输产品的市场竞争力和长期盈利能力。</w:t>
                  </w:r>
                </w:p>
                <w:p>
                  <w:pPr>
                    <w:numPr>
                      <w:ilvl w:val="0"/>
                      <w:numId w:val="0"/>
                    </w:numPr>
                    <w:spacing w:before="156" w:beforeLines="50"/>
                    <w:ind w:leftChars="-200"/>
                    <w:rPr>
                      <w:rFonts w:hint="eastAsia" w:eastAsia="楷体" w:cs="Arial"/>
                      <w:color w:val="000000"/>
                      <w:sz w:val="20"/>
                      <w:szCs w:val="20"/>
                    </w:rPr>
                  </w:pPr>
                </w:p>
                <w:p>
                  <w:pPr>
                    <w:numPr>
                      <w:ilvl w:val="0"/>
                      <w:numId w:val="0"/>
                    </w:numPr>
                    <w:spacing w:before="156" w:beforeLines="50"/>
                    <w:ind w:leftChars="-200"/>
                    <w:rPr>
                      <w:rFonts w:hint="eastAsia" w:eastAsia="楷体" w:cs="Arial"/>
                      <w:color w:val="000000"/>
                      <w:sz w:val="20"/>
                      <w:szCs w:val="20"/>
                    </w:rPr>
                  </w:pPr>
                </w:p>
                <w:p>
                  <w:pPr>
                    <w:numPr>
                      <w:ilvl w:val="0"/>
                      <w:numId w:val="7"/>
                    </w:numPr>
                    <w:rPr>
                      <w:rFonts w:hint="eastAsia" w:eastAsia="楷体" w:cs="Arial"/>
                      <w:b w:val="0"/>
                      <w:bCs w:val="0"/>
                      <w:color w:val="000000"/>
                      <w:sz w:val="20"/>
                      <w:szCs w:val="21"/>
                    </w:rPr>
                  </w:pPr>
                  <w:r>
                    <w:rPr>
                      <w:rFonts w:eastAsia="楷体" w:cs="Arial"/>
                      <w:b/>
                      <w:color w:val="000000"/>
                      <w:sz w:val="20"/>
                      <w:szCs w:val="20"/>
                    </w:rPr>
                    <w:t>盈利预测：</w:t>
                  </w:r>
                  <w:r>
                    <w:rPr>
                      <w:rFonts w:hint="eastAsia" w:eastAsia="楷体" w:cs="Arial"/>
                      <w:b w:val="0"/>
                      <w:bCs w:val="0"/>
                      <w:color w:val="000000"/>
                      <w:szCs w:val="21"/>
                    </w:rPr>
                    <w:t>我们预计公司 2020-2022年的营业收入分别为8.0、12.6、15.9 亿元，同比增速分别为 -32%、58%、27%；2020年的综合毛利率由于公司的战略价格定位、市场开拓和ETC芯片需求量减少，2020年公司综合毛利率预计为28%。2021-2022年的公司综合毛利率将受益于公司中高端TWS SoC芯片BK3288和智能家居带动BK7231系列放量而有所提高，分别为33%、36.0%。我们预计公司 2020-2022 年的归母净利润分别为 0.84、2.44、3.72 亿元，同比增速分别为 -67%、190%、 52%，对应 EPS 分别为0.61、1.62、2.47元。</w:t>
                  </w:r>
                </w:p>
                <w:p>
                  <w:pPr>
                    <w:numPr>
                      <w:ilvl w:val="0"/>
                      <w:numId w:val="7"/>
                    </w:numPr>
                    <w:wordWrap w:val="0"/>
                    <w:spacing w:before="156" w:beforeLines="50"/>
                    <w:rPr>
                      <w:rFonts w:eastAsia="楷体" w:cs="Arial"/>
                      <w:color w:val="000000"/>
                      <w:sz w:val="20"/>
                      <w:szCs w:val="20"/>
                    </w:rPr>
                  </w:pPr>
                  <w:r>
                    <w:rPr>
                      <w:rFonts w:eastAsia="楷体" w:cs="Arial"/>
                      <w:b/>
                      <w:color w:val="000000"/>
                      <w:sz w:val="20"/>
                      <w:szCs w:val="20"/>
                    </w:rPr>
                    <w:t>风险提示：</w:t>
                  </w:r>
                  <w:r>
                    <w:rPr>
                      <w:rFonts w:hint="default" w:eastAsia="楷体" w:cs="Arial"/>
                      <w:color w:val="000000"/>
                      <w:sz w:val="20"/>
                      <w:szCs w:val="20"/>
                    </w:rPr>
                    <w:t>1、行业风险竞争加剧；2、产品研发不如预期；3、募集资金投资项目无法产生预期收益等。</w:t>
                  </w:r>
                </w:p>
              </w:tc>
            </w:tr>
          </w:tbl>
          <w:p>
            <w:pPr>
              <w:rPr>
                <w:rFonts w:hint="eastAsia" w:eastAsia="楷体" w:cs="Arial"/>
                <w:b/>
                <w:color w:val="000000"/>
                <w:sz w:val="30"/>
                <w:szCs w:val="30"/>
              </w:rPr>
            </w:pPr>
          </w:p>
        </w:tc>
      </w:tr>
    </w:tbl>
    <w:p>
      <w:pPr>
        <w:spacing w:before="156" w:beforeLines="50" w:after="120"/>
        <w:ind w:left="420" w:firstLine="1890" w:firstLineChars="900"/>
        <w:rPr>
          <w:rFonts w:eastAsia="楷体" w:cs="Arial"/>
          <w:color w:val="000000"/>
        </w:rPr>
      </w:pPr>
      <w:bookmarkStart w:id="2" w:name="_Toc267332903"/>
      <w:bookmarkStart w:id="3" w:name="_Toc267331619"/>
      <w:bookmarkStart w:id="4" w:name="_Toc267333943"/>
      <w:bookmarkStart w:id="5" w:name="_Toc267332711"/>
      <w:bookmarkStart w:id="6" w:name="_Toc267335069"/>
      <w:bookmarkStart w:id="7" w:name="_Toc267346998"/>
      <w:bookmarkStart w:id="8" w:name="_Toc267347195"/>
      <w:r>
        <w:rPr>
          <w:rFonts w:eastAsia="楷体" w:cs="Arial"/>
          <w:color w:val="000000"/>
        </w:rPr>
        <w:t xml:space="preserve">  </w:t>
      </w:r>
    </w:p>
    <w:p>
      <w:pPr>
        <w:spacing w:before="156" w:beforeLines="50" w:after="120"/>
        <w:ind w:left="420" w:firstLine="2523" w:firstLineChars="900"/>
        <w:rPr>
          <w:rFonts w:eastAsia="楷体" w:cs="Arial"/>
          <w:color w:val="000000"/>
        </w:rPr>
      </w:pPr>
      <w:r>
        <w:rPr>
          <w:rFonts w:eastAsia="楷体" w:cs="Arial"/>
          <w:b/>
          <w:color w:val="000000"/>
          <w:sz w:val="28"/>
          <w:szCs w:val="28"/>
        </w:rPr>
        <w:t>内容目录</w:t>
      </w:r>
    </w:p>
    <w:p>
      <w:pPr>
        <w:pStyle w:val="15"/>
        <w:tabs>
          <w:tab w:val="right" w:leader="dot" w:pos="10204"/>
          <w:tab w:val="clear" w:pos="8644"/>
          <w:tab w:val="clear" w:pos="10649"/>
        </w:tabs>
      </w:pPr>
      <w:r>
        <w:rPr>
          <w:rFonts w:eastAsia="楷体"/>
          <w:b w:val="0"/>
          <w:bCs w:val="0"/>
        </w:rPr>
        <w:fldChar w:fldCharType="begin"/>
      </w:r>
      <w:r>
        <w:rPr>
          <w:rFonts w:eastAsia="楷体"/>
          <w:b w:val="0"/>
          <w:bCs w:val="0"/>
        </w:rPr>
        <w:instrText xml:space="preserve"> TOC \o "1-3" \h \z \u </w:instrText>
      </w:r>
      <w:r>
        <w:rPr>
          <w:rFonts w:eastAsia="楷体"/>
          <w:b w:val="0"/>
          <w:bCs w:val="0"/>
        </w:rPr>
        <w:fldChar w:fldCharType="separate"/>
      </w:r>
      <w:r>
        <w:rPr>
          <w:rFonts w:eastAsia="楷体"/>
          <w:bCs w:val="0"/>
        </w:rPr>
        <w:fldChar w:fldCharType="begin"/>
      </w:r>
      <w:r>
        <w:rPr>
          <w:rFonts w:eastAsia="楷体"/>
          <w:bCs w:val="0"/>
        </w:rPr>
        <w:instrText xml:space="preserve"> HYPERLINK \l _Toc1334969347 </w:instrText>
      </w:r>
      <w:r>
        <w:rPr>
          <w:rFonts w:eastAsia="楷体"/>
          <w:bCs w:val="0"/>
        </w:rPr>
        <w:fldChar w:fldCharType="separate"/>
      </w:r>
      <w:r>
        <w:rPr>
          <w:rFonts w:hint="default" w:eastAsia="楷体" w:cs="Arial"/>
          <w:bCs/>
          <w:szCs w:val="32"/>
        </w:rPr>
        <w:t>博通集成</w:t>
      </w:r>
      <w:r>
        <w:rPr>
          <w:rFonts w:hint="eastAsia" w:eastAsia="楷体" w:cs="Arial"/>
          <w:bCs/>
          <w:szCs w:val="32"/>
        </w:rPr>
        <w:t>，</w:t>
      </w:r>
      <w:r>
        <w:rPr>
          <w:rFonts w:hint="default" w:eastAsia="楷体" w:cs="Arial"/>
          <w:bCs/>
          <w:szCs w:val="32"/>
        </w:rPr>
        <w:t>打造无线通讯芯片领域的平台型企业</w:t>
      </w:r>
      <w:r>
        <w:tab/>
      </w:r>
      <w:r>
        <w:fldChar w:fldCharType="begin"/>
      </w:r>
      <w:r>
        <w:instrText xml:space="preserve"> PAGEREF _Toc1334969347 </w:instrText>
      </w:r>
      <w:r>
        <w:fldChar w:fldCharType="separate"/>
      </w:r>
      <w:r>
        <w:t>- 6 -</w:t>
      </w:r>
      <w:r>
        <w:fldChar w:fldCharType="end"/>
      </w:r>
      <w:r>
        <w:rPr>
          <w:rFonts w:eastAsia="楷体"/>
          <w:bCs w:val="0"/>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_Toc2068154820 </w:instrText>
      </w:r>
      <w:r>
        <w:rPr>
          <w:rFonts w:eastAsia="楷体" w:cs="Arial"/>
          <w:szCs w:val="21"/>
        </w:rPr>
        <w:fldChar w:fldCharType="separate"/>
      </w:r>
      <w:r>
        <w:rPr>
          <w:rFonts w:hint="default" w:eastAsia="楷体" w:cs="Arial"/>
        </w:rPr>
        <w:t>博通集成：无线数传起家，协同发展布局无线类芯片平台</w:t>
      </w:r>
      <w:r>
        <w:tab/>
      </w:r>
      <w:r>
        <w:fldChar w:fldCharType="begin"/>
      </w:r>
      <w:r>
        <w:instrText xml:space="preserve"> PAGEREF _Toc2068154820 </w:instrText>
      </w:r>
      <w:r>
        <w:fldChar w:fldCharType="separate"/>
      </w:r>
      <w:r>
        <w:t>- 6 -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_Toc307749398 </w:instrText>
      </w:r>
      <w:r>
        <w:rPr>
          <w:rFonts w:eastAsia="楷体" w:cs="Arial"/>
          <w:szCs w:val="21"/>
        </w:rPr>
        <w:fldChar w:fldCharType="separate"/>
      </w:r>
      <w:r>
        <w:rPr>
          <w:rFonts w:hint="default" w:eastAsia="楷体" w:cs="Arial"/>
        </w:rPr>
        <w:t>主营业务：无线数传夯实基本盘，发力无线音频芯片</w:t>
      </w:r>
      <w:r>
        <w:tab/>
      </w:r>
      <w:r>
        <w:fldChar w:fldCharType="begin"/>
      </w:r>
      <w:r>
        <w:instrText xml:space="preserve"> PAGEREF _Toc307749398 </w:instrText>
      </w:r>
      <w:r>
        <w:fldChar w:fldCharType="separate"/>
      </w:r>
      <w:r>
        <w:t>- 6 -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_Toc1203510210 </w:instrText>
      </w:r>
      <w:r>
        <w:rPr>
          <w:rFonts w:eastAsia="楷体" w:cs="Arial"/>
          <w:szCs w:val="21"/>
        </w:rPr>
        <w:fldChar w:fldCharType="separate"/>
      </w:r>
      <w:r>
        <w:rPr>
          <w:rFonts w:hint="default" w:eastAsia="楷体" w:cs="Arial"/>
        </w:rPr>
        <w:t>股权结构：公司实控人和一致行动人持股比例较高，股权结构稳定</w:t>
      </w:r>
      <w:r>
        <w:tab/>
      </w:r>
      <w:r>
        <w:fldChar w:fldCharType="begin"/>
      </w:r>
      <w:r>
        <w:instrText xml:space="preserve"> PAGEREF _Toc1203510210 </w:instrText>
      </w:r>
      <w:r>
        <w:fldChar w:fldCharType="separate"/>
      </w:r>
      <w:r>
        <w:t>- 7 -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_Toc247628377 </w:instrText>
      </w:r>
      <w:r>
        <w:rPr>
          <w:rFonts w:eastAsia="楷体" w:cs="Arial"/>
          <w:szCs w:val="21"/>
        </w:rPr>
        <w:fldChar w:fldCharType="separate"/>
      </w:r>
      <w:r>
        <w:rPr>
          <w:rFonts w:hint="default" w:eastAsia="楷体" w:cs="Arial"/>
        </w:rPr>
        <w:t>财务分析：ETC芯片营收下降，Wi-Fi、TWS芯片有望多点开花</w:t>
      </w:r>
      <w:r>
        <w:tab/>
      </w:r>
      <w:r>
        <w:fldChar w:fldCharType="begin"/>
      </w:r>
      <w:r>
        <w:instrText xml:space="preserve"> PAGEREF _Toc247628377 </w:instrText>
      </w:r>
      <w:r>
        <w:fldChar w:fldCharType="separate"/>
      </w:r>
      <w:r>
        <w:t>- 8 -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_Toc66824353 </w:instrText>
      </w:r>
      <w:r>
        <w:rPr>
          <w:rFonts w:eastAsia="楷体" w:cs="Arial"/>
          <w:szCs w:val="21"/>
        </w:rPr>
        <w:fldChar w:fldCharType="separate"/>
      </w:r>
      <w:r>
        <w:rPr>
          <w:rFonts w:hint="default" w:eastAsia="楷体" w:cs="Arial"/>
        </w:rPr>
        <w:t>从注重盈利基数到</w:t>
      </w:r>
      <w:r>
        <w:rPr>
          <w:rFonts w:hint="eastAsia" w:eastAsia="楷体" w:cs="Arial"/>
        </w:rPr>
        <w:t>盈利质量，</w:t>
      </w:r>
      <w:r>
        <w:rPr>
          <w:rFonts w:hint="default" w:eastAsia="楷体" w:cs="Arial"/>
        </w:rPr>
        <w:t>从爆款单品走向平台型</w:t>
      </w:r>
      <w:r>
        <w:rPr>
          <w:rFonts w:hint="eastAsia" w:eastAsia="楷体" w:cs="Arial"/>
        </w:rPr>
        <w:t>发展</w:t>
      </w:r>
      <w:r>
        <w:tab/>
      </w:r>
      <w:r>
        <w:fldChar w:fldCharType="begin"/>
      </w:r>
      <w:r>
        <w:instrText xml:space="preserve"> PAGEREF _Toc66824353 </w:instrText>
      </w:r>
      <w:r>
        <w:fldChar w:fldCharType="separate"/>
      </w:r>
      <w:r>
        <w:t>- 9 -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_Toc2130437137 </w:instrText>
      </w:r>
      <w:r>
        <w:rPr>
          <w:rFonts w:eastAsia="楷体" w:cs="Arial"/>
          <w:szCs w:val="21"/>
        </w:rPr>
        <w:fldChar w:fldCharType="separate"/>
      </w:r>
      <w:r>
        <w:rPr>
          <w:rFonts w:hint="default" w:eastAsia="楷体" w:cs="Arial"/>
        </w:rPr>
        <w:t>研发情况：研发团队竞争力强，研发费用稳步提升</w:t>
      </w:r>
      <w:r>
        <w:tab/>
      </w:r>
      <w:r>
        <w:fldChar w:fldCharType="begin"/>
      </w:r>
      <w:r>
        <w:instrText xml:space="preserve"> PAGEREF _Toc2130437137 </w:instrText>
      </w:r>
      <w:r>
        <w:fldChar w:fldCharType="separate"/>
      </w:r>
      <w:r>
        <w:t>- 10 -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_Toc1262115128 </w:instrText>
      </w:r>
      <w:r>
        <w:rPr>
          <w:rFonts w:eastAsia="楷体" w:cs="Arial"/>
          <w:szCs w:val="21"/>
        </w:rPr>
        <w:fldChar w:fldCharType="separate"/>
      </w:r>
      <w:r>
        <w:rPr>
          <w:rFonts w:hint="default" w:eastAsia="楷体" w:cs="Arial"/>
          <w:bCs/>
          <w:szCs w:val="32"/>
        </w:rPr>
        <w:t>TWS，消费电子中的黄金赛道</w:t>
      </w:r>
      <w:r>
        <w:tab/>
      </w:r>
      <w:r>
        <w:fldChar w:fldCharType="begin"/>
      </w:r>
      <w:r>
        <w:instrText xml:space="preserve"> PAGEREF _Toc1262115128 </w:instrText>
      </w:r>
      <w:r>
        <w:fldChar w:fldCharType="separate"/>
      </w:r>
      <w:r>
        <w:t>- 11 -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_Toc1672974877 </w:instrText>
      </w:r>
      <w:r>
        <w:rPr>
          <w:rFonts w:eastAsia="楷体" w:cs="Arial"/>
          <w:szCs w:val="21"/>
        </w:rPr>
        <w:fldChar w:fldCharType="separate"/>
      </w:r>
      <w:r>
        <w:rPr>
          <w:rFonts w:hint="default" w:eastAsia="楷体" w:cs="Arial"/>
        </w:rPr>
        <w:t>疫情不改高增速，TWS耳机迎来黄金发展期</w:t>
      </w:r>
      <w:r>
        <w:tab/>
      </w:r>
      <w:r>
        <w:fldChar w:fldCharType="begin"/>
      </w:r>
      <w:r>
        <w:instrText xml:space="preserve"> PAGEREF _Toc1672974877 </w:instrText>
      </w:r>
      <w:r>
        <w:fldChar w:fldCharType="separate"/>
      </w:r>
      <w:r>
        <w:t>- 11 -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_Toc685367568 </w:instrText>
      </w:r>
      <w:r>
        <w:rPr>
          <w:rFonts w:eastAsia="楷体" w:cs="Arial"/>
          <w:szCs w:val="21"/>
        </w:rPr>
        <w:fldChar w:fldCharType="separate"/>
      </w:r>
      <w:r>
        <w:rPr>
          <w:rFonts w:hint="default" w:eastAsia="楷体" w:cs="Arial"/>
        </w:rPr>
        <w:t>突破苹果封锁：安卓系TWS正在发力</w:t>
      </w:r>
      <w:r>
        <w:tab/>
      </w:r>
      <w:r>
        <w:fldChar w:fldCharType="begin"/>
      </w:r>
      <w:r>
        <w:instrText xml:space="preserve"> PAGEREF _Toc685367568 </w:instrText>
      </w:r>
      <w:r>
        <w:fldChar w:fldCharType="separate"/>
      </w:r>
      <w:r>
        <w:t>- 12 -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_Toc2017916515 </w:instrText>
      </w:r>
      <w:r>
        <w:rPr>
          <w:rFonts w:eastAsia="楷体" w:cs="Arial"/>
          <w:szCs w:val="21"/>
        </w:rPr>
        <w:fldChar w:fldCharType="separate"/>
      </w:r>
      <w:r>
        <w:rPr>
          <w:rFonts w:hint="default" w:eastAsia="楷体" w:cs="Arial"/>
        </w:rPr>
        <w:t>TWS主控芯片(SoC)进入增长快车道，差异竞争赛道好</w:t>
      </w:r>
      <w:r>
        <w:tab/>
      </w:r>
      <w:r>
        <w:fldChar w:fldCharType="begin"/>
      </w:r>
      <w:r>
        <w:instrText xml:space="preserve"> PAGEREF _Toc2017916515 </w:instrText>
      </w:r>
      <w:r>
        <w:fldChar w:fldCharType="separate"/>
      </w:r>
      <w:r>
        <w:t>- 14 -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_Toc2061114181 </w:instrText>
      </w:r>
      <w:r>
        <w:rPr>
          <w:rFonts w:eastAsia="楷体" w:cs="Arial"/>
          <w:szCs w:val="21"/>
        </w:rPr>
        <w:fldChar w:fldCharType="separate"/>
      </w:r>
      <w:r>
        <w:rPr>
          <w:rFonts w:hint="default" w:eastAsia="楷体" w:cs="Arial"/>
        </w:rPr>
        <w:t>TWS总成芯片SoC参数对比，技术是重要竞争力</w:t>
      </w:r>
      <w:r>
        <w:tab/>
      </w:r>
      <w:r>
        <w:fldChar w:fldCharType="begin"/>
      </w:r>
      <w:r>
        <w:instrText xml:space="preserve"> PAGEREF _Toc2061114181 </w:instrText>
      </w:r>
      <w:r>
        <w:fldChar w:fldCharType="separate"/>
      </w:r>
      <w:r>
        <w:t>- 17 -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_Toc87330310 </w:instrText>
      </w:r>
      <w:r>
        <w:rPr>
          <w:rFonts w:eastAsia="楷体" w:cs="Arial"/>
          <w:szCs w:val="21"/>
        </w:rPr>
        <w:fldChar w:fldCharType="separate"/>
      </w:r>
      <w:r>
        <w:rPr>
          <w:rFonts w:hint="default" w:eastAsia="楷体" w:cs="Arial"/>
        </w:rPr>
        <w:t>博通集成产品技术参数优异，开拓市场、销量爬坡进行时</w:t>
      </w:r>
      <w:r>
        <w:tab/>
      </w:r>
      <w:r>
        <w:fldChar w:fldCharType="begin"/>
      </w:r>
      <w:r>
        <w:instrText xml:space="preserve"> PAGEREF _Toc87330310 </w:instrText>
      </w:r>
      <w:r>
        <w:fldChar w:fldCharType="separate"/>
      </w:r>
      <w:r>
        <w:t>- 18 -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_Toc1029189269 </w:instrText>
      </w:r>
      <w:r>
        <w:rPr>
          <w:rFonts w:eastAsia="楷体" w:cs="Arial"/>
          <w:szCs w:val="21"/>
        </w:rPr>
        <w:fldChar w:fldCharType="separate"/>
      </w:r>
      <w:r>
        <w:rPr>
          <w:rFonts w:hint="default" w:eastAsia="楷体" w:cs="Arial"/>
          <w:bCs/>
          <w:szCs w:val="32"/>
        </w:rPr>
        <w:t>物联网持续高景气，WIFI芯片赋能智能家居</w:t>
      </w:r>
      <w:r>
        <w:tab/>
      </w:r>
      <w:r>
        <w:fldChar w:fldCharType="begin"/>
      </w:r>
      <w:r>
        <w:instrText xml:space="preserve"> PAGEREF _Toc1029189269 </w:instrText>
      </w:r>
      <w:r>
        <w:fldChar w:fldCharType="separate"/>
      </w:r>
      <w:r>
        <w:t>- 19 -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_Toc1750751145 </w:instrText>
      </w:r>
      <w:r>
        <w:rPr>
          <w:rFonts w:eastAsia="楷体" w:cs="Arial"/>
          <w:szCs w:val="21"/>
        </w:rPr>
        <w:fldChar w:fldCharType="separate"/>
      </w:r>
      <w:r>
        <w:rPr>
          <w:rFonts w:hint="default" w:eastAsia="楷体" w:cs="Arial"/>
        </w:rPr>
        <w:t>WIFI技术对于物联网和虚拟现实处于快速渗透期</w:t>
      </w:r>
      <w:r>
        <w:tab/>
      </w:r>
      <w:r>
        <w:fldChar w:fldCharType="begin"/>
      </w:r>
      <w:r>
        <w:instrText xml:space="preserve"> PAGEREF _Toc1750751145 </w:instrText>
      </w:r>
      <w:r>
        <w:fldChar w:fldCharType="separate"/>
      </w:r>
      <w:r>
        <w:t>- 19 -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_Toc53562821 </w:instrText>
      </w:r>
      <w:r>
        <w:rPr>
          <w:rFonts w:eastAsia="楷体" w:cs="Arial"/>
          <w:szCs w:val="21"/>
        </w:rPr>
        <w:fldChar w:fldCharType="separate"/>
      </w:r>
      <w:r>
        <w:rPr>
          <w:rFonts w:hint="default" w:eastAsia="楷体" w:cs="Arial"/>
        </w:rPr>
        <w:t>受益于万物互联，Wi-Fi芯片市场规模止跌回升迎来黄金发展期</w:t>
      </w:r>
      <w:r>
        <w:tab/>
      </w:r>
      <w:r>
        <w:fldChar w:fldCharType="begin"/>
      </w:r>
      <w:r>
        <w:instrText xml:space="preserve"> PAGEREF _Toc53562821 </w:instrText>
      </w:r>
      <w:r>
        <w:fldChar w:fldCharType="separate"/>
      </w:r>
      <w:r>
        <w:t>- 20 -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_Toc434684454 </w:instrText>
      </w:r>
      <w:r>
        <w:rPr>
          <w:rFonts w:eastAsia="楷体" w:cs="Arial"/>
          <w:szCs w:val="21"/>
        </w:rPr>
        <w:fldChar w:fldCharType="separate"/>
      </w:r>
      <w:r>
        <w:rPr>
          <w:rFonts w:hint="default" w:eastAsia="楷体" w:cs="Arial"/>
        </w:rPr>
        <w:t>物联网产业规模快速增长，智能家居为物联网第一大应用场景，占比43%。</w:t>
      </w:r>
      <w:r>
        <w:tab/>
      </w:r>
      <w:r>
        <w:fldChar w:fldCharType="begin"/>
      </w:r>
      <w:r>
        <w:instrText xml:space="preserve"> PAGEREF _Toc434684454 </w:instrText>
      </w:r>
      <w:r>
        <w:fldChar w:fldCharType="separate"/>
      </w:r>
      <w:r>
        <w:t>- 21 -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_Toc2251284 </w:instrText>
      </w:r>
      <w:r>
        <w:rPr>
          <w:rFonts w:eastAsia="楷体" w:cs="Arial"/>
          <w:szCs w:val="21"/>
        </w:rPr>
        <w:fldChar w:fldCharType="separate"/>
      </w:r>
      <w:r>
        <w:rPr>
          <w:rFonts w:hint="default" w:eastAsia="楷体" w:cs="Arial"/>
        </w:rPr>
        <w:t>Wi-Fi技术赋能物联网，为智能家居第二大无线传输技术</w:t>
      </w:r>
      <w:r>
        <w:tab/>
      </w:r>
      <w:r>
        <w:fldChar w:fldCharType="begin"/>
      </w:r>
      <w:r>
        <w:instrText xml:space="preserve"> PAGEREF _Toc2251284 </w:instrText>
      </w:r>
      <w:r>
        <w:fldChar w:fldCharType="separate"/>
      </w:r>
      <w:r>
        <w:t>- 22 -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_Toc1330108189 </w:instrText>
      </w:r>
      <w:r>
        <w:rPr>
          <w:rFonts w:eastAsia="楷体" w:cs="Arial"/>
          <w:szCs w:val="21"/>
        </w:rPr>
        <w:fldChar w:fldCharType="separate"/>
      </w:r>
      <w:r>
        <w:rPr>
          <w:rFonts w:hint="default" w:eastAsia="楷体" w:cs="Arial"/>
        </w:rPr>
        <w:t>竞争格局：大型企业与中小企业互有优势；</w:t>
      </w:r>
      <w:r>
        <w:tab/>
      </w:r>
      <w:r>
        <w:fldChar w:fldCharType="begin"/>
      </w:r>
      <w:r>
        <w:instrText xml:space="preserve"> PAGEREF _Toc1330108189 </w:instrText>
      </w:r>
      <w:r>
        <w:fldChar w:fldCharType="separate"/>
      </w:r>
      <w:r>
        <w:t>- 24 -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_Toc1971050900 </w:instrText>
      </w:r>
      <w:r>
        <w:rPr>
          <w:rFonts w:eastAsia="楷体" w:cs="Arial"/>
          <w:szCs w:val="21"/>
        </w:rPr>
        <w:fldChar w:fldCharType="separate"/>
      </w:r>
      <w:r>
        <w:rPr>
          <w:rFonts w:hint="default" w:eastAsia="楷体" w:cs="Arial"/>
        </w:rPr>
        <w:t>国内厂商技术对比：博通集成 vs 乐鑫科技</w:t>
      </w:r>
      <w:r>
        <w:tab/>
      </w:r>
      <w:r>
        <w:fldChar w:fldCharType="begin"/>
      </w:r>
      <w:r>
        <w:instrText xml:space="preserve"> PAGEREF _Toc1971050900 </w:instrText>
      </w:r>
      <w:r>
        <w:fldChar w:fldCharType="separate"/>
      </w:r>
      <w:r>
        <w:t>- 24 -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_Toc369737678 </w:instrText>
      </w:r>
      <w:r>
        <w:rPr>
          <w:rFonts w:eastAsia="楷体" w:cs="Arial"/>
          <w:szCs w:val="21"/>
        </w:rPr>
        <w:fldChar w:fldCharType="separate"/>
      </w:r>
      <w:r>
        <w:rPr>
          <w:rFonts w:hint="default" w:eastAsia="楷体" w:cs="Arial"/>
        </w:rPr>
        <w:t>博通集成：收购希腊Adveos，强化射频电路设计能力</w:t>
      </w:r>
      <w:r>
        <w:tab/>
      </w:r>
      <w:r>
        <w:fldChar w:fldCharType="begin"/>
      </w:r>
      <w:r>
        <w:instrText xml:space="preserve"> PAGEREF _Toc369737678 </w:instrText>
      </w:r>
      <w:r>
        <w:fldChar w:fldCharType="separate"/>
      </w:r>
      <w:r>
        <w:t>- 26 -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_Toc1510963375 </w:instrText>
      </w:r>
      <w:r>
        <w:rPr>
          <w:rFonts w:eastAsia="楷体" w:cs="Arial"/>
          <w:szCs w:val="21"/>
        </w:rPr>
        <w:fldChar w:fldCharType="separate"/>
      </w:r>
      <w:r>
        <w:rPr>
          <w:rFonts w:hint="default" w:eastAsia="楷体" w:cs="Arial"/>
        </w:rPr>
        <w:t>博通集成：与涂鸦智能紧密合作，Wi-Fi芯片持续放量</w:t>
      </w:r>
      <w:r>
        <w:tab/>
      </w:r>
      <w:r>
        <w:fldChar w:fldCharType="begin"/>
      </w:r>
      <w:r>
        <w:instrText xml:space="preserve"> PAGEREF _Toc1510963375 </w:instrText>
      </w:r>
      <w:r>
        <w:fldChar w:fldCharType="separate"/>
      </w:r>
      <w:r>
        <w:t>- 27 -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_Toc767317850 </w:instrText>
      </w:r>
      <w:r>
        <w:rPr>
          <w:rFonts w:eastAsia="楷体" w:cs="Arial"/>
          <w:szCs w:val="21"/>
        </w:rPr>
        <w:fldChar w:fldCharType="separate"/>
      </w:r>
      <w:r>
        <w:rPr>
          <w:rFonts w:hint="default" w:eastAsia="楷体" w:cs="Arial"/>
          <w:bCs/>
          <w:szCs w:val="32"/>
        </w:rPr>
        <w:t>ETC前装常态化，收获稳定现金流</w:t>
      </w:r>
      <w:r>
        <w:tab/>
      </w:r>
      <w:r>
        <w:fldChar w:fldCharType="begin"/>
      </w:r>
      <w:r>
        <w:instrText xml:space="preserve"> PAGEREF _Toc767317850 </w:instrText>
      </w:r>
      <w:r>
        <w:fldChar w:fldCharType="separate"/>
      </w:r>
      <w:r>
        <w:t>- 28 -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_Toc671804715 </w:instrText>
      </w:r>
      <w:r>
        <w:rPr>
          <w:rFonts w:eastAsia="楷体" w:cs="Arial"/>
          <w:szCs w:val="21"/>
        </w:rPr>
        <w:fldChar w:fldCharType="separate"/>
      </w:r>
      <w:r>
        <w:rPr>
          <w:rFonts w:hint="default" w:eastAsia="楷体" w:cs="Arial"/>
        </w:rPr>
        <w:t>智能交通重要一环，ETC政策推进拉动行业增长</w:t>
      </w:r>
      <w:r>
        <w:tab/>
      </w:r>
      <w:r>
        <w:fldChar w:fldCharType="begin"/>
      </w:r>
      <w:r>
        <w:instrText xml:space="preserve"> PAGEREF _Toc671804715 </w:instrText>
      </w:r>
      <w:r>
        <w:fldChar w:fldCharType="separate"/>
      </w:r>
      <w:r>
        <w:t>- 28 -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_Toc1700312726 </w:instrText>
      </w:r>
      <w:r>
        <w:rPr>
          <w:rFonts w:eastAsia="楷体" w:cs="Arial"/>
          <w:szCs w:val="21"/>
        </w:rPr>
        <w:fldChar w:fldCharType="separate"/>
      </w:r>
      <w:r>
        <w:rPr>
          <w:rFonts w:hint="default" w:eastAsia="楷体" w:cs="Arial"/>
        </w:rPr>
        <w:t>ETC从后装走向前装：成为新车标配</w:t>
      </w:r>
      <w:r>
        <w:tab/>
      </w:r>
      <w:r>
        <w:fldChar w:fldCharType="begin"/>
      </w:r>
      <w:r>
        <w:instrText xml:space="preserve"> PAGEREF _Toc1700312726 </w:instrText>
      </w:r>
      <w:r>
        <w:fldChar w:fldCharType="separate"/>
      </w:r>
      <w:r>
        <w:t>- 29 -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_Toc591095253 </w:instrText>
      </w:r>
      <w:r>
        <w:rPr>
          <w:rFonts w:eastAsia="楷体" w:cs="Arial"/>
          <w:szCs w:val="21"/>
        </w:rPr>
        <w:fldChar w:fldCharType="separate"/>
      </w:r>
      <w:r>
        <w:rPr>
          <w:rFonts w:hint="default" w:eastAsia="楷体" w:cs="Arial"/>
        </w:rPr>
        <w:t>从后装到前装，公司产品持续迭代，保持高度领先地位</w:t>
      </w:r>
      <w:r>
        <w:tab/>
      </w:r>
      <w:r>
        <w:fldChar w:fldCharType="begin"/>
      </w:r>
      <w:r>
        <w:instrText xml:space="preserve"> PAGEREF _Toc591095253 </w:instrText>
      </w:r>
      <w:r>
        <w:fldChar w:fldCharType="separate"/>
      </w:r>
      <w:r>
        <w:t>- 30 -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_Toc278566149 </w:instrText>
      </w:r>
      <w:r>
        <w:rPr>
          <w:rFonts w:eastAsia="楷体" w:cs="Arial"/>
          <w:szCs w:val="21"/>
        </w:rPr>
        <w:fldChar w:fldCharType="separate"/>
      </w:r>
      <w:r>
        <w:rPr>
          <w:rFonts w:hint="default" w:eastAsia="楷体" w:cs="Arial"/>
          <w:bCs/>
          <w:szCs w:val="32"/>
        </w:rPr>
        <w:t>公司定增资金计划</w:t>
      </w:r>
      <w:r>
        <w:tab/>
      </w:r>
      <w:r>
        <w:fldChar w:fldCharType="begin"/>
      </w:r>
      <w:r>
        <w:instrText xml:space="preserve"> PAGEREF _Toc278566149 </w:instrText>
      </w:r>
      <w:r>
        <w:fldChar w:fldCharType="separate"/>
      </w:r>
      <w:r>
        <w:t>- 31 -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_Toc346915783 </w:instrText>
      </w:r>
      <w:r>
        <w:rPr>
          <w:rFonts w:eastAsia="楷体" w:cs="Arial"/>
          <w:szCs w:val="21"/>
        </w:rPr>
        <w:fldChar w:fldCharType="separate"/>
      </w:r>
      <w:r>
        <w:rPr>
          <w:rFonts w:hint="eastAsia" w:eastAsia="楷体" w:cs="Arial"/>
        </w:rPr>
        <w:t>募集资金总量及使用安排</w:t>
      </w:r>
      <w:r>
        <w:tab/>
      </w:r>
      <w:r>
        <w:fldChar w:fldCharType="begin"/>
      </w:r>
      <w:r>
        <w:instrText xml:space="preserve"> PAGEREF _Toc346915783 </w:instrText>
      </w:r>
      <w:r>
        <w:fldChar w:fldCharType="separate"/>
      </w:r>
      <w:r>
        <w:t>- 31 -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_Toc195463276 </w:instrText>
      </w:r>
      <w:r>
        <w:rPr>
          <w:rFonts w:eastAsia="楷体" w:cs="Arial"/>
          <w:szCs w:val="21"/>
        </w:rPr>
        <w:fldChar w:fldCharType="separate"/>
      </w:r>
      <w:r>
        <w:rPr>
          <w:rFonts w:hint="eastAsia" w:eastAsia="楷体" w:cs="Arial"/>
        </w:rPr>
        <w:t>募集资金项目目的及与主营业务关系</w:t>
      </w:r>
      <w:r>
        <w:tab/>
      </w:r>
      <w:r>
        <w:fldChar w:fldCharType="begin"/>
      </w:r>
      <w:r>
        <w:instrText xml:space="preserve"> PAGEREF _Toc195463276 </w:instrText>
      </w:r>
      <w:r>
        <w:fldChar w:fldCharType="separate"/>
      </w:r>
      <w:r>
        <w:t>- 31 -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_Toc1648783469 </w:instrText>
      </w:r>
      <w:r>
        <w:rPr>
          <w:rFonts w:eastAsia="楷体" w:cs="Arial"/>
          <w:szCs w:val="21"/>
        </w:rPr>
        <w:fldChar w:fldCharType="separate"/>
      </w:r>
      <w:r>
        <w:rPr>
          <w:rFonts w:hint="default" w:eastAsia="楷体" w:cs="Arial"/>
          <w:bCs/>
          <w:szCs w:val="32"/>
        </w:rPr>
        <w:t>公司盈利预测</w:t>
      </w:r>
      <w:r>
        <w:tab/>
      </w:r>
      <w:r>
        <w:fldChar w:fldCharType="begin"/>
      </w:r>
      <w:r>
        <w:instrText xml:space="preserve"> PAGEREF _Toc1648783469 </w:instrText>
      </w:r>
      <w:r>
        <w:fldChar w:fldCharType="separate"/>
      </w:r>
      <w:r>
        <w:t>- 33 -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_Toc2122266242 </w:instrText>
      </w:r>
      <w:r>
        <w:rPr>
          <w:rFonts w:eastAsia="楷体" w:cs="Arial"/>
          <w:szCs w:val="21"/>
        </w:rPr>
        <w:fldChar w:fldCharType="separate"/>
      </w:r>
      <w:r>
        <w:rPr>
          <w:rFonts w:hint="default" w:eastAsia="楷体" w:cs="Arial"/>
        </w:rPr>
        <w:t>公司营收拆分</w:t>
      </w:r>
      <w:r>
        <w:tab/>
      </w:r>
      <w:r>
        <w:fldChar w:fldCharType="begin"/>
      </w:r>
      <w:r>
        <w:instrText xml:space="preserve"> PAGEREF _Toc2122266242 </w:instrText>
      </w:r>
      <w:r>
        <w:fldChar w:fldCharType="separate"/>
      </w:r>
      <w:r>
        <w:t>- 33 -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_Toc1372836271 </w:instrText>
      </w:r>
      <w:r>
        <w:rPr>
          <w:rFonts w:eastAsia="楷体" w:cs="Arial"/>
          <w:szCs w:val="21"/>
        </w:rPr>
        <w:fldChar w:fldCharType="separate"/>
      </w:r>
      <w:r>
        <w:rPr>
          <w:rFonts w:hint="default" w:eastAsia="楷体" w:cs="Arial"/>
        </w:rPr>
        <w:t>盈利预测</w:t>
      </w:r>
      <w:r>
        <w:tab/>
      </w:r>
      <w:r>
        <w:fldChar w:fldCharType="begin"/>
      </w:r>
      <w:r>
        <w:instrText xml:space="preserve"> PAGEREF _Toc1372836271 </w:instrText>
      </w:r>
      <w:r>
        <w:fldChar w:fldCharType="separate"/>
      </w:r>
      <w:r>
        <w:t>- 33 -</w:t>
      </w:r>
      <w:r>
        <w:fldChar w:fldCharType="end"/>
      </w:r>
      <w:r>
        <w:rPr>
          <w:rFonts w:eastAsia="楷体" w:cs="Arial"/>
          <w:color w:val="000000"/>
          <w:szCs w:val="21"/>
        </w:rPr>
        <w:fldChar w:fldCharType="end"/>
      </w:r>
    </w:p>
    <w:p>
      <w:pPr>
        <w:pStyle w:val="16"/>
        <w:tabs>
          <w:tab w:val="right" w:leader="dot" w:pos="10204"/>
          <w:tab w:val="clear" w:pos="8931"/>
          <w:tab w:val="clear" w:pos="10649"/>
        </w:tabs>
      </w:pPr>
      <w:r>
        <w:rPr>
          <w:rFonts w:eastAsia="楷体" w:cs="Arial"/>
          <w:color w:val="000000"/>
          <w:szCs w:val="21"/>
        </w:rPr>
        <w:fldChar w:fldCharType="begin"/>
      </w:r>
      <w:r>
        <w:rPr>
          <w:rFonts w:eastAsia="楷体" w:cs="Arial"/>
          <w:szCs w:val="21"/>
        </w:rPr>
        <w:instrText xml:space="preserve"> HYPERLINK \l _Toc694903329 </w:instrText>
      </w:r>
      <w:r>
        <w:rPr>
          <w:rFonts w:eastAsia="楷体" w:cs="Arial"/>
          <w:szCs w:val="21"/>
        </w:rPr>
        <w:fldChar w:fldCharType="separate"/>
      </w:r>
      <w:r>
        <w:rPr>
          <w:rFonts w:hint="default" w:eastAsia="楷体" w:cs="Arial"/>
        </w:rPr>
        <w:t>公司估值比较</w:t>
      </w:r>
      <w:r>
        <w:tab/>
      </w:r>
      <w:r>
        <w:fldChar w:fldCharType="begin"/>
      </w:r>
      <w:r>
        <w:instrText xml:space="preserve"> PAGEREF _Toc694903329 </w:instrText>
      </w:r>
      <w:r>
        <w:fldChar w:fldCharType="separate"/>
      </w:r>
      <w:r>
        <w:t>- 34 -</w:t>
      </w:r>
      <w:r>
        <w:fldChar w:fldCharType="end"/>
      </w:r>
      <w:r>
        <w:rPr>
          <w:rFonts w:eastAsia="楷体" w:cs="Arial"/>
          <w:color w:val="000000"/>
          <w:szCs w:val="21"/>
        </w:rPr>
        <w:fldChar w:fldCharType="end"/>
      </w:r>
    </w:p>
    <w:p>
      <w:pPr>
        <w:pStyle w:val="15"/>
        <w:tabs>
          <w:tab w:val="right" w:leader="dot" w:pos="10204"/>
          <w:tab w:val="clear" w:pos="8644"/>
          <w:tab w:val="clear" w:pos="10649"/>
        </w:tabs>
      </w:pPr>
      <w:r>
        <w:rPr>
          <w:rFonts w:eastAsia="楷体" w:cs="Arial"/>
          <w:color w:val="000000"/>
          <w:szCs w:val="21"/>
        </w:rPr>
        <w:fldChar w:fldCharType="begin"/>
      </w:r>
      <w:r>
        <w:rPr>
          <w:rFonts w:eastAsia="楷体" w:cs="Arial"/>
          <w:szCs w:val="21"/>
        </w:rPr>
        <w:instrText xml:space="preserve"> HYPERLINK \l _Toc1224178117 </w:instrText>
      </w:r>
      <w:r>
        <w:rPr>
          <w:rFonts w:eastAsia="楷体" w:cs="Arial"/>
          <w:szCs w:val="21"/>
        </w:rPr>
        <w:fldChar w:fldCharType="separate"/>
      </w:r>
      <w:r>
        <w:rPr>
          <w:rFonts w:hint="eastAsia" w:eastAsia="楷体" w:cs="Arial"/>
          <w:bCs/>
          <w:szCs w:val="32"/>
        </w:rPr>
        <w:t>风险提示</w:t>
      </w:r>
      <w:r>
        <w:tab/>
      </w:r>
      <w:r>
        <w:fldChar w:fldCharType="begin"/>
      </w:r>
      <w:r>
        <w:instrText xml:space="preserve"> PAGEREF _Toc1224178117 </w:instrText>
      </w:r>
      <w:r>
        <w:fldChar w:fldCharType="separate"/>
      </w:r>
      <w:r>
        <w:t>- 35 -</w:t>
      </w:r>
      <w:r>
        <w:fldChar w:fldCharType="end"/>
      </w:r>
      <w:r>
        <w:rPr>
          <w:rFonts w:eastAsia="楷体" w:cs="Arial"/>
          <w:color w:val="000000"/>
          <w:szCs w:val="21"/>
        </w:rPr>
        <w:fldChar w:fldCharType="end"/>
      </w:r>
    </w:p>
    <w:p>
      <w:pPr>
        <w:tabs>
          <w:tab w:val="right" w:leader="dot" w:pos="8644"/>
          <w:tab w:val="right" w:leader="dot" w:pos="10649"/>
        </w:tabs>
        <w:kinsoku w:val="0"/>
        <w:spacing w:after="312" w:afterLines="100" w:line="400" w:lineRule="exact"/>
        <w:ind w:left="1050" w:leftChars="500"/>
        <w:jc w:val="center"/>
        <w:rPr>
          <w:rFonts w:eastAsia="楷体" w:cs="Arial"/>
          <w:b/>
          <w:color w:val="000000"/>
          <w:szCs w:val="21"/>
        </w:rPr>
      </w:pPr>
      <w:r>
        <w:rPr>
          <w:rFonts w:eastAsia="楷体" w:cs="Arial"/>
          <w:color w:val="000000"/>
          <w:szCs w:val="21"/>
        </w:rPr>
        <w:fldChar w:fldCharType="end"/>
      </w:r>
    </w:p>
    <w:p>
      <w:pPr>
        <w:tabs>
          <w:tab w:val="right" w:leader="dot" w:pos="8644"/>
          <w:tab w:val="right" w:leader="dot" w:pos="10649"/>
        </w:tabs>
        <w:kinsoku w:val="0"/>
        <w:spacing w:after="312" w:afterLines="100" w:line="400" w:lineRule="exact"/>
        <w:ind w:left="1050" w:leftChars="500"/>
        <w:jc w:val="center"/>
        <w:rPr>
          <w:rFonts w:eastAsia="楷体" w:cs="Arial"/>
          <w:b/>
          <w:color w:val="000000"/>
          <w:sz w:val="28"/>
          <w:szCs w:val="28"/>
        </w:rPr>
      </w:pPr>
      <w:r>
        <w:rPr>
          <w:rFonts w:eastAsia="楷体" w:cs="Arial"/>
          <w:b/>
          <w:color w:val="000000"/>
          <w:sz w:val="28"/>
          <w:szCs w:val="28"/>
        </w:rPr>
        <w:t>图表目录</w:t>
      </w:r>
    </w:p>
    <w:p>
      <w:pPr>
        <w:pStyle w:val="14"/>
        <w:tabs>
          <w:tab w:val="right" w:leader="dot" w:pos="10204"/>
          <w:tab w:val="clear" w:pos="8644"/>
          <w:tab w:val="clear" w:pos="10649"/>
        </w:tabs>
      </w:pPr>
      <w:r>
        <w:rPr>
          <w:rFonts w:eastAsia="楷体"/>
          <w:b/>
          <w:sz w:val="28"/>
          <w:szCs w:val="28"/>
        </w:rPr>
        <w:fldChar w:fldCharType="begin"/>
      </w:r>
      <w:r>
        <w:rPr>
          <w:rFonts w:eastAsia="楷体"/>
          <w:b/>
          <w:sz w:val="28"/>
          <w:szCs w:val="28"/>
        </w:rPr>
        <w:instrText xml:space="preserve"> TOC \h \z \c "图表" </w:instrText>
      </w:r>
      <w:r>
        <w:rPr>
          <w:rFonts w:eastAsia="楷体"/>
          <w:b/>
          <w:sz w:val="28"/>
          <w:szCs w:val="28"/>
        </w:rPr>
        <w:fldChar w:fldCharType="separate"/>
      </w:r>
      <w:r>
        <w:rPr>
          <w:rFonts w:eastAsia="楷体"/>
          <w:szCs w:val="28"/>
        </w:rPr>
        <w:fldChar w:fldCharType="begin"/>
      </w:r>
      <w:r>
        <w:rPr>
          <w:rFonts w:eastAsia="楷体"/>
          <w:szCs w:val="28"/>
        </w:rPr>
        <w:instrText xml:space="preserve"> HYPERLINK \l _Toc994173330 </w:instrText>
      </w:r>
      <w:r>
        <w:rPr>
          <w:rFonts w:eastAsia="楷体"/>
          <w:szCs w:val="28"/>
        </w:rPr>
        <w:fldChar w:fldCharType="separate"/>
      </w:r>
      <w:r>
        <w:rPr>
          <w:rFonts w:hint="eastAsia" w:eastAsia="楷体" w:cs="Arial"/>
          <w:bCs/>
          <w:i/>
        </w:rPr>
        <w:t xml:space="preserve">图表 </w:t>
      </w:r>
      <w:r>
        <w:t xml:space="preserve">1 </w:t>
      </w:r>
      <w:r>
        <w:rPr>
          <w:rFonts w:eastAsia="楷体" w:cs="Arial"/>
          <w:bCs/>
          <w:i/>
        </w:rPr>
        <w:t>：</w:t>
      </w:r>
      <w:r>
        <w:rPr>
          <w:rFonts w:hint="eastAsia" w:eastAsia="楷体" w:cs="Arial"/>
          <w:bCs/>
          <w:i/>
        </w:rPr>
        <w:t>公司</w:t>
      </w:r>
      <w:r>
        <w:rPr>
          <w:rFonts w:hint="default" w:eastAsia="楷体" w:cs="Arial"/>
          <w:bCs/>
          <w:i/>
        </w:rPr>
        <w:t>发展历程介绍</w:t>
      </w:r>
      <w:r>
        <w:tab/>
      </w:r>
      <w:r>
        <w:fldChar w:fldCharType="begin"/>
      </w:r>
      <w:r>
        <w:instrText xml:space="preserve"> PAGEREF _Toc994173330 </w:instrText>
      </w:r>
      <w:r>
        <w:fldChar w:fldCharType="separate"/>
      </w:r>
      <w:r>
        <w:t>- 6 -</w:t>
      </w:r>
      <w:r>
        <w:fldChar w:fldCharType="end"/>
      </w:r>
      <w:r>
        <w:rPr>
          <w:rFonts w:eastAsia="楷体"/>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_Toc1844959250 </w:instrText>
      </w:r>
      <w:r>
        <w:rPr>
          <w:rFonts w:eastAsia="楷体" w:cs="Arial"/>
          <w:kern w:val="0"/>
          <w:szCs w:val="28"/>
        </w:rPr>
        <w:fldChar w:fldCharType="separate"/>
      </w:r>
      <w:r>
        <w:rPr>
          <w:rFonts w:hint="eastAsia" w:ascii="Arial" w:hAnsi="Arial" w:eastAsia="楷体" w:cs="Arial"/>
          <w:bCs/>
          <w:i/>
          <w:szCs w:val="24"/>
        </w:rPr>
        <w:t xml:space="preserve">图表 </w:t>
      </w:r>
      <w:r>
        <w:t xml:space="preserve">2 </w:t>
      </w:r>
      <w:r>
        <w:rPr>
          <w:rFonts w:ascii="Arial" w:hAnsi="Arial" w:eastAsia="楷体" w:cs="Arial"/>
          <w:bCs/>
          <w:i/>
          <w:szCs w:val="24"/>
        </w:rPr>
        <w:t xml:space="preserve"> 公司主要产品介绍</w:t>
      </w:r>
      <w:r>
        <w:tab/>
      </w:r>
      <w:r>
        <w:fldChar w:fldCharType="begin"/>
      </w:r>
      <w:r>
        <w:instrText xml:space="preserve"> PAGEREF _Toc1844959250 </w:instrText>
      </w:r>
      <w:r>
        <w:fldChar w:fldCharType="separate"/>
      </w:r>
      <w:r>
        <w:t>- 7 -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_Toc2060027124 </w:instrText>
      </w:r>
      <w:r>
        <w:rPr>
          <w:rFonts w:eastAsia="楷体" w:cs="Arial"/>
          <w:kern w:val="0"/>
          <w:szCs w:val="28"/>
        </w:rPr>
        <w:fldChar w:fldCharType="separate"/>
      </w:r>
      <w:r>
        <w:rPr>
          <w:rFonts w:hint="eastAsia" w:ascii="Arial" w:hAnsi="Arial" w:eastAsia="楷体" w:cs="Arial"/>
          <w:bCs/>
          <w:i/>
          <w:szCs w:val="24"/>
        </w:rPr>
        <w:t xml:space="preserve">图表 </w:t>
      </w:r>
      <w:r>
        <w:t xml:space="preserve">3 </w:t>
      </w:r>
      <w:r>
        <w:rPr>
          <w:rFonts w:ascii="Arial" w:hAnsi="Arial" w:eastAsia="楷体" w:cs="Arial"/>
          <w:bCs/>
          <w:i/>
          <w:szCs w:val="24"/>
        </w:rPr>
        <w:t xml:space="preserve"> 公司股权结构体系</w:t>
      </w:r>
      <w:r>
        <w:tab/>
      </w:r>
      <w:r>
        <w:fldChar w:fldCharType="begin"/>
      </w:r>
      <w:r>
        <w:instrText xml:space="preserve"> PAGEREF _Toc2060027124 </w:instrText>
      </w:r>
      <w:r>
        <w:fldChar w:fldCharType="separate"/>
      </w:r>
      <w:r>
        <w:t>- 8 -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_Toc871637959 </w:instrText>
      </w:r>
      <w:r>
        <w:rPr>
          <w:rFonts w:eastAsia="楷体" w:cs="Arial"/>
          <w:kern w:val="0"/>
          <w:szCs w:val="28"/>
        </w:rPr>
        <w:fldChar w:fldCharType="separate"/>
      </w:r>
      <w:r>
        <w:rPr>
          <w:rFonts w:eastAsia="楷体" w:cs="Arial"/>
          <w:bCs/>
          <w:i/>
        </w:rPr>
        <w:t xml:space="preserve">图表 </w:t>
      </w:r>
      <w:r>
        <w:t xml:space="preserve">6 </w:t>
      </w:r>
      <w:r>
        <w:rPr>
          <w:rFonts w:eastAsia="楷体" w:cs="Arial"/>
          <w:bCs/>
          <w:i/>
        </w:rPr>
        <w:t xml:space="preserve"> </w:t>
      </w:r>
      <w:r>
        <w:rPr>
          <w:rFonts w:hint="default" w:eastAsia="楷体" w:cs="Arial"/>
          <w:bCs/>
          <w:i/>
        </w:rPr>
        <w:t>公司2017-2020Q3营收情况</w:t>
      </w:r>
      <w:r>
        <w:tab/>
      </w:r>
      <w:r>
        <w:fldChar w:fldCharType="begin"/>
      </w:r>
      <w:r>
        <w:instrText xml:space="preserve"> PAGEREF _Toc871637959 </w:instrText>
      </w:r>
      <w:r>
        <w:fldChar w:fldCharType="separate"/>
      </w:r>
      <w:r>
        <w:t>- 9 -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_Toc404765928 </w:instrText>
      </w:r>
      <w:r>
        <w:rPr>
          <w:rFonts w:eastAsia="楷体" w:cs="Arial"/>
          <w:kern w:val="0"/>
          <w:szCs w:val="28"/>
        </w:rPr>
        <w:fldChar w:fldCharType="separate"/>
      </w:r>
      <w:r>
        <w:rPr>
          <w:rFonts w:eastAsia="楷体" w:cs="Arial"/>
          <w:bCs/>
          <w:i/>
        </w:rPr>
        <w:t xml:space="preserve">图表 </w:t>
      </w:r>
      <w:r>
        <w:t xml:space="preserve">7 </w:t>
      </w:r>
      <w:r>
        <w:rPr>
          <w:rFonts w:eastAsia="楷体" w:cs="Arial"/>
          <w:bCs/>
          <w:i/>
        </w:rPr>
        <w:t xml:space="preserve"> 公司2019年产品营收占比</w:t>
      </w:r>
      <w:r>
        <w:tab/>
      </w:r>
      <w:r>
        <w:fldChar w:fldCharType="begin"/>
      </w:r>
      <w:r>
        <w:instrText xml:space="preserve"> PAGEREF _Toc404765928 </w:instrText>
      </w:r>
      <w:r>
        <w:fldChar w:fldCharType="separate"/>
      </w:r>
      <w:r>
        <w:t>- 9 -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_Toc1900171014 </w:instrText>
      </w:r>
      <w:r>
        <w:rPr>
          <w:rFonts w:eastAsia="楷体" w:cs="Arial"/>
          <w:kern w:val="0"/>
          <w:szCs w:val="28"/>
        </w:rPr>
        <w:fldChar w:fldCharType="separate"/>
      </w:r>
      <w:r>
        <w:rPr>
          <w:rFonts w:eastAsia="楷体" w:cs="Arial"/>
          <w:bCs/>
          <w:i/>
        </w:rPr>
        <w:t xml:space="preserve">图表 </w:t>
      </w:r>
      <w:r>
        <w:t xml:space="preserve">6 </w:t>
      </w:r>
      <w:r>
        <w:rPr>
          <w:rFonts w:eastAsia="楷体" w:cs="Arial"/>
          <w:bCs/>
          <w:i/>
        </w:rPr>
        <w:t xml:space="preserve"> 博通集成</w:t>
      </w:r>
      <w:r>
        <w:rPr>
          <w:rFonts w:hint="default" w:eastAsia="楷体" w:cs="Arial"/>
          <w:bCs/>
          <w:i/>
        </w:rPr>
        <w:t>净利润情况</w:t>
      </w:r>
      <w:r>
        <w:tab/>
      </w:r>
      <w:r>
        <w:fldChar w:fldCharType="begin"/>
      </w:r>
      <w:r>
        <w:instrText xml:space="preserve"> PAGEREF _Toc1900171014 </w:instrText>
      </w:r>
      <w:r>
        <w:fldChar w:fldCharType="separate"/>
      </w:r>
      <w:r>
        <w:t>- 10 -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_Toc591239562 </w:instrText>
      </w:r>
      <w:r>
        <w:rPr>
          <w:rFonts w:eastAsia="楷体" w:cs="Arial"/>
          <w:kern w:val="0"/>
          <w:szCs w:val="28"/>
        </w:rPr>
        <w:fldChar w:fldCharType="separate"/>
      </w:r>
      <w:r>
        <w:rPr>
          <w:rFonts w:eastAsia="楷体" w:cs="Arial"/>
          <w:bCs/>
          <w:i/>
        </w:rPr>
        <w:t xml:space="preserve">图表 </w:t>
      </w:r>
      <w:r>
        <w:t xml:space="preserve">7 </w:t>
      </w:r>
      <w:r>
        <w:rPr>
          <w:rFonts w:eastAsia="楷体" w:cs="Arial"/>
          <w:bCs/>
          <w:i/>
        </w:rPr>
        <w:t xml:space="preserve"> 博通集成近年毛利率、净利率情况</w:t>
      </w:r>
      <w:r>
        <w:tab/>
      </w:r>
      <w:r>
        <w:fldChar w:fldCharType="begin"/>
      </w:r>
      <w:r>
        <w:instrText xml:space="preserve"> PAGEREF _Toc591239562 </w:instrText>
      </w:r>
      <w:r>
        <w:fldChar w:fldCharType="separate"/>
      </w:r>
      <w:r>
        <w:t>- 10 -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_Toc533036370 </w:instrText>
      </w:r>
      <w:r>
        <w:rPr>
          <w:rFonts w:eastAsia="楷体" w:cs="Arial"/>
          <w:kern w:val="0"/>
          <w:szCs w:val="28"/>
        </w:rPr>
        <w:fldChar w:fldCharType="separate"/>
      </w:r>
      <w:r>
        <w:rPr>
          <w:rFonts w:eastAsia="楷体" w:cs="Arial"/>
          <w:bCs/>
          <w:i/>
        </w:rPr>
        <w:t xml:space="preserve">图表 </w:t>
      </w:r>
      <w:r>
        <w:t xml:space="preserve">10 </w:t>
      </w:r>
      <w:r>
        <w:rPr>
          <w:rFonts w:eastAsia="楷体" w:cs="Arial"/>
          <w:bCs/>
          <w:i/>
        </w:rPr>
        <w:t xml:space="preserve"> 博通集成近年研发费用情况</w:t>
      </w:r>
      <w:r>
        <w:tab/>
      </w:r>
      <w:r>
        <w:fldChar w:fldCharType="begin"/>
      </w:r>
      <w:r>
        <w:instrText xml:space="preserve"> PAGEREF _Toc533036370 </w:instrText>
      </w:r>
      <w:r>
        <w:fldChar w:fldCharType="separate"/>
      </w:r>
      <w:r>
        <w:t>- 11 -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_Toc235498155 </w:instrText>
      </w:r>
      <w:r>
        <w:rPr>
          <w:rFonts w:eastAsia="楷体" w:cs="Arial"/>
          <w:kern w:val="0"/>
          <w:szCs w:val="28"/>
        </w:rPr>
        <w:fldChar w:fldCharType="separate"/>
      </w:r>
      <w:r>
        <w:rPr>
          <w:rFonts w:eastAsia="楷体" w:cs="Arial"/>
          <w:bCs/>
          <w:i/>
        </w:rPr>
        <w:t xml:space="preserve">图表 </w:t>
      </w:r>
      <w:r>
        <w:t xml:space="preserve">10 </w:t>
      </w:r>
      <w:r>
        <w:rPr>
          <w:rFonts w:eastAsia="楷体" w:cs="Arial"/>
          <w:bCs/>
          <w:i/>
        </w:rPr>
        <w:t xml:space="preserve"> TWS耳机全球出货量预测</w:t>
      </w:r>
      <w:r>
        <w:tab/>
      </w:r>
      <w:r>
        <w:fldChar w:fldCharType="begin"/>
      </w:r>
      <w:r>
        <w:instrText xml:space="preserve"> PAGEREF _Toc235498155 </w:instrText>
      </w:r>
      <w:r>
        <w:fldChar w:fldCharType="separate"/>
      </w:r>
      <w:r>
        <w:t>- 11 -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_Toc903009413 </w:instrText>
      </w:r>
      <w:r>
        <w:rPr>
          <w:rFonts w:eastAsia="楷体" w:cs="Arial"/>
          <w:kern w:val="0"/>
          <w:szCs w:val="28"/>
        </w:rPr>
        <w:fldChar w:fldCharType="separate"/>
      </w:r>
      <w:r>
        <w:rPr>
          <w:rFonts w:eastAsia="楷体" w:cs="Arial"/>
          <w:bCs/>
          <w:i/>
        </w:rPr>
        <w:t xml:space="preserve">图表 </w:t>
      </w:r>
      <w:r>
        <w:t xml:space="preserve">25 </w:t>
      </w:r>
      <w:r>
        <w:rPr>
          <w:rFonts w:eastAsia="楷体" w:cs="Arial"/>
          <w:bCs/>
          <w:i/>
        </w:rPr>
        <w:t xml:space="preserve"> 2019年三季度TWS品牌市占率</w:t>
      </w:r>
      <w:r>
        <w:tab/>
      </w:r>
      <w:r>
        <w:fldChar w:fldCharType="begin"/>
      </w:r>
      <w:r>
        <w:instrText xml:space="preserve"> PAGEREF _Toc903009413 </w:instrText>
      </w:r>
      <w:r>
        <w:fldChar w:fldCharType="separate"/>
      </w:r>
      <w:r>
        <w:t>- 12 -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_Toc1843569417 </w:instrText>
      </w:r>
      <w:r>
        <w:rPr>
          <w:rFonts w:eastAsia="楷体" w:cs="Arial"/>
          <w:kern w:val="0"/>
          <w:szCs w:val="28"/>
        </w:rPr>
        <w:fldChar w:fldCharType="separate"/>
      </w:r>
      <w:r>
        <w:rPr>
          <w:rFonts w:eastAsia="楷体" w:cs="Arial"/>
          <w:bCs/>
          <w:i/>
        </w:rPr>
        <w:t xml:space="preserve">图表 </w:t>
      </w:r>
      <w:r>
        <w:t xml:space="preserve">15 </w:t>
      </w:r>
      <w:r>
        <w:rPr>
          <w:rFonts w:eastAsia="楷体" w:cs="Arial"/>
          <w:bCs/>
          <w:i/>
        </w:rPr>
        <w:t xml:space="preserve"> 2020Q2TWS市场竞争格局</w:t>
      </w:r>
      <w:r>
        <w:tab/>
      </w:r>
      <w:r>
        <w:fldChar w:fldCharType="begin"/>
      </w:r>
      <w:r>
        <w:instrText xml:space="preserve"> PAGEREF _Toc1843569417 </w:instrText>
      </w:r>
      <w:r>
        <w:fldChar w:fldCharType="separate"/>
      </w:r>
      <w:r>
        <w:t>- 13 -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_Toc860210012 </w:instrText>
      </w:r>
      <w:r>
        <w:rPr>
          <w:rFonts w:eastAsia="楷体" w:cs="Arial"/>
          <w:kern w:val="0"/>
          <w:szCs w:val="28"/>
        </w:rPr>
        <w:fldChar w:fldCharType="separate"/>
      </w:r>
      <w:r>
        <w:rPr>
          <w:rFonts w:eastAsia="楷体" w:cs="Arial"/>
          <w:bCs/>
          <w:i/>
        </w:rPr>
        <w:t xml:space="preserve">图表 </w:t>
      </w:r>
      <w:r>
        <w:t xml:space="preserve">16 </w:t>
      </w:r>
      <w:r>
        <w:rPr>
          <w:rFonts w:eastAsia="楷体" w:cs="Arial"/>
          <w:bCs/>
          <w:i/>
        </w:rPr>
        <w:t xml:space="preserve"> Airpods出货量及渗透率</w:t>
      </w:r>
      <w:r>
        <w:tab/>
      </w:r>
      <w:r>
        <w:fldChar w:fldCharType="begin"/>
      </w:r>
      <w:r>
        <w:instrText xml:space="preserve"> PAGEREF _Toc860210012 </w:instrText>
      </w:r>
      <w:r>
        <w:fldChar w:fldCharType="separate"/>
      </w:r>
      <w:r>
        <w:t>- 14 -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_Toc680938054 </w:instrText>
      </w:r>
      <w:r>
        <w:rPr>
          <w:rFonts w:eastAsia="楷体" w:cs="Arial"/>
          <w:kern w:val="0"/>
          <w:szCs w:val="28"/>
        </w:rPr>
        <w:fldChar w:fldCharType="separate"/>
      </w:r>
      <w:r>
        <w:rPr>
          <w:rFonts w:eastAsia="楷体" w:cs="Arial"/>
          <w:bCs/>
          <w:i/>
        </w:rPr>
        <w:t xml:space="preserve">图表 </w:t>
      </w:r>
      <w:r>
        <w:t xml:space="preserve">17 </w:t>
      </w:r>
      <w:r>
        <w:rPr>
          <w:rFonts w:eastAsia="楷体" w:cs="Arial"/>
          <w:bCs/>
          <w:i/>
        </w:rPr>
        <w:t xml:space="preserve"> 安卓TWS出货量及渗透率</w:t>
      </w:r>
      <w:r>
        <w:tab/>
      </w:r>
      <w:r>
        <w:fldChar w:fldCharType="begin"/>
      </w:r>
      <w:r>
        <w:instrText xml:space="preserve"> PAGEREF _Toc680938054 </w:instrText>
      </w:r>
      <w:r>
        <w:fldChar w:fldCharType="separate"/>
      </w:r>
      <w:r>
        <w:t>- 14 -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_Toc1042972451 </w:instrText>
      </w:r>
      <w:r>
        <w:rPr>
          <w:rFonts w:eastAsia="楷体" w:cs="Arial"/>
          <w:kern w:val="0"/>
          <w:szCs w:val="28"/>
        </w:rPr>
        <w:fldChar w:fldCharType="separate"/>
      </w:r>
      <w:r>
        <w:rPr>
          <w:rFonts w:eastAsia="楷体" w:cs="Arial"/>
          <w:bCs/>
          <w:i/>
        </w:rPr>
        <w:t xml:space="preserve">图表 </w:t>
      </w:r>
      <w:r>
        <w:t xml:space="preserve">25 </w:t>
      </w:r>
      <w:r>
        <w:rPr>
          <w:rFonts w:eastAsia="楷体" w:cs="Arial"/>
          <w:bCs/>
          <w:i/>
        </w:rPr>
        <w:t xml:space="preserve"> 主流厂商TWS总成芯片所搭载代表产品</w:t>
      </w:r>
      <w:r>
        <w:tab/>
      </w:r>
      <w:r>
        <w:fldChar w:fldCharType="begin"/>
      </w:r>
      <w:r>
        <w:instrText xml:space="preserve"> PAGEREF _Toc1042972451 </w:instrText>
      </w:r>
      <w:r>
        <w:fldChar w:fldCharType="separate"/>
      </w:r>
      <w:r>
        <w:t>- 15 -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_Toc641661316 </w:instrText>
      </w:r>
      <w:r>
        <w:rPr>
          <w:rFonts w:eastAsia="楷体" w:cs="Arial"/>
          <w:kern w:val="0"/>
          <w:szCs w:val="28"/>
        </w:rPr>
        <w:fldChar w:fldCharType="separate"/>
      </w:r>
      <w:r>
        <w:rPr>
          <w:rFonts w:eastAsia="楷体" w:cs="Arial"/>
          <w:bCs/>
          <w:i/>
        </w:rPr>
        <w:t xml:space="preserve">图表 </w:t>
      </w:r>
      <w:r>
        <w:t xml:space="preserve">20 </w:t>
      </w:r>
      <w:r>
        <w:rPr>
          <w:rFonts w:eastAsia="楷体" w:cs="Arial"/>
          <w:bCs/>
          <w:i/>
        </w:rPr>
        <w:t xml:space="preserve"> 2020年7月TWS主控芯片主流厂商出货量</w:t>
      </w:r>
      <w:r>
        <w:tab/>
      </w:r>
      <w:r>
        <w:fldChar w:fldCharType="begin"/>
      </w:r>
      <w:r>
        <w:instrText xml:space="preserve"> PAGEREF _Toc641661316 </w:instrText>
      </w:r>
      <w:r>
        <w:fldChar w:fldCharType="separate"/>
      </w:r>
      <w:r>
        <w:t>- 16 -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_Toc523284314 </w:instrText>
      </w:r>
      <w:r>
        <w:rPr>
          <w:rFonts w:eastAsia="楷体" w:cs="Arial"/>
          <w:kern w:val="0"/>
          <w:szCs w:val="28"/>
        </w:rPr>
        <w:fldChar w:fldCharType="separate"/>
      </w:r>
      <w:r>
        <w:rPr>
          <w:rFonts w:eastAsia="楷体" w:cs="Arial"/>
          <w:bCs/>
          <w:i/>
        </w:rPr>
        <w:t xml:space="preserve">图表 </w:t>
      </w:r>
      <w:r>
        <w:t xml:space="preserve">20 </w:t>
      </w:r>
      <w:r>
        <w:rPr>
          <w:rFonts w:eastAsia="楷体" w:cs="Arial"/>
          <w:bCs/>
          <w:i/>
        </w:rPr>
        <w:t xml:space="preserve"> 安卓TWS在天猫商城上成交价格区间</w:t>
      </w:r>
      <w:r>
        <w:tab/>
      </w:r>
      <w:r>
        <w:fldChar w:fldCharType="begin"/>
      </w:r>
      <w:r>
        <w:instrText xml:space="preserve"> PAGEREF _Toc523284314 </w:instrText>
      </w:r>
      <w:r>
        <w:fldChar w:fldCharType="separate"/>
      </w:r>
      <w:r>
        <w:t>- 16 -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_Toc501596519 </w:instrText>
      </w:r>
      <w:r>
        <w:rPr>
          <w:rFonts w:eastAsia="楷体" w:cs="Arial"/>
          <w:kern w:val="0"/>
          <w:szCs w:val="28"/>
        </w:rPr>
        <w:fldChar w:fldCharType="separate"/>
      </w:r>
      <w:r>
        <w:rPr>
          <w:rFonts w:eastAsia="楷体" w:cs="Arial"/>
          <w:bCs/>
          <w:i/>
        </w:rPr>
        <w:t xml:space="preserve">图表 </w:t>
      </w:r>
      <w:r>
        <w:t xml:space="preserve">20 </w:t>
      </w:r>
      <w:r>
        <w:rPr>
          <w:rFonts w:eastAsia="楷体" w:cs="Arial"/>
          <w:bCs/>
          <w:i/>
        </w:rPr>
        <w:t xml:space="preserve"> TWS耳机市场规模测算</w:t>
      </w:r>
      <w:r>
        <w:tab/>
      </w:r>
      <w:r>
        <w:fldChar w:fldCharType="begin"/>
      </w:r>
      <w:r>
        <w:instrText xml:space="preserve"> PAGEREF _Toc501596519 </w:instrText>
      </w:r>
      <w:r>
        <w:fldChar w:fldCharType="separate"/>
      </w:r>
      <w:r>
        <w:t>- 17 -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_Toc1394944519 </w:instrText>
      </w:r>
      <w:r>
        <w:rPr>
          <w:rFonts w:eastAsia="楷体" w:cs="Arial"/>
          <w:kern w:val="0"/>
          <w:szCs w:val="28"/>
        </w:rPr>
        <w:fldChar w:fldCharType="separate"/>
      </w:r>
      <w:r>
        <w:rPr>
          <w:rFonts w:eastAsia="楷体" w:cs="Arial"/>
          <w:bCs/>
          <w:i/>
        </w:rPr>
        <w:t xml:space="preserve">图表 </w:t>
      </w:r>
      <w:r>
        <w:t xml:space="preserve">19 </w:t>
      </w:r>
      <w:r>
        <w:rPr>
          <w:rFonts w:eastAsia="楷体" w:cs="Arial"/>
          <w:bCs/>
          <w:i/>
        </w:rPr>
        <w:t xml:space="preserve"> 主流TWS芯片厂商技术对比</w:t>
      </w:r>
      <w:r>
        <w:tab/>
      </w:r>
      <w:r>
        <w:fldChar w:fldCharType="begin"/>
      </w:r>
      <w:r>
        <w:instrText xml:space="preserve"> PAGEREF _Toc1394944519 </w:instrText>
      </w:r>
      <w:r>
        <w:fldChar w:fldCharType="separate"/>
      </w:r>
      <w:r>
        <w:t>- 18 -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_Toc1313600579 </w:instrText>
      </w:r>
      <w:r>
        <w:rPr>
          <w:rFonts w:eastAsia="楷体" w:cs="Arial"/>
          <w:kern w:val="0"/>
          <w:szCs w:val="28"/>
        </w:rPr>
        <w:fldChar w:fldCharType="separate"/>
      </w:r>
      <w:r>
        <w:rPr>
          <w:rFonts w:eastAsia="楷体" w:cs="Arial"/>
          <w:bCs/>
          <w:i/>
        </w:rPr>
        <w:t xml:space="preserve">图表 </w:t>
      </w:r>
      <w:r>
        <w:t xml:space="preserve">19 </w:t>
      </w:r>
      <w:r>
        <w:rPr>
          <w:rFonts w:eastAsia="楷体" w:cs="Arial"/>
          <w:bCs/>
          <w:i/>
        </w:rPr>
        <w:t xml:space="preserve"> 博通集成BK3288功能框图</w:t>
      </w:r>
      <w:r>
        <w:tab/>
      </w:r>
      <w:r>
        <w:fldChar w:fldCharType="begin"/>
      </w:r>
      <w:r>
        <w:instrText xml:space="preserve"> PAGEREF _Toc1313600579 </w:instrText>
      </w:r>
      <w:r>
        <w:fldChar w:fldCharType="separate"/>
      </w:r>
      <w:r>
        <w:t>- 19 -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_Toc1428597413 </w:instrText>
      </w:r>
      <w:r>
        <w:rPr>
          <w:rFonts w:eastAsia="楷体" w:cs="Arial"/>
          <w:kern w:val="0"/>
          <w:szCs w:val="28"/>
        </w:rPr>
        <w:fldChar w:fldCharType="separate"/>
      </w:r>
      <w:r>
        <w:rPr>
          <w:rFonts w:eastAsia="楷体" w:cs="Arial"/>
          <w:bCs/>
          <w:i/>
        </w:rPr>
        <w:t xml:space="preserve">图表 </w:t>
      </w:r>
      <w:r>
        <w:t xml:space="preserve">28 </w:t>
      </w:r>
      <w:r>
        <w:rPr>
          <w:rFonts w:eastAsia="楷体" w:cs="Arial"/>
          <w:bCs/>
          <w:i/>
        </w:rPr>
        <w:t xml:space="preserve"> Wi-Fi各代协议标准技术对比</w:t>
      </w:r>
      <w:r>
        <w:tab/>
      </w:r>
      <w:r>
        <w:fldChar w:fldCharType="begin"/>
      </w:r>
      <w:r>
        <w:instrText xml:space="preserve"> PAGEREF _Toc1428597413 </w:instrText>
      </w:r>
      <w:r>
        <w:fldChar w:fldCharType="separate"/>
      </w:r>
      <w:r>
        <w:t>- 20 -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_Toc1831952516 </w:instrText>
      </w:r>
      <w:r>
        <w:rPr>
          <w:rFonts w:eastAsia="楷体" w:cs="Arial"/>
          <w:kern w:val="0"/>
          <w:szCs w:val="28"/>
        </w:rPr>
        <w:fldChar w:fldCharType="separate"/>
      </w:r>
      <w:r>
        <w:rPr>
          <w:rFonts w:eastAsia="楷体" w:cs="Arial"/>
          <w:bCs/>
          <w:i/>
        </w:rPr>
        <w:t xml:space="preserve">图表 </w:t>
      </w:r>
      <w:r>
        <w:t xml:space="preserve">19 </w:t>
      </w:r>
      <w:r>
        <w:rPr>
          <w:rFonts w:eastAsia="楷体" w:cs="Arial"/>
          <w:bCs/>
          <w:i/>
        </w:rPr>
        <w:t xml:space="preserve"> Wifi技术对于下游渗透应用的不同阶段</w:t>
      </w:r>
      <w:r>
        <w:tab/>
      </w:r>
      <w:r>
        <w:fldChar w:fldCharType="begin"/>
      </w:r>
      <w:r>
        <w:instrText xml:space="preserve"> PAGEREF _Toc1831952516 </w:instrText>
      </w:r>
      <w:r>
        <w:fldChar w:fldCharType="separate"/>
      </w:r>
      <w:r>
        <w:t>- 20 -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_Toc2014228777 </w:instrText>
      </w:r>
      <w:r>
        <w:rPr>
          <w:rFonts w:eastAsia="楷体" w:cs="Arial"/>
          <w:kern w:val="0"/>
          <w:szCs w:val="28"/>
        </w:rPr>
        <w:fldChar w:fldCharType="separate"/>
      </w:r>
      <w:r>
        <w:rPr>
          <w:rFonts w:eastAsia="楷体" w:cs="Arial"/>
          <w:bCs/>
          <w:i/>
        </w:rPr>
        <w:t xml:space="preserve">图表 </w:t>
      </w:r>
      <w:r>
        <w:t xml:space="preserve">20 </w:t>
      </w:r>
      <w:r>
        <w:rPr>
          <w:rFonts w:eastAsia="楷体" w:cs="Arial"/>
          <w:bCs/>
          <w:i/>
        </w:rPr>
        <w:t xml:space="preserve"> 中国Wi-Fi芯片市场规模</w:t>
      </w:r>
      <w:r>
        <w:tab/>
      </w:r>
      <w:r>
        <w:fldChar w:fldCharType="begin"/>
      </w:r>
      <w:r>
        <w:instrText xml:space="preserve"> PAGEREF _Toc2014228777 </w:instrText>
      </w:r>
      <w:r>
        <w:fldChar w:fldCharType="separate"/>
      </w:r>
      <w:r>
        <w:t>- 21 -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_Toc302569367 </w:instrText>
      </w:r>
      <w:r>
        <w:rPr>
          <w:rFonts w:eastAsia="楷体" w:cs="Arial"/>
          <w:kern w:val="0"/>
          <w:szCs w:val="28"/>
        </w:rPr>
        <w:fldChar w:fldCharType="separate"/>
      </w:r>
      <w:r>
        <w:rPr>
          <w:rFonts w:eastAsia="楷体" w:cs="Arial"/>
          <w:bCs/>
          <w:i/>
        </w:rPr>
        <w:t xml:space="preserve">图表 </w:t>
      </w:r>
      <w:r>
        <w:t xml:space="preserve">21 </w:t>
      </w:r>
      <w:r>
        <w:rPr>
          <w:rFonts w:eastAsia="楷体" w:cs="Arial"/>
          <w:bCs/>
          <w:i/>
        </w:rPr>
        <w:t xml:space="preserve"> 全球与中国物联网连接总数</w:t>
      </w:r>
      <w:r>
        <w:tab/>
      </w:r>
      <w:r>
        <w:fldChar w:fldCharType="begin"/>
      </w:r>
      <w:r>
        <w:instrText xml:space="preserve"> PAGEREF _Toc302569367 </w:instrText>
      </w:r>
      <w:r>
        <w:fldChar w:fldCharType="separate"/>
      </w:r>
      <w:r>
        <w:t>- 22 -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_Toc633632048 </w:instrText>
      </w:r>
      <w:r>
        <w:rPr>
          <w:rFonts w:eastAsia="楷体" w:cs="Arial"/>
          <w:kern w:val="0"/>
          <w:szCs w:val="28"/>
        </w:rPr>
        <w:fldChar w:fldCharType="separate"/>
      </w:r>
      <w:r>
        <w:rPr>
          <w:rFonts w:eastAsia="楷体" w:cs="Arial"/>
          <w:bCs/>
          <w:i/>
        </w:rPr>
        <w:t xml:space="preserve">图表 </w:t>
      </w:r>
      <w:r>
        <w:t xml:space="preserve">22 </w:t>
      </w:r>
      <w:r>
        <w:rPr>
          <w:rFonts w:eastAsia="楷体" w:cs="Arial"/>
          <w:bCs/>
          <w:i/>
        </w:rPr>
        <w:t xml:space="preserve"> 2020年中国物联网连接应用场景</w:t>
      </w:r>
      <w:r>
        <w:tab/>
      </w:r>
      <w:r>
        <w:fldChar w:fldCharType="begin"/>
      </w:r>
      <w:r>
        <w:instrText xml:space="preserve"> PAGEREF _Toc633632048 </w:instrText>
      </w:r>
      <w:r>
        <w:fldChar w:fldCharType="separate"/>
      </w:r>
      <w:r>
        <w:t>- 22 -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_Toc194442926 </w:instrText>
      </w:r>
      <w:r>
        <w:rPr>
          <w:rFonts w:eastAsia="楷体" w:cs="Arial"/>
          <w:kern w:val="0"/>
          <w:szCs w:val="28"/>
        </w:rPr>
        <w:fldChar w:fldCharType="separate"/>
      </w:r>
      <w:r>
        <w:rPr>
          <w:rFonts w:eastAsia="楷体" w:cs="Arial"/>
          <w:bCs/>
          <w:i/>
        </w:rPr>
        <w:t xml:space="preserve">图表 </w:t>
      </w:r>
      <w:r>
        <w:t xml:space="preserve">23 </w:t>
      </w:r>
      <w:r>
        <w:rPr>
          <w:rFonts w:eastAsia="楷体" w:cs="Arial"/>
          <w:bCs/>
          <w:i/>
        </w:rPr>
        <w:t xml:space="preserve"> 智能家居安防应用场景</w:t>
      </w:r>
      <w:r>
        <w:tab/>
      </w:r>
      <w:r>
        <w:fldChar w:fldCharType="begin"/>
      </w:r>
      <w:r>
        <w:instrText xml:space="preserve"> PAGEREF _Toc194442926 </w:instrText>
      </w:r>
      <w:r>
        <w:fldChar w:fldCharType="separate"/>
      </w:r>
      <w:r>
        <w:t>- 22 -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_Toc872147550 </w:instrText>
      </w:r>
      <w:r>
        <w:rPr>
          <w:rFonts w:eastAsia="楷体" w:cs="Arial"/>
          <w:kern w:val="0"/>
          <w:szCs w:val="28"/>
        </w:rPr>
        <w:fldChar w:fldCharType="separate"/>
      </w:r>
      <w:r>
        <w:rPr>
          <w:rFonts w:eastAsia="楷体" w:cs="Arial"/>
          <w:bCs/>
          <w:i/>
        </w:rPr>
        <w:t xml:space="preserve">图表 </w:t>
      </w:r>
      <w:r>
        <w:t xml:space="preserve">24 </w:t>
      </w:r>
      <w:r>
        <w:rPr>
          <w:rFonts w:eastAsia="楷体" w:cs="Arial"/>
          <w:bCs/>
          <w:i/>
        </w:rPr>
        <w:t xml:space="preserve"> 智能家居娱乐应用场景</w:t>
      </w:r>
      <w:r>
        <w:tab/>
      </w:r>
      <w:r>
        <w:fldChar w:fldCharType="begin"/>
      </w:r>
      <w:r>
        <w:instrText xml:space="preserve"> PAGEREF _Toc872147550 </w:instrText>
      </w:r>
      <w:r>
        <w:fldChar w:fldCharType="separate"/>
      </w:r>
      <w:r>
        <w:t>- 22 -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_Toc1420520677 </w:instrText>
      </w:r>
      <w:r>
        <w:rPr>
          <w:rFonts w:eastAsia="楷体" w:cs="Arial"/>
          <w:kern w:val="0"/>
          <w:szCs w:val="28"/>
        </w:rPr>
        <w:fldChar w:fldCharType="separate"/>
      </w:r>
      <w:r>
        <w:rPr>
          <w:rFonts w:eastAsia="楷体" w:cs="Arial"/>
          <w:bCs/>
          <w:i/>
        </w:rPr>
        <w:t xml:space="preserve">图表 </w:t>
      </w:r>
      <w:r>
        <w:t xml:space="preserve">25 </w:t>
      </w:r>
      <w:r>
        <w:rPr>
          <w:rFonts w:eastAsia="楷体" w:cs="Arial"/>
          <w:bCs/>
          <w:i/>
        </w:rPr>
        <w:t xml:space="preserve"> 物联网主流无线局域网技术对比</w:t>
      </w:r>
      <w:r>
        <w:tab/>
      </w:r>
      <w:r>
        <w:fldChar w:fldCharType="begin"/>
      </w:r>
      <w:r>
        <w:instrText xml:space="preserve"> PAGEREF _Toc1420520677 </w:instrText>
      </w:r>
      <w:r>
        <w:fldChar w:fldCharType="separate"/>
      </w:r>
      <w:r>
        <w:t>- 23 -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_Toc1855883464 </w:instrText>
      </w:r>
      <w:r>
        <w:rPr>
          <w:rFonts w:eastAsia="楷体" w:cs="Arial"/>
          <w:kern w:val="0"/>
          <w:szCs w:val="28"/>
        </w:rPr>
        <w:fldChar w:fldCharType="separate"/>
      </w:r>
      <w:r>
        <w:rPr>
          <w:rFonts w:eastAsia="楷体" w:cs="Arial"/>
          <w:bCs/>
          <w:i/>
        </w:rPr>
        <w:t xml:space="preserve">图表 </w:t>
      </w:r>
      <w:r>
        <w:t xml:space="preserve">28 </w:t>
      </w:r>
      <w:r>
        <w:rPr>
          <w:rFonts w:eastAsia="楷体" w:cs="Arial"/>
          <w:bCs/>
          <w:i/>
        </w:rPr>
        <w:t xml:space="preserve"> 中国智能家居组网技术占比</w:t>
      </w:r>
      <w:r>
        <w:tab/>
      </w:r>
      <w:r>
        <w:fldChar w:fldCharType="begin"/>
      </w:r>
      <w:r>
        <w:instrText xml:space="preserve"> PAGEREF _Toc1855883464 </w:instrText>
      </w:r>
      <w:r>
        <w:fldChar w:fldCharType="separate"/>
      </w:r>
      <w:r>
        <w:t>- 23 -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_Toc1945700701 </w:instrText>
      </w:r>
      <w:r>
        <w:rPr>
          <w:rFonts w:eastAsia="楷体" w:cs="Arial"/>
          <w:kern w:val="0"/>
          <w:szCs w:val="28"/>
        </w:rPr>
        <w:fldChar w:fldCharType="separate"/>
      </w:r>
      <w:r>
        <w:rPr>
          <w:rFonts w:eastAsia="楷体" w:cs="Arial"/>
          <w:bCs/>
          <w:i/>
        </w:rPr>
        <w:t xml:space="preserve">图表 </w:t>
      </w:r>
      <w:r>
        <w:t xml:space="preserve">29 </w:t>
      </w:r>
      <w:r>
        <w:rPr>
          <w:rFonts w:eastAsia="楷体" w:cs="Arial"/>
          <w:bCs/>
          <w:i/>
        </w:rPr>
        <w:t xml:space="preserve"> 国内碳化硅产业链格局</w:t>
      </w:r>
      <w:r>
        <w:tab/>
      </w:r>
      <w:r>
        <w:fldChar w:fldCharType="begin"/>
      </w:r>
      <w:r>
        <w:instrText xml:space="preserve"> PAGEREF _Toc1945700701 </w:instrText>
      </w:r>
      <w:r>
        <w:fldChar w:fldCharType="separate"/>
      </w:r>
      <w:r>
        <w:t>- 24 -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_Toc1284513147 </w:instrText>
      </w:r>
      <w:r>
        <w:rPr>
          <w:rFonts w:eastAsia="楷体" w:cs="Arial"/>
          <w:kern w:val="0"/>
          <w:szCs w:val="28"/>
        </w:rPr>
        <w:fldChar w:fldCharType="separate"/>
      </w:r>
      <w:r>
        <w:rPr>
          <w:rFonts w:eastAsia="楷体" w:cs="Arial"/>
          <w:bCs/>
          <w:i/>
        </w:rPr>
        <w:t xml:space="preserve">图表 </w:t>
      </w:r>
      <w:r>
        <w:t xml:space="preserve">30 </w:t>
      </w:r>
      <w:r>
        <w:rPr>
          <w:rFonts w:eastAsia="楷体" w:cs="Arial"/>
          <w:bCs/>
          <w:i/>
        </w:rPr>
        <w:t xml:space="preserve"> 国内布局碳化硅长晶设备主要企业</w:t>
      </w:r>
      <w:r>
        <w:tab/>
      </w:r>
      <w:r>
        <w:fldChar w:fldCharType="begin"/>
      </w:r>
      <w:r>
        <w:instrText xml:space="preserve"> PAGEREF _Toc1284513147 </w:instrText>
      </w:r>
      <w:r>
        <w:fldChar w:fldCharType="separate"/>
      </w:r>
      <w:r>
        <w:t>- 25 -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_Toc423478957 </w:instrText>
      </w:r>
      <w:r>
        <w:rPr>
          <w:rFonts w:eastAsia="楷体" w:cs="Arial"/>
          <w:kern w:val="0"/>
          <w:szCs w:val="28"/>
        </w:rPr>
        <w:fldChar w:fldCharType="separate"/>
      </w:r>
      <w:r>
        <w:rPr>
          <w:rFonts w:eastAsia="楷体" w:cs="Arial"/>
          <w:bCs/>
          <w:i/>
        </w:rPr>
        <w:t xml:space="preserve">图表 </w:t>
      </w:r>
      <w:r>
        <w:t xml:space="preserve">33 </w:t>
      </w:r>
      <w:r>
        <w:rPr>
          <w:rFonts w:eastAsia="楷体" w:cs="Arial"/>
          <w:bCs/>
          <w:i/>
        </w:rPr>
        <w:t xml:space="preserve"> Adveos公司官网方案介绍</w:t>
      </w:r>
      <w:r>
        <w:tab/>
      </w:r>
      <w:r>
        <w:fldChar w:fldCharType="begin"/>
      </w:r>
      <w:r>
        <w:instrText xml:space="preserve"> PAGEREF _Toc423478957 </w:instrText>
      </w:r>
      <w:r>
        <w:fldChar w:fldCharType="separate"/>
      </w:r>
      <w:r>
        <w:t>- 27 -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_Toc706425498 </w:instrText>
      </w:r>
      <w:r>
        <w:rPr>
          <w:rFonts w:eastAsia="楷体" w:cs="Arial"/>
          <w:kern w:val="0"/>
          <w:szCs w:val="28"/>
        </w:rPr>
        <w:fldChar w:fldCharType="separate"/>
      </w:r>
      <w:r>
        <w:rPr>
          <w:rFonts w:eastAsia="楷体" w:cs="Arial"/>
          <w:bCs/>
          <w:i/>
        </w:rPr>
        <w:t xml:space="preserve">图表 </w:t>
      </w:r>
      <w:r>
        <w:t xml:space="preserve">34 </w:t>
      </w:r>
      <w:r>
        <w:rPr>
          <w:rFonts w:eastAsia="楷体" w:cs="Arial"/>
          <w:bCs/>
          <w:i/>
        </w:rPr>
        <w:t xml:space="preserve"> 涂鸦智能官网方案介绍</w:t>
      </w:r>
      <w:r>
        <w:tab/>
      </w:r>
      <w:r>
        <w:fldChar w:fldCharType="begin"/>
      </w:r>
      <w:r>
        <w:instrText xml:space="preserve"> PAGEREF _Toc706425498 </w:instrText>
      </w:r>
      <w:r>
        <w:fldChar w:fldCharType="separate"/>
      </w:r>
      <w:r>
        <w:t>- 27 -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_Toc1062692393 </w:instrText>
      </w:r>
      <w:r>
        <w:rPr>
          <w:rFonts w:eastAsia="楷体" w:cs="Arial"/>
          <w:kern w:val="0"/>
          <w:szCs w:val="28"/>
        </w:rPr>
        <w:fldChar w:fldCharType="separate"/>
      </w:r>
      <w:r>
        <w:rPr>
          <w:rFonts w:eastAsia="楷体" w:cs="Arial"/>
          <w:bCs/>
          <w:i/>
        </w:rPr>
        <w:t xml:space="preserve">图表 </w:t>
      </w:r>
      <w:r>
        <w:t xml:space="preserve">33 </w:t>
      </w:r>
      <w:r>
        <w:rPr>
          <w:rFonts w:eastAsia="楷体" w:cs="Arial"/>
          <w:bCs/>
          <w:i/>
        </w:rPr>
        <w:t xml:space="preserve"> ETC方案原理介绍</w:t>
      </w:r>
      <w:r>
        <w:tab/>
      </w:r>
      <w:r>
        <w:fldChar w:fldCharType="begin"/>
      </w:r>
      <w:r>
        <w:instrText xml:space="preserve"> PAGEREF _Toc1062692393 </w:instrText>
      </w:r>
      <w:r>
        <w:fldChar w:fldCharType="separate"/>
      </w:r>
      <w:r>
        <w:t>- 28 -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_Toc1829201575 </w:instrText>
      </w:r>
      <w:r>
        <w:rPr>
          <w:rFonts w:eastAsia="楷体" w:cs="Arial"/>
          <w:kern w:val="0"/>
          <w:szCs w:val="28"/>
        </w:rPr>
        <w:fldChar w:fldCharType="separate"/>
      </w:r>
      <w:r>
        <w:rPr>
          <w:rFonts w:eastAsia="楷体" w:cs="Arial"/>
          <w:bCs/>
          <w:i/>
        </w:rPr>
        <w:t xml:space="preserve">图表 </w:t>
      </w:r>
      <w:r>
        <w:t xml:space="preserve">34 </w:t>
      </w:r>
      <w:r>
        <w:rPr>
          <w:rFonts w:eastAsia="楷体" w:cs="Arial"/>
          <w:bCs/>
          <w:i/>
        </w:rPr>
        <w:t xml:space="preserve"> ETC系统构成</w:t>
      </w:r>
      <w:r>
        <w:tab/>
      </w:r>
      <w:r>
        <w:fldChar w:fldCharType="begin"/>
      </w:r>
      <w:r>
        <w:instrText xml:space="preserve"> PAGEREF _Toc1829201575 </w:instrText>
      </w:r>
      <w:r>
        <w:fldChar w:fldCharType="separate"/>
      </w:r>
      <w:r>
        <w:t>- 28 -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_Toc522903712 </w:instrText>
      </w:r>
      <w:r>
        <w:rPr>
          <w:rFonts w:eastAsia="楷体" w:cs="Arial"/>
          <w:kern w:val="0"/>
          <w:szCs w:val="28"/>
        </w:rPr>
        <w:fldChar w:fldCharType="separate"/>
      </w:r>
      <w:r>
        <w:rPr>
          <w:rFonts w:eastAsia="楷体" w:cs="Arial"/>
          <w:bCs/>
          <w:i/>
        </w:rPr>
        <w:t xml:space="preserve">图表 </w:t>
      </w:r>
      <w:r>
        <w:t xml:space="preserve">32 </w:t>
      </w:r>
      <w:r>
        <w:rPr>
          <w:rFonts w:eastAsia="楷体" w:cs="Arial"/>
          <w:bCs/>
          <w:i/>
        </w:rPr>
        <w:t xml:space="preserve"> 国内ETC发展历史进程</w:t>
      </w:r>
      <w:r>
        <w:tab/>
      </w:r>
      <w:r>
        <w:fldChar w:fldCharType="begin"/>
      </w:r>
      <w:r>
        <w:instrText xml:space="preserve"> PAGEREF _Toc522903712 </w:instrText>
      </w:r>
      <w:r>
        <w:fldChar w:fldCharType="separate"/>
      </w:r>
      <w:r>
        <w:t>- 28 -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_Toc1478180029 </w:instrText>
      </w:r>
      <w:r>
        <w:rPr>
          <w:rFonts w:eastAsia="楷体" w:cs="Arial"/>
          <w:kern w:val="0"/>
          <w:szCs w:val="28"/>
        </w:rPr>
        <w:fldChar w:fldCharType="separate"/>
      </w:r>
      <w:r>
        <w:rPr>
          <w:rFonts w:eastAsia="楷体" w:cs="Arial"/>
          <w:bCs/>
          <w:i/>
        </w:rPr>
        <w:t xml:space="preserve">图表 </w:t>
      </w:r>
      <w:r>
        <w:t xml:space="preserve">32 </w:t>
      </w:r>
      <w:r>
        <w:rPr>
          <w:rFonts w:eastAsia="楷体" w:cs="Arial"/>
          <w:bCs/>
          <w:i/>
        </w:rPr>
        <w:t xml:space="preserve"> ETC相关政策汇总</w:t>
      </w:r>
      <w:r>
        <w:tab/>
      </w:r>
      <w:r>
        <w:fldChar w:fldCharType="begin"/>
      </w:r>
      <w:r>
        <w:instrText xml:space="preserve"> PAGEREF _Toc1478180029 </w:instrText>
      </w:r>
      <w:r>
        <w:fldChar w:fldCharType="separate"/>
      </w:r>
      <w:r>
        <w:t>- 29 -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_Toc1056693664 </w:instrText>
      </w:r>
      <w:r>
        <w:rPr>
          <w:rFonts w:eastAsia="楷体" w:cs="Arial"/>
          <w:kern w:val="0"/>
          <w:szCs w:val="28"/>
        </w:rPr>
        <w:fldChar w:fldCharType="separate"/>
      </w:r>
      <w:r>
        <w:rPr>
          <w:rFonts w:eastAsia="楷体" w:cs="Arial"/>
          <w:bCs/>
          <w:i/>
        </w:rPr>
        <w:t xml:space="preserve">图表 </w:t>
      </w:r>
      <w:r>
        <w:t xml:space="preserve">33 </w:t>
      </w:r>
      <w:r>
        <w:rPr>
          <w:rFonts w:eastAsia="楷体" w:cs="Arial"/>
          <w:bCs/>
          <w:i/>
        </w:rPr>
        <w:t xml:space="preserve"> 公司BK5863N ETC芯片</w:t>
      </w:r>
      <w:r>
        <w:tab/>
      </w:r>
      <w:r>
        <w:fldChar w:fldCharType="begin"/>
      </w:r>
      <w:r>
        <w:instrText xml:space="preserve"> PAGEREF _Toc1056693664 </w:instrText>
      </w:r>
      <w:r>
        <w:fldChar w:fldCharType="separate"/>
      </w:r>
      <w:r>
        <w:t>- 30 -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_Toc660261227 </w:instrText>
      </w:r>
      <w:r>
        <w:rPr>
          <w:rFonts w:eastAsia="楷体" w:cs="Arial"/>
          <w:kern w:val="0"/>
          <w:szCs w:val="28"/>
        </w:rPr>
        <w:fldChar w:fldCharType="separate"/>
      </w:r>
      <w:r>
        <w:rPr>
          <w:rFonts w:eastAsia="楷体" w:cs="Arial"/>
          <w:bCs/>
          <w:i/>
        </w:rPr>
        <w:t xml:space="preserve">图表 </w:t>
      </w:r>
      <w:r>
        <w:t xml:space="preserve">34 </w:t>
      </w:r>
      <w:r>
        <w:rPr>
          <w:rFonts w:eastAsia="楷体" w:cs="Arial"/>
          <w:bCs/>
          <w:i/>
        </w:rPr>
        <w:t xml:space="preserve"> ETC是车联网的重要应用之一</w:t>
      </w:r>
      <w:r>
        <w:tab/>
      </w:r>
      <w:r>
        <w:fldChar w:fldCharType="begin"/>
      </w:r>
      <w:r>
        <w:instrText xml:space="preserve"> PAGEREF _Toc660261227 </w:instrText>
      </w:r>
      <w:r>
        <w:fldChar w:fldCharType="separate"/>
      </w:r>
      <w:r>
        <w:t>- 30 -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_Toc850989776 </w:instrText>
      </w:r>
      <w:r>
        <w:rPr>
          <w:rFonts w:eastAsia="楷体" w:cs="Arial"/>
          <w:kern w:val="0"/>
          <w:szCs w:val="28"/>
        </w:rPr>
        <w:fldChar w:fldCharType="separate"/>
      </w:r>
      <w:r>
        <w:rPr>
          <w:rFonts w:eastAsia="楷体" w:cs="Arial"/>
          <w:bCs/>
          <w:i/>
        </w:rPr>
        <w:t xml:space="preserve">图表 </w:t>
      </w:r>
      <w:r>
        <w:t xml:space="preserve">40 </w:t>
      </w:r>
      <w:r>
        <w:rPr>
          <w:rFonts w:eastAsia="楷体" w:cs="Arial"/>
          <w:bCs/>
          <w:i/>
        </w:rPr>
        <w:t xml:space="preserve"> 公司定增募投项目金额及预计投资进度</w:t>
      </w:r>
      <w:r>
        <w:tab/>
      </w:r>
      <w:r>
        <w:fldChar w:fldCharType="begin"/>
      </w:r>
      <w:r>
        <w:instrText xml:space="preserve"> PAGEREF _Toc850989776 </w:instrText>
      </w:r>
      <w:r>
        <w:fldChar w:fldCharType="separate"/>
      </w:r>
      <w:r>
        <w:t>- 31 -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_Toc1862917360 </w:instrText>
      </w:r>
      <w:r>
        <w:rPr>
          <w:rFonts w:eastAsia="楷体" w:cs="Arial"/>
          <w:kern w:val="0"/>
          <w:szCs w:val="28"/>
        </w:rPr>
        <w:fldChar w:fldCharType="separate"/>
      </w:r>
      <w:r>
        <w:rPr>
          <w:rFonts w:eastAsia="楷体" w:cs="Arial"/>
          <w:bCs/>
          <w:i/>
        </w:rPr>
        <w:t xml:space="preserve">图表 </w:t>
      </w:r>
      <w:r>
        <w:t xml:space="preserve">41 </w:t>
      </w:r>
      <w:r>
        <w:rPr>
          <w:rFonts w:eastAsia="楷体" w:cs="Arial"/>
          <w:bCs/>
          <w:i/>
        </w:rPr>
        <w:t xml:space="preserve"> 公司营收预测拆分</w:t>
      </w:r>
      <w:r>
        <w:tab/>
      </w:r>
      <w:r>
        <w:fldChar w:fldCharType="begin"/>
      </w:r>
      <w:r>
        <w:instrText xml:space="preserve"> PAGEREF _Toc1862917360 </w:instrText>
      </w:r>
      <w:r>
        <w:fldChar w:fldCharType="separate"/>
      </w:r>
      <w:r>
        <w:t>- 33 -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_Toc59928877 </w:instrText>
      </w:r>
      <w:r>
        <w:rPr>
          <w:rFonts w:eastAsia="楷体" w:cs="Arial"/>
          <w:kern w:val="0"/>
          <w:szCs w:val="28"/>
        </w:rPr>
        <w:fldChar w:fldCharType="separate"/>
      </w:r>
      <w:r>
        <w:rPr>
          <w:rFonts w:eastAsia="楷体" w:cs="Arial"/>
          <w:bCs/>
          <w:i/>
        </w:rPr>
        <w:t xml:space="preserve">图表 </w:t>
      </w:r>
      <w:r>
        <w:t xml:space="preserve">42 </w:t>
      </w:r>
      <w:r>
        <w:rPr>
          <w:rFonts w:eastAsia="楷体" w:cs="Arial"/>
          <w:bCs/>
          <w:i/>
        </w:rPr>
        <w:t xml:space="preserve"> 公司盈利预测</w:t>
      </w:r>
      <w:r>
        <w:tab/>
      </w:r>
      <w:r>
        <w:fldChar w:fldCharType="begin"/>
      </w:r>
      <w:r>
        <w:instrText xml:space="preserve"> PAGEREF _Toc59928877 </w:instrText>
      </w:r>
      <w:r>
        <w:fldChar w:fldCharType="separate"/>
      </w:r>
      <w:r>
        <w:t>- 34 -</w:t>
      </w:r>
      <w:r>
        <w:fldChar w:fldCharType="end"/>
      </w:r>
      <w:r>
        <w:rPr>
          <w:rFonts w:eastAsia="楷体" w:cs="Arial"/>
          <w:color w:val="000000"/>
          <w:kern w:val="0"/>
          <w:szCs w:val="28"/>
        </w:rPr>
        <w:fldChar w:fldCharType="end"/>
      </w:r>
    </w:p>
    <w:p>
      <w:pPr>
        <w:pStyle w:val="14"/>
        <w:tabs>
          <w:tab w:val="right" w:leader="dot" w:pos="10204"/>
          <w:tab w:val="clear" w:pos="8644"/>
          <w:tab w:val="clear" w:pos="10649"/>
        </w:tabs>
      </w:pPr>
      <w:r>
        <w:rPr>
          <w:rFonts w:eastAsia="楷体" w:cs="Arial"/>
          <w:color w:val="000000"/>
          <w:kern w:val="0"/>
          <w:szCs w:val="28"/>
        </w:rPr>
        <w:fldChar w:fldCharType="begin"/>
      </w:r>
      <w:r>
        <w:rPr>
          <w:rFonts w:eastAsia="楷体" w:cs="Arial"/>
          <w:kern w:val="0"/>
          <w:szCs w:val="28"/>
        </w:rPr>
        <w:instrText xml:space="preserve"> HYPERLINK \l _Toc1989608956 </w:instrText>
      </w:r>
      <w:r>
        <w:rPr>
          <w:rFonts w:eastAsia="楷体" w:cs="Arial"/>
          <w:kern w:val="0"/>
          <w:szCs w:val="28"/>
        </w:rPr>
        <w:fldChar w:fldCharType="separate"/>
      </w:r>
      <w:r>
        <w:rPr>
          <w:rFonts w:eastAsia="楷体" w:cs="Arial"/>
          <w:bCs/>
          <w:i/>
        </w:rPr>
        <w:t xml:space="preserve">图表 </w:t>
      </w:r>
      <w:r>
        <w:t xml:space="preserve">43 </w:t>
      </w:r>
      <w:r>
        <w:rPr>
          <w:rFonts w:eastAsia="楷体" w:cs="Arial"/>
          <w:bCs/>
          <w:i/>
        </w:rPr>
        <w:t xml:space="preserve"> 主要可比企业估值</w:t>
      </w:r>
      <w:r>
        <w:tab/>
      </w:r>
      <w:r>
        <w:fldChar w:fldCharType="begin"/>
      </w:r>
      <w:r>
        <w:instrText xml:space="preserve"> PAGEREF _Toc1989608956 </w:instrText>
      </w:r>
      <w:r>
        <w:fldChar w:fldCharType="separate"/>
      </w:r>
      <w:r>
        <w:t>- 35 -</w:t>
      </w:r>
      <w:r>
        <w:fldChar w:fldCharType="end"/>
      </w:r>
      <w:r>
        <w:rPr>
          <w:rFonts w:eastAsia="楷体" w:cs="Arial"/>
          <w:color w:val="000000"/>
          <w:kern w:val="0"/>
          <w:szCs w:val="28"/>
        </w:rPr>
        <w:fldChar w:fldCharType="end"/>
      </w:r>
    </w:p>
    <w:p>
      <w:pPr>
        <w:tabs>
          <w:tab w:val="right" w:leader="dot" w:pos="8644"/>
          <w:tab w:val="right" w:leader="dot" w:pos="10649"/>
        </w:tabs>
        <w:kinsoku w:val="0"/>
        <w:spacing w:after="312" w:afterLines="100" w:line="400" w:lineRule="exact"/>
        <w:ind w:left="1050" w:leftChars="500"/>
        <w:jc w:val="center"/>
        <w:rPr>
          <w:rFonts w:hint="eastAsia" w:eastAsia="楷体" w:cs="Arial"/>
          <w:b/>
          <w:color w:val="000000"/>
          <w:sz w:val="28"/>
          <w:szCs w:val="28"/>
        </w:rPr>
      </w:pPr>
      <w:r>
        <w:rPr>
          <w:rFonts w:eastAsia="楷体" w:cs="Arial"/>
          <w:color w:val="000000"/>
          <w:kern w:val="0"/>
          <w:szCs w:val="28"/>
        </w:rPr>
        <w:fldChar w:fldCharType="end"/>
      </w:r>
    </w:p>
    <w:p>
      <w:pPr>
        <w:tabs>
          <w:tab w:val="right" w:leader="dot" w:pos="12424"/>
        </w:tabs>
        <w:ind w:left="2975" w:leftChars="1300" w:hanging="245" w:hangingChars="117"/>
        <w:jc w:val="left"/>
        <w:outlineLvl w:val="0"/>
        <w:rPr>
          <w:rFonts w:eastAsia="楷体" w:cs="Arial"/>
          <w:b/>
          <w:bCs/>
          <w:color w:val="000000"/>
          <w:sz w:val="28"/>
          <w:szCs w:val="32"/>
        </w:rPr>
      </w:pPr>
      <w:r>
        <w:rPr>
          <w:rFonts w:eastAsia="楷体" w:cs="Arial"/>
          <w:color w:val="000000"/>
        </w:rPr>
        <w:br w:type="page"/>
      </w:r>
      <w:bookmarkEnd w:id="2"/>
      <w:bookmarkEnd w:id="3"/>
      <w:bookmarkEnd w:id="4"/>
      <w:bookmarkEnd w:id="5"/>
      <w:bookmarkEnd w:id="6"/>
      <w:bookmarkEnd w:id="7"/>
      <w:bookmarkEnd w:id="8"/>
      <w:bookmarkStart w:id="9" w:name="_Toc1334969347"/>
      <w:bookmarkStart w:id="10" w:name="_Toc11534567"/>
      <w:r>
        <w:rPr>
          <w:rFonts w:hint="default" w:eastAsia="楷体" w:cs="Arial"/>
          <w:b/>
          <w:bCs/>
          <w:color w:val="000000"/>
          <w:sz w:val="28"/>
          <w:szCs w:val="32"/>
        </w:rPr>
        <w:t>博通集成</w:t>
      </w:r>
      <w:r>
        <w:rPr>
          <w:rFonts w:hint="eastAsia" w:eastAsia="楷体" w:cs="Arial"/>
          <w:b/>
          <w:bCs/>
          <w:color w:val="000000"/>
          <w:sz w:val="28"/>
          <w:szCs w:val="32"/>
        </w:rPr>
        <w:t>，</w:t>
      </w:r>
      <w:r>
        <w:rPr>
          <w:rFonts w:hint="default" w:eastAsia="楷体" w:cs="Arial"/>
          <w:b/>
          <w:bCs/>
          <w:color w:val="000000"/>
          <w:sz w:val="28"/>
          <w:szCs w:val="32"/>
        </w:rPr>
        <w:t>打造无线通讯芯片领域的平台型企业</w:t>
      </w:r>
      <w:bookmarkEnd w:id="9"/>
      <w:r>
        <w:rPr>
          <w:rFonts w:hint="eastAsia" w:eastAsia="楷体" w:cs="Arial"/>
          <w:b/>
          <w:bCs/>
          <w:color w:val="000000"/>
          <w:sz w:val="28"/>
          <w:szCs w:val="32"/>
        </w:rPr>
        <w:t xml:space="preserve"> </w:t>
      </w:r>
      <w:bookmarkEnd w:id="10"/>
    </w:p>
    <w:p>
      <w:pPr>
        <w:pStyle w:val="35"/>
        <w:ind w:firstLine="103" w:firstLineChars="49"/>
        <w:rPr>
          <w:rFonts w:hint="eastAsia" w:eastAsia="楷体" w:cs="Arial"/>
          <w:color w:val="000000"/>
        </w:rPr>
      </w:pPr>
      <w:bookmarkStart w:id="11" w:name="_Toc2068154820"/>
      <w:r>
        <w:rPr>
          <w:rFonts w:hint="default" w:eastAsia="楷体" w:cs="Arial"/>
          <w:color w:val="000000"/>
        </w:rPr>
        <w:t>博通集成：无线数传起家，协同发展布局无线类芯片平台</w:t>
      </w:r>
      <w:bookmarkEnd w:id="11"/>
    </w:p>
    <w:p>
      <w:pPr>
        <w:ind w:left="3081" w:leftChars="1467" w:firstLine="600" w:firstLineChars="286"/>
        <w:rPr>
          <w:rFonts w:eastAsia="楷体" w:cs="Arial"/>
          <w:b w:val="0"/>
          <w:bCs w:val="0"/>
          <w:color w:val="000000"/>
          <w:kern w:val="0"/>
          <w:szCs w:val="21"/>
        </w:rPr>
      </w:pPr>
      <w:r>
        <w:rPr>
          <w:rFonts w:hint="eastAsia" w:eastAsia="楷体" w:cs="Arial"/>
          <w:b w:val="0"/>
          <w:bCs w:val="0"/>
          <w:color w:val="000000"/>
          <w:kern w:val="0"/>
          <w:szCs w:val="21"/>
        </w:rPr>
        <w:t>公司成立于 2004年 12 月</w:t>
      </w:r>
      <w:r>
        <w:rPr>
          <w:rFonts w:hint="default" w:eastAsia="楷体" w:cs="Arial"/>
          <w:b w:val="0"/>
          <w:bCs w:val="0"/>
          <w:color w:val="000000"/>
          <w:kern w:val="0"/>
          <w:szCs w:val="21"/>
        </w:rPr>
        <w:t>，前身为辉芒微电子。</w:t>
      </w:r>
      <w:r>
        <w:rPr>
          <w:rFonts w:hint="eastAsia" w:eastAsia="楷体" w:cs="Arial"/>
          <w:b w:val="0"/>
          <w:bCs w:val="0"/>
          <w:color w:val="000000"/>
          <w:kern w:val="0"/>
          <w:szCs w:val="21"/>
        </w:rPr>
        <w:t>2005 年 9 月</w:t>
      </w:r>
      <w:r>
        <w:rPr>
          <w:rFonts w:hint="default" w:eastAsia="楷体" w:cs="Arial"/>
          <w:b w:val="0"/>
          <w:bCs w:val="0"/>
          <w:color w:val="000000"/>
          <w:kern w:val="0"/>
          <w:szCs w:val="21"/>
        </w:rPr>
        <w:t>13日</w:t>
      </w:r>
      <w:r>
        <w:rPr>
          <w:rFonts w:hint="eastAsia" w:eastAsia="楷体" w:cs="Arial"/>
          <w:b w:val="0"/>
          <w:bCs w:val="0"/>
          <w:color w:val="000000"/>
          <w:kern w:val="0"/>
          <w:szCs w:val="21"/>
        </w:rPr>
        <w:t>更名为博通集成电路（上海）有限公司。公司</w:t>
      </w:r>
      <w:r>
        <w:rPr>
          <w:rFonts w:hint="default" w:eastAsia="楷体" w:cs="Arial"/>
          <w:b w:val="0"/>
          <w:bCs w:val="0"/>
          <w:color w:val="000000"/>
          <w:kern w:val="0"/>
          <w:szCs w:val="21"/>
        </w:rPr>
        <w:t>从2005年开始</w:t>
      </w:r>
      <w:r>
        <w:rPr>
          <w:rFonts w:hint="eastAsia" w:eastAsia="楷体" w:cs="Arial"/>
          <w:b w:val="0"/>
          <w:bCs w:val="0"/>
          <w:color w:val="000000"/>
          <w:kern w:val="0"/>
          <w:szCs w:val="21"/>
        </w:rPr>
        <w:t>最早</w:t>
      </w:r>
      <w:r>
        <w:rPr>
          <w:rFonts w:hint="default" w:eastAsia="楷体" w:cs="Arial"/>
          <w:b w:val="0"/>
          <w:bCs w:val="0"/>
          <w:color w:val="000000"/>
          <w:kern w:val="0"/>
          <w:szCs w:val="21"/>
        </w:rPr>
        <w:t>的产品以</w:t>
      </w:r>
      <w:r>
        <w:rPr>
          <w:rFonts w:hint="eastAsia" w:eastAsia="楷体" w:cs="Arial"/>
          <w:b w:val="0"/>
          <w:bCs w:val="0"/>
          <w:color w:val="000000"/>
          <w:kern w:val="0"/>
          <w:szCs w:val="21"/>
        </w:rPr>
        <w:t>无绳电话</w:t>
      </w:r>
      <w:r>
        <w:rPr>
          <w:rFonts w:hint="default" w:eastAsia="楷体" w:cs="Arial"/>
          <w:b w:val="0"/>
          <w:bCs w:val="0"/>
          <w:color w:val="000000"/>
          <w:kern w:val="0"/>
          <w:szCs w:val="21"/>
        </w:rPr>
        <w:t>产品为应用的音频接收和输出电路</w:t>
      </w:r>
      <w:r>
        <w:rPr>
          <w:rFonts w:hint="eastAsia" w:eastAsia="楷体" w:cs="Arial"/>
          <w:b w:val="0"/>
          <w:bCs w:val="0"/>
          <w:color w:val="000000"/>
          <w:kern w:val="0"/>
          <w:szCs w:val="21"/>
        </w:rPr>
        <w:t>，</w:t>
      </w:r>
      <w:r>
        <w:rPr>
          <w:rFonts w:hint="default" w:eastAsia="楷体" w:cs="Arial"/>
          <w:b w:val="0"/>
          <w:bCs w:val="0"/>
          <w:color w:val="000000"/>
          <w:kern w:val="0"/>
          <w:szCs w:val="21"/>
        </w:rPr>
        <w:t>并</w:t>
      </w:r>
      <w:r>
        <w:rPr>
          <w:rFonts w:hint="eastAsia" w:eastAsia="楷体" w:cs="Arial"/>
          <w:b w:val="0"/>
          <w:bCs w:val="0"/>
          <w:color w:val="000000"/>
          <w:kern w:val="0"/>
          <w:szCs w:val="21"/>
        </w:rPr>
        <w:t>于 2006 年</w:t>
      </w:r>
      <w:r>
        <w:rPr>
          <w:rFonts w:hint="default" w:eastAsia="楷体" w:cs="Arial"/>
          <w:b w:val="0"/>
          <w:bCs w:val="0"/>
          <w:color w:val="000000"/>
          <w:kern w:val="0"/>
          <w:szCs w:val="21"/>
        </w:rPr>
        <w:t>设计出当时</w:t>
      </w:r>
      <w:r>
        <w:rPr>
          <w:rFonts w:hint="eastAsia" w:eastAsia="楷体" w:cs="Arial"/>
          <w:b w:val="0"/>
          <w:bCs w:val="0"/>
          <w:color w:val="000000"/>
          <w:kern w:val="0"/>
          <w:szCs w:val="21"/>
        </w:rPr>
        <w:t>世界上集成度最高的 5.8 GHz 无绳电话集成收发器芯片。</w:t>
      </w:r>
      <w:r>
        <w:rPr>
          <w:rFonts w:hint="default" w:eastAsia="楷体" w:cs="Arial"/>
          <w:b w:val="0"/>
          <w:bCs w:val="0"/>
          <w:color w:val="000000"/>
          <w:kern w:val="0"/>
          <w:szCs w:val="21"/>
        </w:rPr>
        <w:t>从</w:t>
      </w:r>
      <w:r>
        <w:rPr>
          <w:rFonts w:hint="eastAsia" w:eastAsia="楷体" w:cs="Arial"/>
          <w:b w:val="0"/>
          <w:bCs w:val="0"/>
          <w:color w:val="000000"/>
          <w:kern w:val="0"/>
          <w:szCs w:val="21"/>
        </w:rPr>
        <w:t>2007 年</w:t>
      </w:r>
      <w:r>
        <w:rPr>
          <w:rFonts w:hint="default" w:eastAsia="楷体" w:cs="Arial"/>
          <w:b w:val="0"/>
          <w:bCs w:val="0"/>
          <w:color w:val="000000"/>
          <w:kern w:val="0"/>
          <w:szCs w:val="21"/>
        </w:rPr>
        <w:t>开始，</w:t>
      </w:r>
      <w:r>
        <w:rPr>
          <w:rFonts w:hint="eastAsia" w:eastAsia="楷体" w:cs="Arial"/>
          <w:b w:val="0"/>
          <w:bCs w:val="0"/>
          <w:color w:val="000000"/>
          <w:kern w:val="0"/>
          <w:szCs w:val="21"/>
        </w:rPr>
        <w:t xml:space="preserve"> ETC 国标核心技术</w:t>
      </w:r>
      <w:r>
        <w:rPr>
          <w:rFonts w:hint="default" w:eastAsia="楷体" w:cs="Arial"/>
          <w:b w:val="0"/>
          <w:bCs w:val="0"/>
          <w:color w:val="000000"/>
          <w:kern w:val="0"/>
          <w:szCs w:val="21"/>
        </w:rPr>
        <w:t>进入公司的研发日程，并开始着手设计极低功耗的被动唤醒电路，并于2011年实现符合国标的第一代ETC产品BK5822</w:t>
      </w:r>
      <w:r>
        <w:rPr>
          <w:rFonts w:hint="eastAsia" w:eastAsia="楷体" w:cs="Arial"/>
          <w:b w:val="0"/>
          <w:bCs w:val="0"/>
          <w:color w:val="000000"/>
          <w:kern w:val="0"/>
          <w:szCs w:val="21"/>
        </w:rPr>
        <w:t>。</w:t>
      </w:r>
      <w:r>
        <w:rPr>
          <w:rFonts w:hint="default" w:eastAsia="楷体" w:cs="Arial"/>
          <w:b w:val="0"/>
          <w:bCs w:val="0"/>
          <w:color w:val="000000"/>
          <w:kern w:val="0"/>
          <w:szCs w:val="21"/>
        </w:rPr>
        <w:t>随后公司对产品进行积极迭代保持竞争力，2020年公司最新的适用于ETC前装配置的BK5870T芯片以实现量产，是国内首款通过国际第三方实验室ISE认证的ETC芯片。在Wi-Fi无线传输方面，</w:t>
      </w:r>
      <w:r>
        <w:rPr>
          <w:rFonts w:hint="eastAsia" w:eastAsia="楷体" w:cs="Arial"/>
          <w:b w:val="0"/>
          <w:bCs w:val="0"/>
          <w:color w:val="000000"/>
          <w:kern w:val="0"/>
          <w:szCs w:val="21"/>
        </w:rPr>
        <w:t>2015 年公司首个 Wi-Fi 宽带收发样片通过测试</w:t>
      </w:r>
      <w:r>
        <w:rPr>
          <w:rFonts w:hint="default" w:eastAsia="楷体" w:cs="Arial"/>
          <w:b w:val="0"/>
          <w:bCs w:val="0"/>
          <w:color w:val="000000"/>
          <w:kern w:val="0"/>
          <w:szCs w:val="21"/>
        </w:rPr>
        <w:t>，并应用于下游的智能家居设备、无人机等。至此，公司完成对</w:t>
      </w:r>
      <w:r>
        <w:rPr>
          <w:rFonts w:hint="eastAsia" w:eastAsia="楷体" w:cs="Arial"/>
          <w:b w:val="0"/>
          <w:bCs w:val="0"/>
          <w:color w:val="000000"/>
          <w:kern w:val="0"/>
          <w:szCs w:val="21"/>
        </w:rPr>
        <w:t>蓝牙/Wi-Fi 标准协议、2.4G/5.8G通用</w:t>
      </w:r>
      <w:r>
        <w:rPr>
          <w:rFonts w:hint="default" w:eastAsia="楷体" w:cs="Arial"/>
          <w:b w:val="0"/>
          <w:bCs w:val="0"/>
          <w:color w:val="000000"/>
          <w:kern w:val="0"/>
          <w:szCs w:val="21"/>
        </w:rPr>
        <w:t>频段的覆盖。2020年，公司在无线音频TWS总成芯片(SoC)上对过往BK3266进行迭代，推出极低功耗中高端产品BK3288，未来有望伴随安卓TWS快速增长而放量，成为公司主要盈利增长点。</w:t>
      </w:r>
    </w:p>
    <w:p>
      <w:pPr>
        <w:rPr>
          <w:rFonts w:hint="eastAsia" w:eastAsia="楷体" w:cs="Arial"/>
          <w:color w:val="000000"/>
          <w:kern w:val="0"/>
          <w:szCs w:val="21"/>
        </w:rPr>
      </w:pPr>
    </w:p>
    <w:tbl>
      <w:tblPr>
        <w:tblStyle w:val="22"/>
        <w:tblW w:w="9319" w:type="dxa"/>
        <w:jc w:val="center"/>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416"/>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36" w:hRule="atLeast"/>
          <w:jc w:val="center"/>
        </w:trPr>
        <w:tc>
          <w:tcPr>
            <w:tcW w:w="9319" w:type="dxa"/>
            <w:tcBorders>
              <w:top w:val="single" w:color="C00000" w:sz="12" w:space="0"/>
              <w:bottom w:val="single" w:color="C00000" w:sz="8" w:space="0"/>
            </w:tcBorders>
            <w:noWrap w:val="0"/>
            <w:vAlign w:val="bottom"/>
          </w:tcPr>
          <w:p>
            <w:pPr>
              <w:pStyle w:val="8"/>
              <w:rPr>
                <w:rFonts w:hint="eastAsia" w:eastAsia="楷体" w:cs="Arial"/>
                <w:b/>
                <w:bCs/>
                <w:i/>
                <w:color w:val="000000"/>
              </w:rPr>
            </w:pPr>
            <w:bookmarkStart w:id="12" w:name="_Toc43633332"/>
            <w:r>
              <w:rPr>
                <w:rFonts w:hint="eastAsia"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w:instrText>
            </w:r>
            <w:r>
              <w:rPr>
                <w:rFonts w:hint="eastAsia" w:eastAsia="楷体" w:cs="Arial"/>
                <w:b/>
                <w:bCs/>
                <w:i/>
                <w:color w:val="000000"/>
              </w:rPr>
              <w:instrText xml:space="preserve">SEQ 图表 \* ARABIC</w:instrText>
            </w:r>
            <w:r>
              <w:rPr>
                <w:rFonts w:eastAsia="楷体" w:cs="Arial"/>
                <w:b/>
                <w:bCs/>
                <w:i/>
                <w:color w:val="000000"/>
              </w:rPr>
              <w:instrText xml:space="preserve"> </w:instrText>
            </w:r>
            <w:r>
              <w:rPr>
                <w:rFonts w:eastAsia="楷体" w:cs="Arial"/>
                <w:b/>
                <w:bCs/>
                <w:i/>
                <w:color w:val="000000"/>
              </w:rPr>
              <w:fldChar w:fldCharType="separate"/>
            </w:r>
            <w:r>
              <w:rPr>
                <w:rFonts w:eastAsia="楷体" w:cs="Arial"/>
                <w:b/>
                <w:bCs/>
                <w:i/>
                <w:color w:val="000000"/>
              </w:rPr>
              <w:t>1</w:t>
            </w:r>
            <w:r>
              <w:rPr>
                <w:rFonts w:eastAsia="楷体" w:cs="Arial"/>
                <w:b/>
                <w:bCs/>
                <w:i/>
                <w:color w:val="000000"/>
              </w:rPr>
              <w:fldChar w:fldCharType="end"/>
            </w:r>
            <w:bookmarkStart w:id="13" w:name="_Toc994173330"/>
            <w:r>
              <w:rPr>
                <w:rFonts w:eastAsia="楷体" w:cs="Arial"/>
                <w:b/>
                <w:bCs/>
                <w:i/>
                <w:color w:val="000000"/>
              </w:rPr>
              <w:t>：</w:t>
            </w:r>
            <w:r>
              <w:rPr>
                <w:rFonts w:hint="eastAsia" w:eastAsia="楷体" w:cs="Arial"/>
                <w:b/>
                <w:bCs/>
                <w:i/>
                <w:color w:val="000000"/>
              </w:rPr>
              <w:t>公司</w:t>
            </w:r>
            <w:bookmarkEnd w:id="12"/>
            <w:r>
              <w:rPr>
                <w:rFonts w:hint="default" w:eastAsia="楷体" w:cs="Arial"/>
                <w:b/>
                <w:bCs/>
                <w:i/>
                <w:color w:val="000000"/>
              </w:rPr>
              <w:t>发展历程介绍</w:t>
            </w:r>
            <w:bookmarkEnd w:id="13"/>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483" w:hRule="atLeast"/>
          <w:jc w:val="center"/>
        </w:trPr>
        <w:tc>
          <w:tcPr>
            <w:tcW w:w="9319" w:type="dxa"/>
            <w:tcBorders>
              <w:top w:val="single" w:color="C00000" w:sz="8" w:space="0"/>
            </w:tcBorders>
            <w:noWrap w:val="0"/>
            <w:vAlign w:val="top"/>
          </w:tcPr>
          <w:p>
            <w:pPr>
              <w:rPr>
                <w:rFonts w:hint="eastAsia" w:eastAsia="楷体" w:cs="Arial"/>
                <w:color w:val="000000"/>
              </w:rPr>
            </w:pPr>
            <w:r>
              <w:drawing>
                <wp:inline distT="0" distB="0" distL="114300" distR="114300">
                  <wp:extent cx="6473190" cy="1809750"/>
                  <wp:effectExtent l="0" t="0" r="3810" b="19050"/>
                  <wp:docPr id="3" name="Picture 62" descr="/Users/leon/Desktop/2020.11实习/博通集成/时间轴.jpg时间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2" descr="/Users/leon/Desktop/2020.11实习/博通集成/时间轴.jpg时间轴"/>
                          <pic:cNvPicPr>
                            <a:picLocks noChangeAspect="1"/>
                          </pic:cNvPicPr>
                        </pic:nvPicPr>
                        <pic:blipFill>
                          <a:blip r:embed="rId10"/>
                          <a:stretch>
                            <a:fillRect/>
                          </a:stretch>
                        </pic:blipFill>
                        <pic:spPr>
                          <a:xfrm>
                            <a:off x="0" y="0"/>
                            <a:ext cx="6473190" cy="18097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33" w:hRule="atLeast"/>
          <w:jc w:val="center"/>
        </w:trPr>
        <w:tc>
          <w:tcPr>
            <w:tcW w:w="9319" w:type="dxa"/>
            <w:noWrap w:val="0"/>
            <w:vAlign w:val="top"/>
          </w:tcPr>
          <w:p>
            <w:pPr>
              <w:keepNext/>
              <w:tabs>
                <w:tab w:val="right" w:pos="11743"/>
              </w:tabs>
              <w:spacing w:before="40" w:after="160"/>
              <w:jc w:val="left"/>
              <w:rPr>
                <w:rFonts w:eastAsia="楷体" w:cs="Arial"/>
                <w:color w:val="000000"/>
                <w:sz w:val="15"/>
              </w:rPr>
            </w:pPr>
            <w:r>
              <w:rPr>
                <w:rFonts w:eastAsia="楷体" w:cs="Arial"/>
                <w:color w:val="000000"/>
                <w:sz w:val="15"/>
              </w:rPr>
              <w:t>来源：公司招股书，中泰证券研究所</w:t>
            </w:r>
          </w:p>
        </w:tc>
      </w:tr>
    </w:tbl>
    <w:p>
      <w:pPr>
        <w:pStyle w:val="8"/>
        <w:rPr>
          <w:rFonts w:hint="eastAsia"/>
        </w:rPr>
      </w:pPr>
      <w:bookmarkStart w:id="14" w:name="_Toc43588351"/>
      <w:bookmarkEnd w:id="14"/>
    </w:p>
    <w:p>
      <w:pPr>
        <w:pStyle w:val="35"/>
        <w:ind w:firstLine="103" w:firstLineChars="49"/>
        <w:rPr>
          <w:rFonts w:hint="eastAsia" w:eastAsia="楷体" w:cs="Arial"/>
          <w:color w:val="000000"/>
        </w:rPr>
      </w:pPr>
      <w:bookmarkStart w:id="15" w:name="_Toc307749398"/>
      <w:r>
        <w:rPr>
          <w:rFonts w:hint="default" w:eastAsia="楷体" w:cs="Arial"/>
          <w:color w:val="000000"/>
        </w:rPr>
        <w:t>主营业务：无线数传夯实基本盘，发力无线音频芯片</w:t>
      </w:r>
      <w:bookmarkEnd w:id="15"/>
    </w:p>
    <w:p>
      <w:pPr>
        <w:ind w:left="3081" w:leftChars="1467" w:firstLine="601" w:firstLineChars="286"/>
        <w:rPr>
          <w:rFonts w:hint="default" w:eastAsia="楷体" w:cs="Arial"/>
          <w:b w:val="0"/>
          <w:bCs w:val="0"/>
          <w:color w:val="000000"/>
          <w:kern w:val="0"/>
          <w:szCs w:val="21"/>
        </w:rPr>
      </w:pPr>
      <w:r>
        <w:rPr>
          <w:rFonts w:hint="eastAsia" w:eastAsia="楷体" w:cs="Arial"/>
          <w:b/>
          <w:bCs/>
          <w:color w:val="000000"/>
          <w:kern w:val="0"/>
          <w:szCs w:val="21"/>
        </w:rPr>
        <w:t>公司的主营业务为无线通讯集成电路芯片的研发与销售，具体类型分为无线数传芯片和无线音频芯片。</w:t>
      </w:r>
      <w:r>
        <w:rPr>
          <w:rFonts w:hint="eastAsia" w:eastAsia="楷体" w:cs="Arial"/>
          <w:b w:val="0"/>
          <w:bCs w:val="0"/>
          <w:color w:val="000000"/>
          <w:kern w:val="0"/>
          <w:szCs w:val="21"/>
        </w:rPr>
        <w:t>公司</w:t>
      </w:r>
      <w:r>
        <w:rPr>
          <w:rFonts w:hint="default" w:eastAsia="楷体" w:cs="Arial"/>
          <w:b w:val="0"/>
          <w:bCs w:val="0"/>
          <w:color w:val="000000"/>
          <w:kern w:val="0"/>
          <w:szCs w:val="21"/>
        </w:rPr>
        <w:t>作为国内领先的无线通讯集成电路芯片设计公司，专注于研发设计高集成度、低能耗的无线数传类芯片产品和无线音频类芯片产品，产品种类丰富覆盖多个领域如智能交通、智能家居、计算机外设等。</w:t>
      </w:r>
    </w:p>
    <w:p>
      <w:pPr>
        <w:ind w:left="3081" w:leftChars="1467" w:firstLine="601" w:firstLineChars="286"/>
        <w:rPr>
          <w:rFonts w:hint="default" w:eastAsia="楷体" w:cs="Arial"/>
          <w:b/>
          <w:bCs/>
          <w:color w:val="000000"/>
          <w:kern w:val="0"/>
          <w:szCs w:val="21"/>
        </w:rPr>
      </w:pPr>
    </w:p>
    <w:p>
      <w:pPr>
        <w:ind w:left="3081" w:leftChars="1467" w:firstLine="601" w:firstLineChars="286"/>
        <w:rPr>
          <w:rFonts w:hint="default" w:eastAsia="楷体" w:cs="Arial"/>
          <w:b/>
          <w:bCs/>
          <w:color w:val="000000"/>
          <w:kern w:val="0"/>
          <w:szCs w:val="21"/>
          <w:u w:val="single"/>
        </w:rPr>
      </w:pPr>
      <w:r>
        <w:rPr>
          <w:rFonts w:hint="default" w:eastAsia="楷体" w:cs="Arial"/>
          <w:b/>
          <w:bCs/>
          <w:color w:val="000000"/>
          <w:kern w:val="0"/>
          <w:szCs w:val="21"/>
        </w:rPr>
        <w:t>无线数传类是公司基本盘。</w:t>
      </w:r>
      <w:r>
        <w:rPr>
          <w:rFonts w:hint="default" w:eastAsia="楷体" w:cs="Arial"/>
          <w:b w:val="0"/>
          <w:bCs w:val="0"/>
          <w:color w:val="000000"/>
          <w:kern w:val="0"/>
          <w:szCs w:val="21"/>
        </w:rPr>
        <w:t>随物联网的迅速发展，无线数传类芯片采用无线通讯方法实现数据的收发，是智能设备联网必备的一环，具备广阔前景。公司深耕无线数传类芯片十余年，主要产品包括射频收发器、集成MCU的无线微控制器、高于国标的ETC芯片组、支持完整通讯协议和安全协议的低功耗蓝牙、传统蓝牙芯片等。</w:t>
      </w:r>
      <w:r>
        <w:rPr>
          <w:rFonts w:hint="default" w:eastAsia="楷体" w:cs="Arial"/>
          <w:b/>
          <w:bCs/>
          <w:color w:val="000000"/>
          <w:kern w:val="0"/>
          <w:szCs w:val="21"/>
          <w:u w:val="single"/>
        </w:rPr>
        <w:t>公司无线数传类产品的下游应用主要为智能家居、ETC、无人机等领域；知名终端客户有涂鸦智能、金溢科技、大疆无人机等。</w:t>
      </w:r>
    </w:p>
    <w:p>
      <w:pPr>
        <w:ind w:left="3081" w:leftChars="1467" w:firstLine="600" w:firstLineChars="286"/>
        <w:rPr>
          <w:rFonts w:hint="default" w:eastAsia="楷体" w:cs="Arial"/>
          <w:b w:val="0"/>
          <w:bCs w:val="0"/>
          <w:color w:val="000000"/>
          <w:kern w:val="0"/>
          <w:szCs w:val="21"/>
        </w:rPr>
      </w:pPr>
    </w:p>
    <w:p>
      <w:pPr>
        <w:ind w:left="3081" w:leftChars="1467" w:firstLine="601" w:firstLineChars="286"/>
        <w:rPr>
          <w:rFonts w:hint="default" w:eastAsia="楷体" w:cs="Arial"/>
          <w:b/>
          <w:bCs/>
          <w:color w:val="000000"/>
          <w:kern w:val="0"/>
          <w:szCs w:val="21"/>
        </w:rPr>
      </w:pPr>
      <w:r>
        <w:rPr>
          <w:rFonts w:hint="default" w:eastAsia="楷体" w:cs="Arial"/>
          <w:b/>
          <w:bCs/>
          <w:color w:val="000000"/>
          <w:kern w:val="0"/>
          <w:szCs w:val="21"/>
        </w:rPr>
        <w:t>无线音频类是公司未来主要盈利增长点之一。</w:t>
      </w:r>
      <w:r>
        <w:rPr>
          <w:rFonts w:hint="default" w:eastAsia="楷体" w:cs="Arial"/>
          <w:b w:val="0"/>
          <w:bCs w:val="0"/>
          <w:color w:val="000000"/>
          <w:kern w:val="0"/>
          <w:szCs w:val="21"/>
        </w:rPr>
        <w:t>产品主要采用无线通信方法实现音频信号收发、主要产品包括射频收发、无线音频总成芯片(SoC)、音频蓝牙芯片、CMOS收音机芯片等。</w:t>
      </w:r>
      <w:r>
        <w:rPr>
          <w:rFonts w:hint="default" w:eastAsia="楷体" w:cs="Arial"/>
          <w:b w:val="0"/>
          <w:bCs w:val="0"/>
          <w:color w:val="000000"/>
          <w:kern w:val="0"/>
          <w:szCs w:val="21"/>
          <w:u w:val="single"/>
        </w:rPr>
        <w:t>公司无线音频类产品下游应用主要为收音机、蓝牙耳机、智能音箱等。而</w:t>
      </w:r>
      <w:r>
        <w:rPr>
          <w:rFonts w:hint="default" w:eastAsia="楷体" w:cs="Arial"/>
          <w:b/>
          <w:bCs/>
          <w:color w:val="000000"/>
          <w:kern w:val="0"/>
          <w:szCs w:val="21"/>
          <w:u w:val="single"/>
        </w:rPr>
        <w:t>伴随公司2020年新推出极低功耗、技术先进的TWS总成芯片BK3288后，下游应用有望切入中高端TWS耳机品牌，实现快速放量，是公司未来主要盈利增长看点之一。</w:t>
      </w:r>
    </w:p>
    <w:p>
      <w:pPr>
        <w:ind w:left="3081" w:leftChars="1467" w:firstLine="600" w:firstLineChars="286"/>
        <w:rPr>
          <w:rFonts w:hint="default" w:eastAsia="楷体" w:cs="Arial"/>
          <w:b w:val="0"/>
          <w:bCs w:val="0"/>
          <w:color w:val="000000"/>
          <w:kern w:val="0"/>
          <w:szCs w:val="21"/>
        </w:rPr>
      </w:pPr>
    </w:p>
    <w:p>
      <w:pPr>
        <w:ind w:left="3081" w:leftChars="1467" w:firstLine="600" w:firstLineChars="286"/>
        <w:rPr>
          <w:rFonts w:hint="default" w:eastAsia="楷体" w:cs="Arial"/>
          <w:b w:val="0"/>
          <w:bCs w:val="0"/>
          <w:color w:val="000000"/>
          <w:kern w:val="0"/>
          <w:szCs w:val="21"/>
        </w:rPr>
      </w:pPr>
    </w:p>
    <w:tbl>
      <w:tblPr>
        <w:tblStyle w:val="22"/>
        <w:tblW w:w="9319" w:type="dxa"/>
        <w:jc w:val="center"/>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9319"/>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36" w:hRule="atLeast"/>
          <w:jc w:val="center"/>
        </w:trPr>
        <w:tc>
          <w:tcPr>
            <w:tcW w:w="9319" w:type="dxa"/>
            <w:tcBorders>
              <w:top w:val="single" w:color="C00000" w:sz="12" w:space="0"/>
              <w:bottom w:val="single" w:color="C00000" w:sz="8" w:space="0"/>
            </w:tcBorders>
            <w:noWrap w:val="0"/>
            <w:vAlign w:val="bottom"/>
          </w:tcPr>
          <w:p>
            <w:pPr>
              <w:pStyle w:val="8"/>
              <w:rPr>
                <w:rFonts w:hint="eastAsia" w:eastAsia="楷体" w:cs="Arial"/>
                <w:b/>
                <w:bCs/>
                <w:i/>
                <w:color w:val="000000"/>
              </w:rPr>
            </w:pPr>
            <w:r>
              <w:rPr>
                <w:rFonts w:hint="eastAsia" w:ascii="Arial" w:hAnsi="Arial" w:eastAsia="楷体" w:cs="Arial"/>
                <w:b/>
                <w:bCs/>
                <w:i/>
                <w:color w:val="000000"/>
                <w:szCs w:val="24"/>
              </w:rPr>
              <w:t xml:space="preserve">图表 </w:t>
            </w:r>
            <w:r>
              <w:rPr>
                <w:rFonts w:ascii="Arial" w:hAnsi="Arial" w:eastAsia="楷体" w:cs="Arial"/>
                <w:b/>
                <w:bCs/>
                <w:i/>
                <w:color w:val="000000"/>
                <w:szCs w:val="24"/>
              </w:rPr>
              <w:fldChar w:fldCharType="begin"/>
            </w:r>
            <w:r>
              <w:rPr>
                <w:rFonts w:ascii="Arial" w:hAnsi="Arial" w:eastAsia="楷体" w:cs="Arial"/>
                <w:b/>
                <w:bCs/>
                <w:i/>
                <w:color w:val="000000"/>
                <w:szCs w:val="24"/>
              </w:rPr>
              <w:instrText xml:space="preserve"> </w:instrText>
            </w:r>
            <w:r>
              <w:rPr>
                <w:rFonts w:hint="eastAsia" w:ascii="Arial" w:hAnsi="Arial" w:eastAsia="楷体" w:cs="Arial"/>
                <w:b/>
                <w:bCs/>
                <w:i/>
                <w:color w:val="000000"/>
                <w:szCs w:val="24"/>
              </w:rPr>
              <w:instrText xml:space="preserve">SEQ 图表 \* ARABIC</w:instrText>
            </w:r>
            <w:r>
              <w:rPr>
                <w:rFonts w:ascii="Arial" w:hAnsi="Arial" w:eastAsia="楷体" w:cs="Arial"/>
                <w:b/>
                <w:bCs/>
                <w:i/>
                <w:color w:val="000000"/>
                <w:szCs w:val="24"/>
              </w:rPr>
              <w:instrText xml:space="preserve"> </w:instrText>
            </w:r>
            <w:r>
              <w:rPr>
                <w:rFonts w:ascii="Arial" w:hAnsi="Arial" w:eastAsia="楷体" w:cs="Arial"/>
                <w:b/>
                <w:bCs/>
                <w:i/>
                <w:color w:val="000000"/>
                <w:szCs w:val="24"/>
              </w:rPr>
              <w:fldChar w:fldCharType="separate"/>
            </w:r>
            <w:r>
              <w:rPr>
                <w:rFonts w:ascii="Arial" w:hAnsi="Arial" w:eastAsia="楷体" w:cs="Arial"/>
                <w:b/>
                <w:bCs/>
                <w:i/>
                <w:color w:val="000000"/>
                <w:szCs w:val="24"/>
              </w:rPr>
              <w:t>2</w:t>
            </w:r>
            <w:r>
              <w:rPr>
                <w:rFonts w:ascii="Arial" w:hAnsi="Arial" w:eastAsia="楷体" w:cs="Arial"/>
                <w:b/>
                <w:bCs/>
                <w:i/>
                <w:color w:val="000000"/>
                <w:szCs w:val="24"/>
              </w:rPr>
              <w:fldChar w:fldCharType="end"/>
            </w:r>
            <w:bookmarkStart w:id="16" w:name="_Toc1844959250"/>
            <w:r>
              <w:rPr>
                <w:rFonts w:ascii="Arial" w:hAnsi="Arial" w:eastAsia="楷体" w:cs="Arial"/>
                <w:b/>
                <w:bCs/>
                <w:i/>
                <w:color w:val="000000"/>
                <w:szCs w:val="24"/>
              </w:rPr>
              <w:t xml:space="preserve"> 公司主要产品介绍</w:t>
            </w:r>
            <w:bookmarkEnd w:id="16"/>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483" w:hRule="atLeast"/>
          <w:jc w:val="center"/>
        </w:trPr>
        <w:tc>
          <w:tcPr>
            <w:tcW w:w="9319" w:type="dxa"/>
            <w:tcBorders>
              <w:top w:val="single" w:color="C00000" w:sz="8" w:space="0"/>
            </w:tcBorders>
            <w:noWrap w:val="0"/>
            <w:vAlign w:val="top"/>
          </w:tcPr>
          <w:p>
            <w:pPr>
              <w:jc w:val="center"/>
              <w:rPr>
                <w:rFonts w:eastAsia="楷体" w:cs="Arial"/>
                <w:color w:val="000000"/>
              </w:rPr>
            </w:pPr>
            <w:r>
              <w:drawing>
                <wp:inline distT="0" distB="0" distL="114300" distR="114300">
                  <wp:extent cx="5138420" cy="4529455"/>
                  <wp:effectExtent l="0" t="0" r="0" b="0"/>
                  <wp:docPr id="4" name="Picture 63" descr="/Users/leon/Desktop/2020.11实习/博通集成/公司主要产品.png公司主要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3" descr="/Users/leon/Desktop/2020.11实习/博通集成/公司主要产品.png公司主要产品"/>
                          <pic:cNvPicPr>
                            <a:picLocks noChangeAspect="1"/>
                          </pic:cNvPicPr>
                        </pic:nvPicPr>
                        <pic:blipFill>
                          <a:blip r:embed="rId11"/>
                          <a:stretch>
                            <a:fillRect/>
                          </a:stretch>
                        </pic:blipFill>
                        <pic:spPr>
                          <a:xfrm>
                            <a:off x="0" y="0"/>
                            <a:ext cx="5138420" cy="452945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33" w:hRule="atLeast"/>
          <w:jc w:val="center"/>
        </w:trPr>
        <w:tc>
          <w:tcPr>
            <w:tcW w:w="9319" w:type="dxa"/>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来源：公司资料整理，中泰证券研究所</w:t>
            </w:r>
          </w:p>
        </w:tc>
      </w:tr>
    </w:tbl>
    <w:p>
      <w:pPr>
        <w:pStyle w:val="34"/>
        <w:widowControl/>
        <w:ind w:left="0" w:leftChars="0" w:firstLine="0" w:firstLineChars="0"/>
        <w:jc w:val="left"/>
        <w:rPr>
          <w:rFonts w:hint="eastAsia" w:eastAsia="楷体" w:cs="Arial"/>
          <w:b/>
          <w:color w:val="000000"/>
          <w:kern w:val="0"/>
          <w:szCs w:val="21"/>
        </w:rPr>
      </w:pPr>
    </w:p>
    <w:p>
      <w:pPr>
        <w:pStyle w:val="35"/>
        <w:rPr>
          <w:rFonts w:hint="eastAsia" w:eastAsia="楷体" w:cs="Arial"/>
          <w:color w:val="000000"/>
        </w:rPr>
      </w:pPr>
      <w:bookmarkStart w:id="17" w:name="_Toc1203510210"/>
      <w:r>
        <w:rPr>
          <w:rFonts w:hint="default" w:eastAsia="楷体" w:cs="Arial"/>
          <w:color w:val="000000"/>
        </w:rPr>
        <w:t>股权结构：公司实控人和一致行动人持股比例较高，股权结构稳定</w:t>
      </w:r>
      <w:bookmarkEnd w:id="17"/>
    </w:p>
    <w:p>
      <w:pPr>
        <w:ind w:left="3081" w:leftChars="1467" w:firstLine="600" w:firstLineChars="286"/>
        <w:rPr>
          <w:rFonts w:hint="default" w:eastAsia="楷体" w:cs="Arial"/>
          <w:b w:val="0"/>
          <w:bCs w:val="0"/>
          <w:color w:val="000000"/>
          <w:kern w:val="0"/>
          <w:szCs w:val="21"/>
        </w:rPr>
      </w:pPr>
      <w:r>
        <w:rPr>
          <w:rFonts w:hint="default" w:eastAsia="楷体" w:cs="Arial"/>
          <w:b w:val="0"/>
          <w:bCs w:val="0"/>
          <w:color w:val="000000"/>
          <w:kern w:val="0"/>
          <w:szCs w:val="21"/>
        </w:rPr>
        <w:t>公司于2017 年整体变更为股份有限公司。目前公司控股股东为Beken Corporation，截至2021年1月11日非公开发行完成后，其直接持有公司20.17%股权。目前公司实际控制人为Pengfei Zhang、Dawei Guo，一致行动人包括Hong Zhou、徐伯雄和Wenjie Xu。非公开增发完成后，公司实控人及其一致行动人直接或间接持有公司股权29.62%，股权结构比较稳定。</w:t>
      </w:r>
    </w:p>
    <w:tbl>
      <w:tblPr>
        <w:tblStyle w:val="22"/>
        <w:tblW w:w="11082" w:type="dxa"/>
        <w:jc w:val="center"/>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1456"/>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36" w:hRule="atLeast"/>
          <w:jc w:val="center"/>
        </w:trPr>
        <w:tc>
          <w:tcPr>
            <w:tcW w:w="11082" w:type="dxa"/>
            <w:tcBorders>
              <w:top w:val="single" w:color="C00000" w:sz="12" w:space="0"/>
              <w:bottom w:val="single" w:color="C00000" w:sz="8" w:space="0"/>
            </w:tcBorders>
            <w:noWrap w:val="0"/>
            <w:vAlign w:val="bottom"/>
          </w:tcPr>
          <w:p>
            <w:pPr>
              <w:pStyle w:val="8"/>
              <w:rPr>
                <w:rFonts w:hint="eastAsia" w:eastAsia="楷体" w:cs="Arial"/>
                <w:b/>
                <w:bCs/>
                <w:i/>
                <w:color w:val="000000"/>
              </w:rPr>
            </w:pPr>
            <w:r>
              <w:rPr>
                <w:rFonts w:hint="eastAsia" w:ascii="Arial" w:hAnsi="Arial" w:eastAsia="楷体" w:cs="Arial"/>
                <w:b/>
                <w:bCs/>
                <w:i/>
                <w:color w:val="000000"/>
                <w:szCs w:val="24"/>
              </w:rPr>
              <w:t xml:space="preserve">图表 </w:t>
            </w:r>
            <w:r>
              <w:rPr>
                <w:rFonts w:ascii="Arial" w:hAnsi="Arial" w:eastAsia="楷体" w:cs="Arial"/>
                <w:b/>
                <w:bCs/>
                <w:i/>
                <w:color w:val="000000"/>
                <w:szCs w:val="24"/>
              </w:rPr>
              <w:fldChar w:fldCharType="begin"/>
            </w:r>
            <w:r>
              <w:rPr>
                <w:rFonts w:ascii="Arial" w:hAnsi="Arial" w:eastAsia="楷体" w:cs="Arial"/>
                <w:b/>
                <w:bCs/>
                <w:i/>
                <w:color w:val="000000"/>
                <w:szCs w:val="24"/>
              </w:rPr>
              <w:instrText xml:space="preserve"> </w:instrText>
            </w:r>
            <w:r>
              <w:rPr>
                <w:rFonts w:hint="eastAsia" w:ascii="Arial" w:hAnsi="Arial" w:eastAsia="楷体" w:cs="Arial"/>
                <w:b/>
                <w:bCs/>
                <w:i/>
                <w:color w:val="000000"/>
                <w:szCs w:val="24"/>
              </w:rPr>
              <w:instrText xml:space="preserve">SEQ 图表 \* ARABIC</w:instrText>
            </w:r>
            <w:r>
              <w:rPr>
                <w:rFonts w:ascii="Arial" w:hAnsi="Arial" w:eastAsia="楷体" w:cs="Arial"/>
                <w:b/>
                <w:bCs/>
                <w:i/>
                <w:color w:val="000000"/>
                <w:szCs w:val="24"/>
              </w:rPr>
              <w:instrText xml:space="preserve"> </w:instrText>
            </w:r>
            <w:r>
              <w:rPr>
                <w:rFonts w:ascii="Arial" w:hAnsi="Arial" w:eastAsia="楷体" w:cs="Arial"/>
                <w:b/>
                <w:bCs/>
                <w:i/>
                <w:color w:val="000000"/>
                <w:szCs w:val="24"/>
              </w:rPr>
              <w:fldChar w:fldCharType="separate"/>
            </w:r>
            <w:r>
              <w:rPr>
                <w:rFonts w:hint="eastAsia" w:ascii="Arial" w:hAnsi="Arial" w:eastAsia="楷体" w:cs="Arial"/>
                <w:b/>
                <w:bCs/>
                <w:i/>
                <w:color w:val="000000"/>
                <w:szCs w:val="24"/>
              </w:rPr>
              <w:t>3</w:t>
            </w:r>
            <w:r>
              <w:rPr>
                <w:rFonts w:ascii="Arial" w:hAnsi="Arial" w:eastAsia="楷体" w:cs="Arial"/>
                <w:b/>
                <w:bCs/>
                <w:i/>
                <w:color w:val="000000"/>
                <w:szCs w:val="24"/>
              </w:rPr>
              <w:fldChar w:fldCharType="end"/>
            </w:r>
            <w:bookmarkStart w:id="18" w:name="_Toc2060027124"/>
            <w:r>
              <w:rPr>
                <w:rFonts w:ascii="Arial" w:hAnsi="Arial" w:eastAsia="楷体" w:cs="Arial"/>
                <w:b/>
                <w:bCs/>
                <w:i/>
                <w:color w:val="000000"/>
                <w:szCs w:val="24"/>
              </w:rPr>
              <w:t xml:space="preserve"> 公司股权结构体系</w:t>
            </w:r>
            <w:bookmarkEnd w:id="18"/>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561" w:hRule="atLeast"/>
          <w:jc w:val="center"/>
        </w:trPr>
        <w:tc>
          <w:tcPr>
            <w:tcW w:w="11082" w:type="dxa"/>
            <w:tcBorders>
              <w:top w:val="single" w:color="C00000" w:sz="8" w:space="0"/>
            </w:tcBorders>
            <w:noWrap w:val="0"/>
            <w:vAlign w:val="top"/>
          </w:tcPr>
          <w:p>
            <w:pPr>
              <w:jc w:val="center"/>
              <w:rPr>
                <w:rFonts w:eastAsia="楷体" w:cs="Arial"/>
                <w:color w:val="000000"/>
              </w:rPr>
            </w:pPr>
            <w:r>
              <w:drawing>
                <wp:inline distT="0" distB="0" distL="114300" distR="114300">
                  <wp:extent cx="7118350" cy="4285615"/>
                  <wp:effectExtent l="0" t="0" r="19050" b="6985"/>
                  <wp:docPr id="5" name="Picture 46" descr="/Users/leon/Desktop/2020.11实习/博通集成/博通集成股权架构.jpg博通集成股权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Users/leon/Desktop/2020.11实习/博通集成/博通集成股权架构.jpg博通集成股权架构"/>
                          <pic:cNvPicPr>
                            <a:picLocks noChangeAspect="1"/>
                          </pic:cNvPicPr>
                        </pic:nvPicPr>
                        <pic:blipFill>
                          <a:blip r:embed="rId12"/>
                          <a:stretch>
                            <a:fillRect/>
                          </a:stretch>
                        </pic:blipFill>
                        <pic:spPr>
                          <a:xfrm>
                            <a:off x="0" y="0"/>
                            <a:ext cx="7118350" cy="42856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33" w:hRule="atLeast"/>
          <w:jc w:val="center"/>
        </w:trPr>
        <w:tc>
          <w:tcPr>
            <w:tcW w:w="11082" w:type="dxa"/>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来源：公司资料整理，中泰证券研究所</w:t>
            </w:r>
          </w:p>
        </w:tc>
      </w:tr>
    </w:tbl>
    <w:p>
      <w:pPr>
        <w:rPr>
          <w:rFonts w:hint="default" w:eastAsia="楷体" w:cs="Arial"/>
          <w:color w:val="000000"/>
          <w:szCs w:val="21"/>
        </w:rPr>
      </w:pPr>
    </w:p>
    <w:p>
      <w:pPr>
        <w:pStyle w:val="35"/>
        <w:rPr>
          <w:rFonts w:hint="default" w:eastAsia="楷体" w:cs="Arial"/>
          <w:color w:val="000000"/>
          <w:szCs w:val="21"/>
        </w:rPr>
      </w:pPr>
      <w:bookmarkStart w:id="19" w:name="_Toc247628377"/>
      <w:r>
        <w:rPr>
          <w:rFonts w:hint="default" w:eastAsia="楷体" w:cs="Arial"/>
          <w:color w:val="000000"/>
        </w:rPr>
        <w:t>财务分析：ETC芯片营收下降，Wi-Fi、TWS芯片有望多点开花</w:t>
      </w:r>
      <w:bookmarkEnd w:id="19"/>
    </w:p>
    <w:p>
      <w:pPr>
        <w:ind w:left="3081" w:leftChars="1467" w:firstLine="601" w:firstLineChars="286"/>
        <w:rPr>
          <w:rFonts w:hint="default" w:eastAsia="楷体" w:cs="Arial"/>
          <w:b/>
          <w:bCs/>
          <w:color w:val="000000"/>
          <w:szCs w:val="21"/>
        </w:rPr>
      </w:pPr>
      <w:r>
        <w:rPr>
          <w:rFonts w:hint="default" w:eastAsia="楷体" w:cs="Arial"/>
          <w:b/>
          <w:bCs/>
          <w:color w:val="000000"/>
          <w:szCs w:val="21"/>
        </w:rPr>
        <w:t>公司2017-2019年所实现的营业收入分别为5.6亿元、5.4亿元、11.7亿元，</w:t>
      </w:r>
      <w:r>
        <w:rPr>
          <w:rFonts w:hint="default" w:eastAsia="楷体" w:cs="Arial"/>
          <w:color w:val="000000"/>
          <w:szCs w:val="21"/>
        </w:rPr>
        <w:t>2018年营收下滑主要是蓝牙数传和无线通用产品销售有所减少，因此前销售功能型手机的数传芯片需求减少和手机自拍遥控杆热度降低，导致营业收入总额总体略有下降。</w:t>
      </w:r>
      <w:r>
        <w:rPr>
          <w:rFonts w:hint="default" w:eastAsia="楷体" w:cs="Arial"/>
          <w:b/>
          <w:bCs/>
          <w:color w:val="000000"/>
          <w:szCs w:val="21"/>
        </w:rPr>
        <w:t>而根据公司2019年度年报披露，公司2019年全年营收11.75亿元，同比增长115%。</w:t>
      </w:r>
      <w:r>
        <w:rPr>
          <w:rFonts w:hint="default" w:eastAsia="楷体" w:cs="Arial"/>
          <w:color w:val="000000"/>
          <w:szCs w:val="21"/>
        </w:rPr>
        <w:t>其中无线数传类营收为8.73亿元，占比74.34%，同比增长292.72%；无线音频类营收为3.01亿元，占比25.66%，基本维持稳定，下滑6.9%。主要原因是2019年ETC推广渗透得到全国范围内的大力支持，要求大幅提升汽车ETC安装率水平，</w:t>
      </w:r>
      <w:r>
        <w:rPr>
          <w:rFonts w:hint="default" w:eastAsia="楷体" w:cs="Arial"/>
          <w:b/>
          <w:bCs/>
          <w:color w:val="000000"/>
          <w:szCs w:val="21"/>
        </w:rPr>
        <w:t>随着ETC推广力度的加大，公司积累多年的技术和产品优势快速渗透，ETC芯片出货量大幅增长。</w:t>
      </w:r>
      <w:r>
        <w:rPr>
          <w:rFonts w:hint="default" w:eastAsia="楷体" w:cs="Arial"/>
          <w:color w:val="000000"/>
          <w:szCs w:val="21"/>
        </w:rPr>
        <w:t>根据2020年三季度数据，公司营业收入5.59亿元，同比下滑28.33%，主要原因是</w:t>
      </w:r>
      <w:r>
        <w:rPr>
          <w:rFonts w:hint="default" w:eastAsia="楷体" w:cs="Arial"/>
          <w:b/>
          <w:bCs/>
          <w:color w:val="000000"/>
          <w:szCs w:val="21"/>
        </w:rPr>
        <w:t>ETC后装配置基本完成渗透，存量市场饱和，市场需求减缓。</w:t>
      </w:r>
    </w:p>
    <w:p>
      <w:pPr>
        <w:ind w:left="3081" w:leftChars="1467" w:firstLine="600" w:firstLineChars="286"/>
        <w:rPr>
          <w:rFonts w:hint="default" w:eastAsia="楷体" w:cs="Arial"/>
          <w:color w:val="000000"/>
          <w:szCs w:val="21"/>
        </w:rPr>
      </w:pPr>
    </w:p>
    <w:p>
      <w:pPr>
        <w:ind w:left="3081" w:leftChars="1467" w:firstLine="600" w:firstLineChars="286"/>
        <w:rPr>
          <w:rFonts w:hint="default" w:eastAsia="楷体" w:cs="Arial"/>
          <w:b/>
          <w:bCs/>
          <w:color w:val="000000"/>
          <w:szCs w:val="21"/>
          <w:u w:val="single"/>
        </w:rPr>
      </w:pPr>
      <w:r>
        <w:rPr>
          <w:rFonts w:hint="default" w:eastAsia="楷体" w:cs="Arial"/>
          <w:color w:val="000000"/>
          <w:szCs w:val="21"/>
        </w:rPr>
        <w:t>公司深耕无线类芯片多年，品类覆盖无线通讯产品平台，支持丰富的无线协议和通讯标准，并为智能交通和物联网等多种应用场景提供完整的无线通讯解决方案。ETC芯片所获得的巨大成功验证公司进行品类研发时的预判能力。</w:t>
      </w:r>
      <w:r>
        <w:rPr>
          <w:rFonts w:hint="default" w:eastAsia="楷体" w:cs="Arial"/>
          <w:b/>
          <w:bCs/>
          <w:color w:val="000000"/>
          <w:szCs w:val="21"/>
          <w:u w:val="single"/>
        </w:rPr>
        <w:t>若剔除因下游自身需求放缓的ETC业务，公司蓝牙芯片及WIFI芯片仍保持稳定成长，同期增加销售收入约1.3亿元。</w:t>
      </w: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r>
        <w:rPr>
          <w:rFonts w:hint="default" w:eastAsia="楷体" w:cs="Arial"/>
          <w:b/>
          <w:bCs/>
          <w:color w:val="000000"/>
          <w:szCs w:val="21"/>
          <w:u w:val="single"/>
        </w:rPr>
        <w:t>未来公司将以BK3288为代表的TWS 总成芯片和BK7231系列为代表的Wi-Fi芯片形成新的双轮驱动，业务齐头并进，围绕无线通讯与无线音频，打造平台型企业布局。</w:t>
      </w:r>
    </w:p>
    <w:p>
      <w:pPr>
        <w:pStyle w:val="34"/>
        <w:widowControl/>
        <w:ind w:firstLine="0" w:firstLineChars="0"/>
        <w:jc w:val="left"/>
        <w:rPr>
          <w:rFonts w:hint="eastAsia" w:eastAsia="楷体" w:cs="Arial"/>
          <w:b/>
          <w:color w:val="000000"/>
          <w:kern w:val="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6</w:t>
            </w:r>
            <w:r>
              <w:rPr>
                <w:rFonts w:eastAsia="楷体" w:cs="Arial"/>
                <w:b/>
                <w:bCs/>
                <w:i/>
                <w:color w:val="000000"/>
                <w:sz w:val="20"/>
              </w:rPr>
              <w:fldChar w:fldCharType="end"/>
            </w:r>
            <w:bookmarkStart w:id="20" w:name="_Toc871637959"/>
            <w:r>
              <w:rPr>
                <w:rFonts w:eastAsia="楷体" w:cs="Arial"/>
                <w:b/>
                <w:bCs/>
                <w:i/>
                <w:color w:val="000000"/>
                <w:sz w:val="20"/>
              </w:rPr>
              <w:t xml:space="preserve"> </w:t>
            </w:r>
            <w:r>
              <w:rPr>
                <w:rFonts w:hint="default" w:eastAsia="楷体" w:cs="Arial"/>
                <w:b/>
                <w:bCs/>
                <w:i/>
                <w:color w:val="auto"/>
                <w:sz w:val="20"/>
              </w:rPr>
              <w:t>公司2017-2020Q3营收情况</w:t>
            </w:r>
            <w:bookmarkEnd w:id="20"/>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7</w:t>
            </w:r>
            <w:r>
              <w:rPr>
                <w:rFonts w:eastAsia="楷体" w:cs="Arial"/>
                <w:b/>
                <w:bCs/>
                <w:i/>
                <w:color w:val="000000"/>
              </w:rPr>
              <w:fldChar w:fldCharType="end"/>
            </w:r>
            <w:bookmarkStart w:id="21" w:name="_Toc404765928"/>
            <w:r>
              <w:rPr>
                <w:rFonts w:eastAsia="楷体" w:cs="Arial"/>
                <w:b/>
                <w:bCs/>
                <w:i/>
                <w:color w:val="000000"/>
              </w:rPr>
              <w:t xml:space="preserve"> 公司2019年产品营收占比</w:t>
            </w:r>
            <w:bookmarkEnd w:id="21"/>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center"/>
              <w:rPr>
                <w:rFonts w:eastAsia="楷体" w:cs="Arial"/>
                <w:color w:val="000000"/>
              </w:rPr>
            </w:pPr>
            <w:r>
              <w:drawing>
                <wp:inline distT="0" distB="0" distL="114300" distR="114300">
                  <wp:extent cx="3259455" cy="2306955"/>
                  <wp:effectExtent l="0" t="0" r="17145" b="4445"/>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pic:cNvPicPr>
                            <a:picLocks noChangeAspect="1"/>
                          </pic:cNvPicPr>
                        </pic:nvPicPr>
                        <pic:blipFill>
                          <a:blip r:embed="rId13"/>
                          <a:stretch>
                            <a:fillRect/>
                          </a:stretch>
                        </pic:blipFill>
                        <pic:spPr>
                          <a:xfrm>
                            <a:off x="0" y="0"/>
                            <a:ext cx="3259455" cy="2306955"/>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3155315" cy="2224405"/>
                  <wp:effectExtent l="0" t="0" r="19685" b="10795"/>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pic:cNvPicPr>
                            <a:picLocks noChangeAspect="1"/>
                          </pic:cNvPicPr>
                        </pic:nvPicPr>
                        <pic:blipFill>
                          <a:blip r:embed="rId14"/>
                          <a:stretch>
                            <a:fillRect/>
                          </a:stretch>
                        </pic:blipFill>
                        <pic:spPr>
                          <a:xfrm>
                            <a:off x="0" y="0"/>
                            <a:ext cx="3155315" cy="222440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公司公告整理</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公司公告整理</w:t>
            </w:r>
            <w:r>
              <w:rPr>
                <w:rFonts w:eastAsia="楷体" w:cs="Arial"/>
                <w:color w:val="000000"/>
                <w:sz w:val="15"/>
              </w:rPr>
              <w:t>，中泰证券研究所</w:t>
            </w:r>
          </w:p>
        </w:tc>
      </w:tr>
    </w:tbl>
    <w:p>
      <w:pPr>
        <w:pStyle w:val="35"/>
        <w:ind w:left="0" w:leftChars="0" w:firstLine="0" w:firstLineChars="0"/>
        <w:rPr>
          <w:rFonts w:eastAsia="楷体" w:cs="Arial"/>
          <w:color w:val="000000"/>
        </w:rPr>
      </w:pPr>
    </w:p>
    <w:p>
      <w:pPr>
        <w:pStyle w:val="35"/>
        <w:ind w:firstLine="103" w:firstLineChars="49"/>
        <w:rPr>
          <w:rFonts w:eastAsia="楷体" w:cs="Arial"/>
          <w:color w:val="000000"/>
        </w:rPr>
      </w:pPr>
      <w:bookmarkStart w:id="22" w:name="_Toc66824353"/>
      <w:r>
        <w:rPr>
          <w:rFonts w:hint="default" w:eastAsia="楷体" w:cs="Arial"/>
          <w:color w:val="000000"/>
        </w:rPr>
        <w:t>从注重盈利基数到</w:t>
      </w:r>
      <w:r>
        <w:rPr>
          <w:rFonts w:hint="eastAsia" w:eastAsia="楷体" w:cs="Arial"/>
          <w:color w:val="000000"/>
        </w:rPr>
        <w:t>盈利质量，</w:t>
      </w:r>
      <w:r>
        <w:rPr>
          <w:rFonts w:hint="default" w:eastAsia="楷体" w:cs="Arial"/>
          <w:color w:val="000000"/>
        </w:rPr>
        <w:t>从爆款单品走向平台型</w:t>
      </w:r>
      <w:r>
        <w:rPr>
          <w:rFonts w:hint="eastAsia" w:eastAsia="楷体" w:cs="Arial"/>
          <w:color w:val="000000"/>
        </w:rPr>
        <w:t>发展</w:t>
      </w:r>
      <w:bookmarkEnd w:id="22"/>
    </w:p>
    <w:p>
      <w:pPr>
        <w:ind w:left="3081" w:leftChars="1467" w:firstLine="601" w:firstLineChars="286"/>
        <w:rPr>
          <w:rFonts w:hint="default" w:eastAsia="楷体" w:cs="Arial"/>
          <w:b/>
          <w:bCs/>
          <w:color w:val="000000"/>
          <w:szCs w:val="21"/>
        </w:rPr>
      </w:pPr>
    </w:p>
    <w:p>
      <w:pPr>
        <w:ind w:left="3081" w:leftChars="1467" w:firstLine="601" w:firstLineChars="286"/>
        <w:rPr>
          <w:rFonts w:hint="default" w:eastAsia="楷体" w:cs="Arial"/>
          <w:color w:val="000000"/>
          <w:szCs w:val="21"/>
        </w:rPr>
      </w:pPr>
      <w:r>
        <w:rPr>
          <w:rFonts w:hint="default" w:eastAsia="楷体" w:cs="Arial"/>
          <w:b/>
          <w:bCs/>
          <w:color w:val="000000"/>
          <w:szCs w:val="21"/>
        </w:rPr>
        <w:t>根据公司最新2020Q3季度财务报告，公司2017-2020前三季度实现归属于上市公司股东净利润分别为0.87、1.24、2.52、0.58亿元；</w:t>
      </w:r>
      <w:r>
        <w:rPr>
          <w:rFonts w:hint="default" w:eastAsia="楷体" w:cs="Arial"/>
          <w:color w:val="000000"/>
          <w:szCs w:val="21"/>
        </w:rPr>
        <w:t>公司2020年上半年业务虽受到疫情影响，但公司持续推广新产品新应用，不断推进产品创新、技术升级，蓝牙、Wi-Fi等芯片产品的销售也保持增长，产品布局不断得以进一步完善。相关营业收入持续增长，归母净利润基本维持稳定小幅下滑。而公司2020三季度利润同比下滑主要由于去年三季度国家对ETC进行政策大力扶持，车辆后装ETC渗透率迅速提高，公司ETC芯片出货量大幅提升的高利润基数所致，也与公司2020Q3根据终端市场需求订定具有竞争力的价格策略相关。</w:t>
      </w:r>
    </w:p>
    <w:p>
      <w:pPr>
        <w:ind w:left="3081" w:leftChars="1467" w:firstLine="600" w:firstLineChars="286"/>
        <w:rPr>
          <w:rFonts w:hint="default" w:eastAsia="楷体" w:cs="Arial"/>
          <w:color w:val="000000"/>
          <w:szCs w:val="21"/>
        </w:rPr>
      </w:pPr>
    </w:p>
    <w:p>
      <w:pPr>
        <w:ind w:left="3081" w:leftChars="1467" w:firstLine="601" w:firstLineChars="286"/>
        <w:rPr>
          <w:rFonts w:hint="default" w:eastAsia="楷体" w:cs="Arial"/>
          <w:b/>
          <w:bCs/>
          <w:color w:val="000000"/>
          <w:szCs w:val="21"/>
        </w:rPr>
      </w:pPr>
      <w:r>
        <w:rPr>
          <w:rFonts w:hint="default" w:eastAsia="楷体" w:cs="Arial"/>
          <w:b/>
          <w:bCs/>
          <w:color w:val="000000"/>
          <w:szCs w:val="21"/>
        </w:rPr>
        <w:t>2020年Q3公司毛利率为27.70%，与2019年相比有所下滑。公司2017-2019年毛利率分别为34.03%，39.30%，36.25%。</w:t>
      </w:r>
      <w:r>
        <w:rPr>
          <w:rFonts w:hint="default" w:eastAsia="楷体" w:cs="Arial"/>
          <w:color w:val="000000"/>
          <w:szCs w:val="21"/>
        </w:rPr>
        <w:t>2019年公司虽然无线音频类产品的出货量与去年相比保持增长，但因市场竞争与定价策略等因素，单价下降，相应销售收入略有下降；据此无线音频类产品毛利率有所下降、公司整体毛利率下降。截至2020Q3，公司毛利率相比2019年出现一定幅度下滑，主要系ETC产品需求有所下滑，且因为市场竞争及定价策略，为开拓公司新一代TWS芯片产品市场，营业成本增加幅度高于营业收入，毛利率略有减少，未来随着新产品销售市场的推广及成长，可望恢复毛利率应有水准。</w:t>
      </w:r>
    </w:p>
    <w:p>
      <w:pPr>
        <w:rPr>
          <w:rFonts w:hint="eastAsia" w:eastAsia="楷体" w:cs="Arial"/>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6</w:t>
            </w:r>
            <w:r>
              <w:rPr>
                <w:rFonts w:eastAsia="楷体" w:cs="Arial"/>
                <w:b/>
                <w:bCs/>
                <w:i/>
                <w:color w:val="000000"/>
                <w:sz w:val="20"/>
              </w:rPr>
              <w:fldChar w:fldCharType="end"/>
            </w:r>
            <w:bookmarkStart w:id="23" w:name="_Toc1900171014"/>
            <w:r>
              <w:rPr>
                <w:rFonts w:eastAsia="楷体" w:cs="Arial"/>
                <w:b/>
                <w:bCs/>
                <w:i/>
                <w:color w:val="000000"/>
                <w:sz w:val="20"/>
              </w:rPr>
              <w:t xml:space="preserve"> 博通集成</w:t>
            </w:r>
            <w:r>
              <w:rPr>
                <w:rFonts w:hint="default" w:eastAsia="楷体" w:cs="Arial"/>
                <w:b/>
                <w:bCs/>
                <w:i/>
                <w:color w:val="auto"/>
                <w:sz w:val="20"/>
              </w:rPr>
              <w:t>净利润情况</w:t>
            </w:r>
            <w:bookmarkEnd w:id="23"/>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7</w:t>
            </w:r>
            <w:r>
              <w:rPr>
                <w:rFonts w:eastAsia="楷体" w:cs="Arial"/>
                <w:b/>
                <w:bCs/>
                <w:i/>
                <w:color w:val="000000"/>
              </w:rPr>
              <w:fldChar w:fldCharType="end"/>
            </w:r>
            <w:bookmarkStart w:id="24" w:name="_Toc591239562"/>
            <w:r>
              <w:rPr>
                <w:rFonts w:eastAsia="楷体" w:cs="Arial"/>
                <w:b/>
                <w:bCs/>
                <w:i/>
                <w:color w:val="000000"/>
              </w:rPr>
              <w:t xml:space="preserve"> 博通集成近年毛利率、净利率情况</w:t>
            </w:r>
            <w:bookmarkEnd w:id="24"/>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center"/>
              <w:rPr>
                <w:rFonts w:eastAsia="楷体" w:cs="Arial"/>
                <w:color w:val="000000"/>
              </w:rPr>
            </w:pPr>
            <w:r>
              <w:drawing>
                <wp:inline distT="0" distB="0" distL="114300" distR="114300">
                  <wp:extent cx="3260725" cy="2218055"/>
                  <wp:effectExtent l="0" t="0" r="15875" b="17145"/>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pic:cNvPicPr>
                        </pic:nvPicPr>
                        <pic:blipFill>
                          <a:blip r:embed="rId15"/>
                          <a:stretch>
                            <a:fillRect/>
                          </a:stretch>
                        </pic:blipFill>
                        <pic:spPr>
                          <a:xfrm>
                            <a:off x="0" y="0"/>
                            <a:ext cx="3260725" cy="2218055"/>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3190240" cy="2286000"/>
                  <wp:effectExtent l="0" t="0" r="10160" b="0"/>
                  <wp:docPr id="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pic:cNvPicPr>
                            <a:picLocks noChangeAspect="1"/>
                          </pic:cNvPicPr>
                        </pic:nvPicPr>
                        <pic:blipFill>
                          <a:blip r:embed="rId16"/>
                          <a:stretch>
                            <a:fillRect/>
                          </a:stretch>
                        </pic:blipFill>
                        <pic:spPr>
                          <a:xfrm>
                            <a:off x="0" y="0"/>
                            <a:ext cx="3190240" cy="22860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公司公告整理</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公司公告整理</w:t>
            </w:r>
            <w:r>
              <w:rPr>
                <w:rFonts w:eastAsia="楷体" w:cs="Arial"/>
                <w:color w:val="000000"/>
                <w:sz w:val="15"/>
              </w:rPr>
              <w:t>，中泰证券研究所</w:t>
            </w:r>
          </w:p>
        </w:tc>
      </w:tr>
    </w:tbl>
    <w:p>
      <w:pPr>
        <w:pStyle w:val="35"/>
        <w:ind w:firstLine="103" w:firstLineChars="49"/>
        <w:rPr>
          <w:rFonts w:hint="default" w:eastAsia="楷体" w:cs="Arial"/>
          <w:b/>
          <w:bCs/>
          <w:color w:val="000000"/>
          <w:szCs w:val="21"/>
        </w:rPr>
      </w:pPr>
      <w:bookmarkStart w:id="25" w:name="_Toc2130437137"/>
      <w:r>
        <w:rPr>
          <w:rFonts w:hint="default" w:eastAsia="楷体" w:cs="Arial"/>
          <w:color w:val="000000"/>
        </w:rPr>
        <w:t>研发情况：研发团队竞争力强，研发费用稳步提升</w:t>
      </w:r>
      <w:bookmarkEnd w:id="25"/>
    </w:p>
    <w:p>
      <w:pPr>
        <w:ind w:left="3081" w:leftChars="1467" w:firstLine="601" w:firstLineChars="286"/>
        <w:rPr>
          <w:rFonts w:hint="default" w:eastAsia="楷体" w:cs="Arial"/>
          <w:color w:val="000000"/>
          <w:szCs w:val="21"/>
        </w:rPr>
      </w:pPr>
      <w:r>
        <w:rPr>
          <w:rFonts w:hint="default" w:eastAsia="楷体" w:cs="Arial"/>
          <w:b/>
          <w:bCs/>
          <w:color w:val="000000"/>
          <w:szCs w:val="21"/>
        </w:rPr>
        <w:t>公司2017-2020前三季度的研发费用分别为6910万、7768万、9905万、6939万元。公司自成立以来一直重视研发投入和技术创新，增强研发实力，布局未来高速增长的市场。公司常年研发费用金额占比营业收入高，分别为12.2%、14.2%、8.43%、12.41%。</w:t>
      </w:r>
      <w:r>
        <w:rPr>
          <w:rFonts w:hint="default" w:eastAsia="楷体" w:cs="Arial"/>
          <w:color w:val="000000"/>
          <w:szCs w:val="21"/>
        </w:rPr>
        <w:t>公司坚持以市场为导向安排研发计划，保障了创新项目的实用性，深度布局以智能家居、TWS耳机下游应用为终端的无线通讯、音频芯片，有效提高了公司研发投入的转化率，不断提升公司的科技创新能力。</w:t>
      </w:r>
    </w:p>
    <w:p>
      <w:pPr>
        <w:ind w:left="3081" w:leftChars="1467" w:firstLine="601" w:firstLineChars="286"/>
        <w:rPr>
          <w:rFonts w:hint="default" w:eastAsia="楷体" w:cs="Arial"/>
          <w:b/>
          <w:bCs/>
          <w:color w:val="000000"/>
          <w:szCs w:val="21"/>
        </w:rPr>
      </w:pPr>
    </w:p>
    <w:p>
      <w:pPr>
        <w:ind w:left="3081" w:leftChars="1467" w:firstLine="601" w:firstLineChars="286"/>
        <w:rPr>
          <w:rFonts w:hint="default" w:eastAsia="楷体" w:cs="Arial"/>
          <w:b/>
          <w:bCs/>
          <w:color w:val="000000"/>
          <w:szCs w:val="21"/>
        </w:rPr>
      </w:pPr>
      <w:r>
        <w:rPr>
          <w:rFonts w:hint="default" w:eastAsia="楷体" w:cs="Arial"/>
          <w:b/>
          <w:bCs/>
          <w:color w:val="000000"/>
          <w:szCs w:val="21"/>
        </w:rPr>
        <w:t>公司注重人才培养，尊重技术：</w:t>
      </w:r>
      <w:r>
        <w:rPr>
          <w:rFonts w:hint="default" w:eastAsia="楷体" w:cs="Arial"/>
          <w:b w:val="0"/>
          <w:bCs w:val="0"/>
          <w:color w:val="000000"/>
          <w:szCs w:val="21"/>
        </w:rPr>
        <w:t>公司创始人及核心团队主要来自于国外顶尖高校和科研机构，如耶鲁大学、UCLA、京都大学、AT&amp;T贝尔实验室等，具有深厚的学术功底和丰富的无线通讯研发经验。</w:t>
      </w:r>
      <w:r>
        <w:rPr>
          <w:rFonts w:hint="default" w:eastAsia="楷体" w:cs="Arial"/>
          <w:b/>
          <w:bCs/>
          <w:color w:val="000000"/>
          <w:szCs w:val="21"/>
        </w:rPr>
        <w:t>公司CEO Pengfei Zhang为UCLA微电子博士后，是RF-CMOS技术最初从学院研究到工业应用产业化的亲历者，在美国学习和工作期间，积累了丰富的设计和管理经验。</w:t>
      </w:r>
    </w:p>
    <w:p>
      <w:pPr>
        <w:ind w:left="3081" w:leftChars="1467" w:firstLine="601" w:firstLineChars="286"/>
        <w:rPr>
          <w:rFonts w:hint="default" w:eastAsia="楷体" w:cs="Arial"/>
          <w:b/>
          <w:bCs/>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截至2019年12月31日，全公司拥有员工155人，其中125人为研发人员，占比高达80.65%。截至2020年6月30日，公司拥有中美专利超100项，涵盖了无线射频领域能耗、降噪、滤波、唤醒等关键领域。</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rPr>
          <w:rFonts w:hint="default" w:eastAsia="楷体" w:cs="Arial"/>
          <w:color w:val="000000"/>
          <w:szCs w:val="21"/>
        </w:rPr>
      </w:pPr>
    </w:p>
    <w:tbl>
      <w:tblPr>
        <w:tblStyle w:val="22"/>
        <w:tblpPr w:leftFromText="180" w:rightFromText="180" w:vertAnchor="text" w:tblpX="1965" w:tblpY="1"/>
        <w:tblOverlap w:val="never"/>
        <w:tblW w:w="8658"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8658"/>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8658"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10</w:t>
            </w:r>
            <w:r>
              <w:rPr>
                <w:rFonts w:eastAsia="楷体" w:cs="Arial"/>
                <w:b/>
                <w:bCs/>
                <w:i/>
                <w:color w:val="000000"/>
              </w:rPr>
              <w:fldChar w:fldCharType="end"/>
            </w:r>
            <w:bookmarkStart w:id="26" w:name="_Toc533036370"/>
            <w:r>
              <w:rPr>
                <w:rFonts w:eastAsia="楷体" w:cs="Arial"/>
                <w:b/>
                <w:bCs/>
                <w:i/>
                <w:color w:val="000000"/>
              </w:rPr>
              <w:t xml:space="preserve"> 博通集成近年研发费用情况</w:t>
            </w:r>
            <w:bookmarkEnd w:id="26"/>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8658"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4573905" cy="3056890"/>
                  <wp:effectExtent l="0" t="0" r="23495" b="16510"/>
                  <wp:docPr id="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pic:cNvPicPr>
                            <a:picLocks noChangeAspect="1"/>
                          </pic:cNvPicPr>
                        </pic:nvPicPr>
                        <pic:blipFill>
                          <a:blip r:embed="rId17"/>
                          <a:stretch>
                            <a:fillRect/>
                          </a:stretch>
                        </pic:blipFill>
                        <pic:spPr>
                          <a:xfrm>
                            <a:off x="0" y="0"/>
                            <a:ext cx="4573905" cy="305689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8658"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w:t>
            </w:r>
            <w:r>
              <w:rPr>
                <w:rFonts w:eastAsia="楷体" w:cs="Arial"/>
                <w:color w:val="000000"/>
                <w:kern w:val="2"/>
                <w:sz w:val="15"/>
                <w:szCs w:val="24"/>
                <w:lang w:eastAsia="zh-CN" w:bidi="ar-SA"/>
              </w:rPr>
              <w:t>公司公告整理</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spacing w:after="156" w:afterLines="50"/>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spacing w:after="156" w:afterLines="50"/>
        <w:ind w:left="3685" w:leftChars="1755"/>
        <w:rPr>
          <w:rFonts w:eastAsia="楷体" w:cs="Arial"/>
          <w:bCs/>
          <w:color w:val="000000"/>
          <w:szCs w:val="21"/>
        </w:rPr>
      </w:pPr>
    </w:p>
    <w:p>
      <w:pPr>
        <w:tabs>
          <w:tab w:val="right" w:leader="dot" w:pos="12424"/>
        </w:tabs>
        <w:ind w:left="3058" w:leftChars="1300" w:hanging="328" w:hangingChars="117"/>
        <w:jc w:val="left"/>
        <w:outlineLvl w:val="0"/>
        <w:rPr>
          <w:rFonts w:hint="default" w:eastAsia="楷体" w:cs="Arial"/>
          <w:b/>
          <w:bCs/>
          <w:color w:val="000000"/>
          <w:sz w:val="28"/>
          <w:szCs w:val="32"/>
        </w:rPr>
      </w:pPr>
      <w:bookmarkStart w:id="27" w:name="_Toc1262115128"/>
      <w:r>
        <w:rPr>
          <w:rFonts w:hint="default" w:eastAsia="楷体" w:cs="Arial"/>
          <w:b/>
          <w:bCs/>
          <w:color w:val="000000"/>
          <w:sz w:val="28"/>
          <w:szCs w:val="32"/>
        </w:rPr>
        <w:t>TWS，消费电子中的黄金赛道</w:t>
      </w:r>
      <w:bookmarkEnd w:id="27"/>
    </w:p>
    <w:p>
      <w:pPr>
        <w:pStyle w:val="35"/>
        <w:ind w:firstLine="103" w:firstLineChars="49"/>
        <w:rPr>
          <w:rFonts w:hint="default" w:eastAsia="楷体" w:cs="Arial"/>
          <w:b/>
          <w:bCs/>
          <w:color w:val="000000"/>
          <w:sz w:val="28"/>
          <w:szCs w:val="32"/>
        </w:rPr>
      </w:pPr>
      <w:bookmarkStart w:id="28" w:name="_Toc1672974877"/>
      <w:r>
        <w:rPr>
          <w:rFonts w:hint="default" w:eastAsia="楷体" w:cs="Arial"/>
          <w:color w:val="000000"/>
        </w:rPr>
        <w:t>疫情不改高增速，TWS耳机迎来黄金发展期</w:t>
      </w:r>
      <w:bookmarkEnd w:id="28"/>
    </w:p>
    <w:p>
      <w:pPr>
        <w:ind w:left="3081" w:leftChars="1467" w:firstLine="600" w:firstLineChars="286"/>
        <w:rPr>
          <w:rFonts w:hint="eastAsia" w:eastAsia="楷体" w:cs="Arial"/>
          <w:color w:val="000000"/>
          <w:szCs w:val="21"/>
        </w:rPr>
      </w:pPr>
      <w:r>
        <w:rPr>
          <w:rFonts w:hint="eastAsia" w:eastAsia="楷体" w:cs="Arial"/>
          <w:color w:val="000000"/>
          <w:szCs w:val="21"/>
        </w:rPr>
        <w:t>TWS，即真正无线立体声，真蓝牙无线立体声耳机起步于从2016年苹果公司发布的Airpods第一代，成为了近五年消费电子中增长亮眼的冉冉新星。根据旭日大数据的统计，全球TWS耳机出货量从16年起步，于2019年超过了3亿副（品牌端+白牌端），品牌端同比增速2017-2019年连续三年超过100%。2020年虽收到疫情影响，但依旧不改高增长格局，预测全球出货量可达4-4.5亿副，且2021年有望出货量全球出货量超过6亿副。</w:t>
      </w:r>
    </w:p>
    <w:p>
      <w:pPr>
        <w:ind w:left="3081" w:leftChars="1467" w:firstLine="600" w:firstLineChars="286"/>
        <w:rPr>
          <w:rFonts w:hint="eastAsia" w:eastAsia="楷体" w:cs="Arial"/>
          <w:color w:val="000000"/>
          <w:szCs w:val="21"/>
        </w:rPr>
      </w:pPr>
    </w:p>
    <w:p>
      <w:pPr>
        <w:ind w:left="3081" w:leftChars="1467" w:firstLine="600" w:firstLineChars="286"/>
        <w:rPr>
          <w:rFonts w:hint="eastAsia" w:eastAsia="楷体" w:cs="Arial"/>
          <w:color w:val="000000"/>
          <w:szCs w:val="21"/>
        </w:rPr>
      </w:pPr>
      <w:r>
        <w:rPr>
          <w:rFonts w:hint="eastAsia" w:eastAsia="楷体" w:cs="Arial"/>
          <w:color w:val="000000"/>
          <w:szCs w:val="21"/>
        </w:rPr>
        <w:t>从TWS出货结构上看，目前白牌市场的占比明显高于品牌端，比例为66:34，即白牌出货量2.6亿副对比品牌（苹果加安卓）1.4亿副。虽白牌端发展快于品牌端，但未来伴随品牌端逐渐向白牌端渗透，21年品牌端出货量增速预测将提高至60%以上。</w:t>
      </w:r>
    </w:p>
    <w:p>
      <w:pPr>
        <w:ind w:left="3081" w:leftChars="1467" w:firstLine="600" w:firstLineChars="286"/>
        <w:rPr>
          <w:rFonts w:hint="eastAsia" w:eastAsia="楷体" w:cs="Arial"/>
          <w:color w:val="000000"/>
          <w:szCs w:val="21"/>
        </w:rPr>
      </w:pPr>
    </w:p>
    <w:p>
      <w:pPr>
        <w:rPr>
          <w:rFonts w:hint="eastAsia" w:eastAsia="楷体" w:cs="Arial"/>
          <w:color w:val="000000"/>
          <w:szCs w:val="21"/>
        </w:rPr>
      </w:pPr>
    </w:p>
    <w:tbl>
      <w:tblPr>
        <w:tblStyle w:val="22"/>
        <w:tblpPr w:leftFromText="180" w:rightFromText="180" w:vertAnchor="text" w:tblpX="2107" w:tblpY="1"/>
        <w:tblOverlap w:val="never"/>
        <w:tblW w:w="8516"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8516"/>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8516"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bookmarkStart w:id="29" w:name="_Toc20921"/>
            <w:bookmarkStart w:id="30" w:name="_Toc26728"/>
            <w:bookmarkStart w:id="31" w:name="_Toc482465242"/>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10</w:t>
            </w:r>
            <w:r>
              <w:rPr>
                <w:rFonts w:eastAsia="楷体" w:cs="Arial"/>
                <w:b/>
                <w:bCs/>
                <w:i/>
                <w:color w:val="000000"/>
              </w:rPr>
              <w:fldChar w:fldCharType="end"/>
            </w:r>
            <w:bookmarkStart w:id="32" w:name="_Toc235498155"/>
            <w:r>
              <w:rPr>
                <w:rFonts w:eastAsia="楷体" w:cs="Arial"/>
                <w:b/>
                <w:bCs/>
                <w:i/>
                <w:color w:val="000000"/>
              </w:rPr>
              <w:t xml:space="preserve"> TWS耳机全球出货量预测</w:t>
            </w:r>
            <w:bookmarkEnd w:id="32"/>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8516"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4528820" cy="2407920"/>
                  <wp:effectExtent l="0" t="0" r="17780" b="508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pic:cNvPicPr>
                            <a:picLocks noChangeAspect="1"/>
                          </pic:cNvPicPr>
                        </pic:nvPicPr>
                        <pic:blipFill>
                          <a:blip r:embed="rId18"/>
                          <a:stretch>
                            <a:fillRect/>
                          </a:stretch>
                        </pic:blipFill>
                        <pic:spPr>
                          <a:xfrm>
                            <a:off x="0" y="0"/>
                            <a:ext cx="4528820" cy="240792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8516"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w:t>
            </w:r>
            <w:r>
              <w:rPr>
                <w:rFonts w:eastAsia="楷体" w:cs="Arial"/>
                <w:color w:val="000000"/>
                <w:kern w:val="2"/>
                <w:sz w:val="15"/>
                <w:szCs w:val="24"/>
                <w:lang w:eastAsia="zh-CN" w:bidi="ar-SA"/>
              </w:rPr>
              <w:t>旭日大数据</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pStyle w:val="35"/>
        <w:ind w:firstLine="103" w:firstLineChars="49"/>
        <w:rPr>
          <w:rFonts w:hint="default" w:eastAsia="楷体" w:cs="Arial"/>
          <w:color w:val="000000"/>
        </w:rPr>
      </w:pPr>
      <w:bookmarkStart w:id="33" w:name="_Toc43588353"/>
    </w:p>
    <w:p>
      <w:pPr>
        <w:pStyle w:val="35"/>
        <w:ind w:firstLine="103" w:firstLineChars="49"/>
        <w:rPr>
          <w:rFonts w:hint="default" w:eastAsia="楷体" w:cs="Arial"/>
          <w:b/>
          <w:bCs/>
          <w:color w:val="000000"/>
          <w:sz w:val="28"/>
          <w:szCs w:val="32"/>
        </w:rPr>
      </w:pPr>
      <w:bookmarkStart w:id="34" w:name="_Toc685367568"/>
      <w:r>
        <w:rPr>
          <w:rFonts w:hint="default" w:eastAsia="楷体" w:cs="Arial"/>
          <w:color w:val="000000"/>
        </w:rPr>
        <w:t>突破苹果封锁：安卓系TWS正在发力</w:t>
      </w:r>
      <w:bookmarkEnd w:id="34"/>
    </w:p>
    <w:p>
      <w:pPr>
        <w:ind w:left="3081" w:leftChars="1467" w:firstLine="600" w:firstLineChars="286"/>
        <w:rPr>
          <w:rFonts w:hint="eastAsia" w:eastAsia="楷体" w:cs="Arial"/>
          <w:color w:val="000000"/>
          <w:szCs w:val="21"/>
        </w:rPr>
      </w:pPr>
      <w:r>
        <w:rPr>
          <w:rFonts w:hint="eastAsia" w:eastAsia="楷体" w:cs="Arial"/>
          <w:color w:val="000000"/>
          <w:szCs w:val="21"/>
        </w:rPr>
        <w:t>因为自16年起苹果封锁snoopy方案专利，即由耳机监听实现的双路传输技术，实现了专利壁垒。在很长一段时间里，安卓系无线耳机一直表现不如意。自高通TWS Plus、联发科的MCSync等技术等打破了专利壁垒后，安卓系TWS也迎来了追赶机会。</w:t>
      </w:r>
    </w:p>
    <w:p>
      <w:pPr>
        <w:ind w:left="3081" w:leftChars="1467" w:firstLine="600" w:firstLineChars="286"/>
        <w:rPr>
          <w:rFonts w:hint="eastAsia" w:eastAsia="楷体" w:cs="Arial"/>
          <w:color w:val="000000"/>
          <w:szCs w:val="21"/>
        </w:rPr>
      </w:pPr>
    </w:p>
    <w:p>
      <w:pPr>
        <w:ind w:left="3081" w:leftChars="1467" w:firstLine="600" w:firstLineChars="286"/>
        <w:rPr>
          <w:rFonts w:hint="eastAsia" w:eastAsia="楷体" w:cs="Arial"/>
          <w:b/>
          <w:bCs/>
          <w:color w:val="000000"/>
          <w:szCs w:val="21"/>
        </w:rPr>
      </w:pPr>
      <w:r>
        <w:rPr>
          <w:rFonts w:hint="eastAsia" w:eastAsia="楷体" w:cs="Arial"/>
          <w:color w:val="000000"/>
          <w:szCs w:val="21"/>
        </w:rPr>
        <w:t>对比20年半年度和19年三季度的数据，Counterpoint Research 显示19年三季度时，苹果的Airpods系列是呈现一家独大的局面，独家占领了市场接近一半的份额（45%）。</w:t>
      </w:r>
      <w:r>
        <w:rPr>
          <w:rFonts w:hint="eastAsia" w:eastAsia="楷体" w:cs="Arial"/>
          <w:b/>
          <w:bCs/>
          <w:color w:val="000000"/>
          <w:szCs w:val="21"/>
        </w:rPr>
        <w:t>小米和三星以9%，6%紧随其后。而在20年上半年，安卓类的份额上升至65%，</w:t>
      </w:r>
      <w:r>
        <w:rPr>
          <w:rFonts w:hint="eastAsia" w:eastAsia="楷体" w:cs="Arial"/>
          <w:color w:val="000000"/>
          <w:szCs w:val="21"/>
        </w:rPr>
        <w:t>苹果Airpods系列份额下降至35%，</w:t>
      </w:r>
      <w:r>
        <w:rPr>
          <w:rFonts w:hint="eastAsia" w:eastAsia="楷体" w:cs="Arial"/>
          <w:b/>
          <w:bCs/>
          <w:color w:val="000000"/>
          <w:szCs w:val="21"/>
        </w:rPr>
        <w:t>市场竞争格局逐渐分散化。</w:t>
      </w:r>
      <w:bookmarkEnd w:id="33"/>
    </w:p>
    <w:p>
      <w:pPr>
        <w:ind w:left="3081" w:leftChars="1467" w:firstLine="601" w:firstLineChars="286"/>
        <w:rPr>
          <w:rFonts w:hint="eastAsia" w:eastAsia="楷体" w:cs="Arial"/>
          <w:b/>
          <w:bCs/>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25</w:t>
            </w:r>
            <w:r>
              <w:rPr>
                <w:rFonts w:eastAsia="楷体" w:cs="Arial"/>
                <w:b/>
                <w:bCs/>
                <w:i/>
                <w:color w:val="000000"/>
              </w:rPr>
              <w:fldChar w:fldCharType="end"/>
            </w:r>
            <w:bookmarkStart w:id="35" w:name="_Toc903009413"/>
            <w:r>
              <w:rPr>
                <w:rFonts w:eastAsia="楷体" w:cs="Arial"/>
                <w:b/>
                <w:bCs/>
                <w:i/>
                <w:color w:val="000000"/>
              </w:rPr>
              <w:t xml:space="preserve"> 2019年三季度TWS品牌市占率</w:t>
            </w:r>
            <w:bookmarkEnd w:id="35"/>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10881"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5494655" cy="2499360"/>
                  <wp:effectExtent l="0" t="0" r="17145" b="1524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pic:cNvPicPr>
                        </pic:nvPicPr>
                        <pic:blipFill>
                          <a:blip r:embed="rId19"/>
                          <a:stretch>
                            <a:fillRect/>
                          </a:stretch>
                        </pic:blipFill>
                        <pic:spPr>
                          <a:xfrm>
                            <a:off x="0" y="0"/>
                            <a:ext cx="5494655" cy="249936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80" w:hRule="atLeast"/>
        </w:trPr>
        <w:tc>
          <w:tcPr>
            <w:tcW w:w="10881"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来源：Counterpoint</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rPr>
          <w:rFonts w:hint="default" w:eastAsia="楷体" w:cs="Arial"/>
          <w:color w:val="000000"/>
          <w:szCs w:val="21"/>
        </w:rPr>
      </w:pPr>
    </w:p>
    <w:p>
      <w:pPr>
        <w:rPr>
          <w:rFonts w:hint="default" w:eastAsia="楷体" w:cs="Arial"/>
          <w:color w:val="000000"/>
          <w:szCs w:val="21"/>
        </w:rPr>
      </w:pPr>
    </w:p>
    <w:p>
      <w:pPr>
        <w:rPr>
          <w:rFonts w:hint="default" w:eastAsia="楷体" w:cs="Arial"/>
          <w:color w:val="000000"/>
          <w:szCs w:val="21"/>
        </w:rPr>
      </w:pPr>
    </w:p>
    <w:tbl>
      <w:tblPr>
        <w:tblStyle w:val="22"/>
        <w:tblpPr w:leftFromText="180" w:rightFromText="180" w:vertAnchor="text" w:tblpX="-244" w:tblpY="1"/>
        <w:tblOverlap w:val="never"/>
        <w:tblW w:w="10867"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67"/>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67"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15</w:t>
            </w:r>
            <w:r>
              <w:rPr>
                <w:rFonts w:eastAsia="楷体" w:cs="Arial"/>
                <w:b/>
                <w:bCs/>
                <w:i/>
                <w:color w:val="000000"/>
              </w:rPr>
              <w:fldChar w:fldCharType="end"/>
            </w:r>
            <w:bookmarkStart w:id="36" w:name="_Toc1843569417"/>
            <w:r>
              <w:rPr>
                <w:rFonts w:eastAsia="楷体" w:cs="Arial"/>
                <w:b/>
                <w:bCs/>
                <w:i/>
                <w:color w:val="000000"/>
              </w:rPr>
              <w:t xml:space="preserve"> 2020Q2TWS市场竞争格局</w:t>
            </w:r>
            <w:bookmarkEnd w:id="36"/>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398" w:hRule="atLeast"/>
        </w:trPr>
        <w:tc>
          <w:tcPr>
            <w:tcW w:w="10867"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4312920" cy="2473325"/>
                  <wp:effectExtent l="0" t="0" r="5080" b="15875"/>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pic:cNvPicPr>
                        </pic:nvPicPr>
                        <pic:blipFill>
                          <a:blip r:embed="rId20"/>
                          <a:stretch>
                            <a:fillRect/>
                          </a:stretch>
                        </pic:blipFill>
                        <pic:spPr>
                          <a:xfrm>
                            <a:off x="0" y="0"/>
                            <a:ext cx="4312920" cy="24733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67"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w:t>
            </w:r>
            <w:r>
              <w:rPr>
                <w:rFonts w:hint="default" w:eastAsia="楷体" w:cs="Arial"/>
                <w:color w:val="000000"/>
                <w:kern w:val="2"/>
                <w:sz w:val="15"/>
                <w:szCs w:val="24"/>
                <w:lang w:eastAsia="zh-CN" w:bidi="ar-SA"/>
              </w:rPr>
              <w:t>Counterpoint Research：《2020年Q2全球真无线耳机市场跟踪报告》</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rPr>
          <w:rFonts w:hint="default" w:eastAsia="楷体" w:cs="Arial"/>
          <w:color w:val="000000"/>
        </w:rPr>
      </w:pPr>
    </w:p>
    <w:p>
      <w:pPr>
        <w:ind w:left="3081" w:leftChars="1467" w:firstLine="600" w:firstLineChars="286"/>
        <w:rPr>
          <w:rFonts w:hint="default" w:eastAsia="楷体" w:cs="Arial"/>
          <w:color w:val="000000"/>
        </w:rPr>
      </w:pPr>
      <w:r>
        <w:rPr>
          <w:rFonts w:hint="default" w:eastAsia="楷体" w:cs="Arial"/>
          <w:color w:val="000000"/>
        </w:rPr>
        <w:t>根据 IDC 预测，全球智能手机出货量已进入存量市场，出货量将从 2019 年的 13.73 亿部增长至 2024 年的 14.92 亿部，基本维持稳定缓慢增长。苹果手机近两年出货量稳定约2亿台、安卓为约12亿台。按照苹果2018、2019年Airpods出货量2600万、5500万及2020年预测量9000万+台来计算，渗透率从2018年12%提升到2020年超50%。</w:t>
      </w:r>
    </w:p>
    <w:p>
      <w:pPr>
        <w:ind w:left="3081" w:leftChars="1467" w:firstLine="600" w:firstLineChars="286"/>
        <w:rPr>
          <w:rFonts w:hint="default" w:eastAsia="楷体" w:cs="Arial"/>
          <w:color w:val="000000"/>
        </w:rPr>
      </w:pPr>
    </w:p>
    <w:p>
      <w:pPr>
        <w:ind w:left="3081" w:leftChars="1467" w:firstLine="600" w:firstLineChars="286"/>
        <w:rPr>
          <w:rFonts w:hint="default" w:eastAsia="楷体" w:cs="Arial"/>
          <w:b/>
          <w:bCs/>
          <w:color w:val="000000"/>
        </w:rPr>
      </w:pPr>
      <w:r>
        <w:rPr>
          <w:rFonts w:hint="default" w:eastAsia="楷体" w:cs="Arial"/>
          <w:color w:val="000000"/>
        </w:rPr>
        <w:t>随着苹果新一代发布会决定取消购买Iphone时随机附送的有线耳机，预测Airpods（TWS）在苹果手机中的渗透率会继续提升。</w:t>
      </w:r>
      <w:r>
        <w:rPr>
          <w:rFonts w:hint="default" w:eastAsia="楷体" w:cs="Arial"/>
          <w:b/>
          <w:bCs/>
          <w:color w:val="000000"/>
        </w:rPr>
        <w:t>而未来两年TWS在安卓手机中的渗透率也会有类似于苹果TWS快速提升的过程</w:t>
      </w:r>
      <w:r>
        <w:rPr>
          <w:rFonts w:hint="default" w:eastAsia="楷体" w:cs="Arial"/>
          <w:color w:val="000000"/>
        </w:rPr>
        <w:t>。未来数年安卓TWS的出货量将受益于安卓手机的大基数和渗透率的快速提升，2020年全球白牌+安卓品牌TWS耳机预测出货量超3亿副，渗透率达29%。2021年出货量有望超过5亿副，渗透率提高到45%，今明两年安卓TWS产品出货量情形有望复制苹果Airpods 2019-2020年时的盛景，即产品在已有一定销量基础上，增速快速提升，也是产品发展曲线模型（S型）中最为肥美的一段。</w:t>
      </w:r>
      <w:r>
        <w:rPr>
          <w:rFonts w:hint="default" w:eastAsia="楷体" w:cs="Arial"/>
          <w:b/>
          <w:bCs/>
          <w:color w:val="000000"/>
        </w:rPr>
        <w:t>而从长期来看，基于安卓手机稳定12亿台销量的高基数，安卓TWS出货量最终有6倍于苹果TWS耳机的潜力。</w:t>
      </w: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default" w:eastAsia="楷体" w:cs="Arial"/>
          <w:b/>
          <w:bCs/>
          <w:color w:val="000000"/>
        </w:rPr>
      </w:pPr>
    </w:p>
    <w:p>
      <w:pPr>
        <w:ind w:left="3081" w:leftChars="1467" w:firstLine="601" w:firstLineChars="286"/>
        <w:rPr>
          <w:rFonts w:hint="eastAsia" w:eastAsia="楷体" w:cs="Arial"/>
          <w:b/>
          <w:bCs/>
          <w:color w:val="000000"/>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pStyle w:val="8"/>
              <w:keepNext/>
              <w:rPr>
                <w:rFonts w:eastAsia="楷体" w:cs="Arial"/>
                <w:b/>
                <w:bCs/>
                <w:i/>
                <w:color w:val="4F81BD"/>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16</w:t>
            </w:r>
            <w:r>
              <w:rPr>
                <w:rFonts w:eastAsia="楷体" w:cs="Arial"/>
                <w:b/>
                <w:bCs/>
                <w:i/>
                <w:color w:val="000000"/>
              </w:rPr>
              <w:fldChar w:fldCharType="end"/>
            </w:r>
            <w:bookmarkStart w:id="37" w:name="_Toc860210012"/>
            <w:r>
              <w:rPr>
                <w:rFonts w:eastAsia="楷体" w:cs="Arial"/>
                <w:b/>
                <w:bCs/>
                <w:i/>
                <w:color w:val="000000"/>
              </w:rPr>
              <w:t xml:space="preserve"> Airpods出货量及渗透率</w:t>
            </w:r>
            <w:bookmarkEnd w:id="37"/>
          </w:p>
          <w:p>
            <w:pPr>
              <w:keepNext/>
              <w:widowControl/>
              <w:tabs>
                <w:tab w:val="right" w:leader="dot" w:pos="8644"/>
                <w:tab w:val="right" w:leader="dot" w:pos="10649"/>
              </w:tabs>
              <w:suppressAutoHyphens/>
              <w:kinsoku w:val="0"/>
              <w:spacing w:after="40" w:line="240" w:lineRule="exact"/>
              <w:rPr>
                <w:rFonts w:eastAsia="楷体" w:cs="Arial"/>
                <w:b/>
                <w:bCs/>
                <w:i/>
                <w:color w:val="000000"/>
              </w:rPr>
            </w:pPr>
            <w:r>
              <w:rPr>
                <w:rFonts w:eastAsia="楷体" w:cs="Arial"/>
                <w:b/>
                <w:bCs/>
                <w:i/>
                <w:color w:val="000000"/>
              </w:rPr>
              <w:t>图表9：</w:t>
            </w:r>
            <w:r>
              <w:rPr>
                <w:rFonts w:hint="eastAsia" w:eastAsia="楷体" w:cs="Arial"/>
                <w:b/>
                <w:bCs/>
                <w:i/>
                <w:color w:val="000000"/>
              </w:rPr>
              <w:t>毛利率</w:t>
            </w:r>
          </w:p>
        </w:tc>
        <w:tc>
          <w:tcPr>
            <w:tcW w:w="284" w:type="dxa"/>
            <w:tcBorders>
              <w:top w:val="nil"/>
              <w:left w:val="nil"/>
              <w:bottom w:val="nil"/>
              <w:right w:val="nil"/>
            </w:tcBorders>
            <w:noWrap w:val="0"/>
            <w:vAlign w:val="top"/>
          </w:tcPr>
          <w:p>
            <w:pPr>
              <w:rPr>
                <w:rFonts w:ascii="等线 Light" w:hAnsi="等线 Light" w:eastAsia="楷体" w:cs="Arial"/>
                <w:b/>
                <w:bCs/>
                <w:i/>
                <w:color w:val="000000"/>
                <w:sz w:val="20"/>
                <w:szCs w:val="2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17</w:t>
            </w:r>
            <w:r>
              <w:rPr>
                <w:rFonts w:eastAsia="楷体" w:cs="Arial"/>
                <w:b/>
                <w:bCs/>
                <w:i/>
                <w:color w:val="000000"/>
              </w:rPr>
              <w:fldChar w:fldCharType="end"/>
            </w:r>
            <w:bookmarkStart w:id="38" w:name="_Toc680938054"/>
            <w:r>
              <w:rPr>
                <w:rFonts w:eastAsia="楷体" w:cs="Arial"/>
                <w:b/>
                <w:bCs/>
                <w:i/>
                <w:color w:val="000000"/>
              </w:rPr>
              <w:t xml:space="preserve"> </w:t>
            </w:r>
            <w:r>
              <w:rPr>
                <w:rFonts w:eastAsia="楷体" w:cs="Arial"/>
                <w:b/>
                <w:bCs/>
                <w:i/>
                <w:color w:val="auto"/>
              </w:rPr>
              <w:t>安卓TWS出货量及渗透率</w:t>
            </w:r>
            <w:bookmarkEnd w:id="38"/>
          </w:p>
          <w:p>
            <w:pPr>
              <w:keepNext/>
              <w:widowControl/>
              <w:tabs>
                <w:tab w:val="right" w:leader="dot" w:pos="8644"/>
                <w:tab w:val="right" w:leader="dot" w:pos="10649"/>
              </w:tabs>
              <w:suppressAutoHyphens/>
              <w:kinsoku w:val="0"/>
              <w:spacing w:after="40" w:line="240" w:lineRule="exact"/>
              <w:rPr>
                <w:rFonts w:hint="eastAsia" w:ascii="等线 Light" w:hAnsi="等线 Light" w:eastAsia="楷体" w:cs="Arial"/>
                <w:b/>
                <w:bCs/>
                <w:i/>
                <w:color w:val="000000"/>
                <w:sz w:val="20"/>
                <w:szCs w:val="20"/>
              </w:rPr>
            </w:pPr>
            <w:r>
              <w:rPr>
                <w:rFonts w:ascii="等线 Light" w:hAnsi="等线 Light" w:eastAsia="楷体" w:cs="Arial"/>
                <w:b/>
                <w:bCs/>
                <w:i/>
                <w:color w:val="000000"/>
                <w:sz w:val="20"/>
                <w:szCs w:val="20"/>
              </w:rPr>
              <w:t>图表10：</w:t>
            </w:r>
            <w:r>
              <w:rPr>
                <w:rFonts w:hint="eastAsia" w:ascii="等线 Light" w:hAnsi="等线 Light" w:eastAsia="楷体" w:cs="Arial"/>
                <w:b/>
                <w:bCs/>
                <w:i/>
                <w:color w:val="000000"/>
                <w:sz w:val="20"/>
                <w:szCs w:val="20"/>
              </w:rPr>
              <w:t>毛利率按产品分类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093" w:hRule="atLeast"/>
        </w:trPr>
        <w:tc>
          <w:tcPr>
            <w:tcW w:w="5353" w:type="dxa"/>
            <w:tcBorders>
              <w:top w:val="single" w:color="C00000" w:sz="8" w:space="0"/>
              <w:right w:val="nil"/>
            </w:tcBorders>
            <w:noWrap w:val="0"/>
            <w:vAlign w:val="top"/>
          </w:tcPr>
          <w:p>
            <w:pPr>
              <w:spacing w:line="360" w:lineRule="auto"/>
              <w:jc w:val="center"/>
              <w:rPr>
                <w:rFonts w:eastAsia="楷体" w:cs="Arial"/>
                <w:color w:val="000000"/>
              </w:rPr>
            </w:pPr>
            <w:r>
              <w:drawing>
                <wp:inline distT="0" distB="0" distL="114300" distR="114300">
                  <wp:extent cx="3260725" cy="1919605"/>
                  <wp:effectExtent l="0" t="0" r="15875" b="10795"/>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7"/>
                          <pic:cNvPicPr>
                            <a:picLocks noChangeAspect="1"/>
                          </pic:cNvPicPr>
                        </pic:nvPicPr>
                        <pic:blipFill>
                          <a:blip r:embed="rId21"/>
                          <a:stretch>
                            <a:fillRect/>
                          </a:stretch>
                        </pic:blipFill>
                        <pic:spPr>
                          <a:xfrm>
                            <a:off x="0" y="0"/>
                            <a:ext cx="3260725" cy="1919605"/>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3192145" cy="1883410"/>
                  <wp:effectExtent l="0" t="0" r="8255" b="21590"/>
                  <wp:docPr id="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pic:cNvPicPr>
                            <a:picLocks noChangeAspect="1"/>
                          </pic:cNvPicPr>
                        </pic:nvPicPr>
                        <pic:blipFill>
                          <a:blip r:embed="rId22"/>
                          <a:stretch>
                            <a:fillRect/>
                          </a:stretch>
                        </pic:blipFill>
                        <pic:spPr>
                          <a:xfrm>
                            <a:off x="0" y="0"/>
                            <a:ext cx="3192145" cy="188341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来源：IDC，中泰证券研究所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IDC</w:t>
            </w:r>
            <w:r>
              <w:rPr>
                <w:rFonts w:eastAsia="楷体" w:cs="Arial"/>
                <w:color w:val="000000"/>
                <w:sz w:val="15"/>
              </w:rPr>
              <w:t>，中泰证券研究所</w:t>
            </w:r>
          </w:p>
        </w:tc>
      </w:tr>
    </w:tbl>
    <w:p>
      <w:pPr>
        <w:spacing w:after="156" w:afterLines="50"/>
        <w:rPr>
          <w:rFonts w:eastAsia="楷体" w:cs="Arial"/>
          <w:color w:val="000000"/>
          <w:szCs w:val="21"/>
        </w:rPr>
      </w:pPr>
    </w:p>
    <w:p>
      <w:pPr>
        <w:pStyle w:val="35"/>
        <w:ind w:firstLine="103" w:firstLineChars="49"/>
        <w:rPr>
          <w:rFonts w:hint="eastAsia" w:eastAsia="楷体" w:cs="Arial"/>
          <w:b w:val="0"/>
          <w:bCs w:val="0"/>
          <w:color w:val="000000"/>
          <w:sz w:val="28"/>
          <w:szCs w:val="32"/>
        </w:rPr>
      </w:pPr>
      <w:bookmarkStart w:id="39" w:name="_Toc2017916515"/>
      <w:r>
        <w:rPr>
          <w:rFonts w:hint="default" w:eastAsia="楷体" w:cs="Arial"/>
          <w:color w:val="000000"/>
        </w:rPr>
        <w:t>TWS主控芯片(SoC)进入增长快车道，差异竞争赛道好</w:t>
      </w:r>
      <w:bookmarkEnd w:id="39"/>
    </w:p>
    <w:p>
      <w:pPr>
        <w:ind w:left="3081" w:leftChars="1467" w:firstLine="600" w:firstLineChars="286"/>
        <w:rPr>
          <w:rFonts w:hint="eastAsia" w:eastAsia="楷体" w:cs="Arial"/>
          <w:b w:val="0"/>
          <w:bCs w:val="0"/>
          <w:color w:val="000000"/>
          <w:szCs w:val="21"/>
        </w:rPr>
      </w:pPr>
      <w:r>
        <w:rPr>
          <w:rFonts w:hint="eastAsia" w:eastAsia="楷体" w:cs="Arial"/>
          <w:b w:val="0"/>
          <w:bCs w:val="0"/>
          <w:color w:val="000000"/>
          <w:szCs w:val="21"/>
        </w:rPr>
        <w:t>TWS 耳机没有传统耳机线，左右两个耳塞通过蓝牙技术与手机相连，组成一个立体声系统。TWS 耳机的核心是智能蓝牙音频 SoC 芯片，其承担了无线连接、音频处理和其他辅助功能。TWS 耳机对智能蓝牙音频 SoC 芯片的工艺制程、集成度和功耗提出了更高要求。同时在耳机尺寸受限的前提下，还需要大幅提升芯片算力以支持耳机的智能化发展。</w:t>
      </w:r>
    </w:p>
    <w:p>
      <w:pPr>
        <w:ind w:left="3081" w:leftChars="1467" w:firstLine="600" w:firstLineChars="286"/>
        <w:rPr>
          <w:rFonts w:hint="eastAsia"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eastAsia" w:eastAsia="楷体" w:cs="Arial"/>
          <w:b w:val="0"/>
          <w:bCs w:val="0"/>
          <w:color w:val="000000"/>
          <w:szCs w:val="21"/>
        </w:rPr>
        <w:t>TWS主控芯片的产业链上游是电子元器件的供应商，下游是ODM代工制造商和品牌终端</w:t>
      </w:r>
      <w:r>
        <w:rPr>
          <w:rFonts w:hint="default" w:eastAsia="楷体" w:cs="Arial"/>
          <w:b w:val="0"/>
          <w:bCs w:val="0"/>
          <w:color w:val="000000"/>
          <w:szCs w:val="21"/>
        </w:rPr>
        <w:t>厂商。对比起TWS品牌商百花齐放的行业格局，TWS主控芯片厂商的</w:t>
      </w:r>
      <w:r>
        <w:rPr>
          <w:rFonts w:hint="default" w:eastAsia="楷体" w:cs="Arial"/>
          <w:b/>
          <w:bCs/>
          <w:color w:val="000000"/>
          <w:szCs w:val="21"/>
        </w:rPr>
        <w:t>行业格局更加集中，竞争差异化程度更高，各厂商根据其自身技术实力和定位，锚定差异化的目标市场</w:t>
      </w:r>
      <w:r>
        <w:rPr>
          <w:rFonts w:hint="default" w:eastAsia="楷体" w:cs="Arial"/>
          <w:b w:val="0"/>
          <w:bCs w:val="0"/>
          <w:color w:val="000000"/>
          <w:szCs w:val="21"/>
        </w:rPr>
        <w:t>。</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目前我们把差异化的目标市场分为自研、中高端、中端和高性价比四类：</w:t>
      </w:r>
    </w:p>
    <w:p>
      <w:pPr>
        <w:numPr>
          <w:ilvl w:val="0"/>
          <w:numId w:val="8"/>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自研芯片品牌</w:t>
      </w:r>
      <w:r>
        <w:rPr>
          <w:rFonts w:hint="default" w:eastAsia="楷体" w:cs="Arial"/>
          <w:b w:val="0"/>
          <w:bCs w:val="0"/>
          <w:color w:val="000000"/>
          <w:szCs w:val="21"/>
        </w:rPr>
        <w:t>：苹果、华为。所研制芯片均用于自身产品。</w:t>
      </w:r>
    </w:p>
    <w:p>
      <w:pPr>
        <w:numPr>
          <w:ilvl w:val="0"/>
          <w:numId w:val="8"/>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中高端品牌的芯片供应商：</w:t>
      </w:r>
      <w:r>
        <w:rPr>
          <w:rFonts w:hint="default" w:eastAsia="楷体" w:cs="Arial"/>
          <w:b w:val="0"/>
          <w:bCs w:val="0"/>
          <w:color w:val="000000"/>
          <w:szCs w:val="21"/>
        </w:rPr>
        <w:t>高通、恒玄、博通集成。服务主流的安卓品牌端。</w:t>
      </w:r>
    </w:p>
    <w:p>
      <w:pPr>
        <w:numPr>
          <w:ilvl w:val="0"/>
          <w:numId w:val="8"/>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中端市场芯片供应商：</w:t>
      </w:r>
      <w:r>
        <w:rPr>
          <w:rFonts w:hint="default" w:eastAsia="楷体" w:cs="Arial"/>
          <w:b w:val="0"/>
          <w:bCs w:val="0"/>
          <w:color w:val="000000"/>
          <w:szCs w:val="21"/>
        </w:rPr>
        <w:t>联发科的络达、台湾瑞昱、博通集成</w:t>
      </w:r>
    </w:p>
    <w:p>
      <w:pPr>
        <w:numPr>
          <w:ilvl w:val="0"/>
          <w:numId w:val="8"/>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高性价比的芯片供应商：</w:t>
      </w:r>
      <w:r>
        <w:rPr>
          <w:rFonts w:hint="default" w:eastAsia="楷体" w:cs="Arial"/>
          <w:b w:val="0"/>
          <w:bCs w:val="0"/>
          <w:color w:val="000000"/>
          <w:szCs w:val="21"/>
        </w:rPr>
        <w:t>珠海杰理、中科蓝汛，发力于高性价比产品，譬如白牌和高性价比品牌，以量取胜。</w:t>
      </w:r>
    </w:p>
    <w:p>
      <w:pPr>
        <w:numPr>
          <w:ilvl w:val="0"/>
          <w:numId w:val="0"/>
        </w:numPr>
        <w:ind w:left="3360" w:leftChars="0" w:firstLine="420" w:firstLineChars="0"/>
        <w:rPr>
          <w:rFonts w:hint="default" w:eastAsia="楷体" w:cs="Arial"/>
          <w:b w:val="0"/>
          <w:bCs w:val="0"/>
          <w:color w:val="000000"/>
          <w:szCs w:val="21"/>
        </w:rPr>
      </w:pPr>
    </w:p>
    <w:p>
      <w:pPr>
        <w:numPr>
          <w:ilvl w:val="0"/>
          <w:numId w:val="0"/>
        </w:numPr>
        <w:ind w:left="3360" w:leftChars="0" w:firstLine="420" w:firstLineChars="0"/>
        <w:rPr>
          <w:rFonts w:hint="default" w:eastAsia="楷体" w:cs="Arial"/>
          <w:b w:val="0"/>
          <w:bCs w:val="0"/>
          <w:color w:val="000000"/>
          <w:szCs w:val="21"/>
        </w:rPr>
      </w:pPr>
      <w:r>
        <w:rPr>
          <w:rFonts w:hint="default" w:eastAsia="楷体" w:cs="Arial"/>
          <w:b w:val="0"/>
          <w:bCs w:val="0"/>
          <w:color w:val="000000"/>
          <w:szCs w:val="21"/>
        </w:rPr>
        <w:t>博通集成原本利用BK3266主打高性价比和中端市场，而在推出BK3288后，根据其更快的芯片架构算法和低功耗特点成功切入中高端市场赛道，有望对TWS主控芯片差异细分市场同时发力。</w:t>
      </w:r>
    </w:p>
    <w:p>
      <w:pPr>
        <w:numPr>
          <w:ilvl w:val="0"/>
          <w:numId w:val="0"/>
        </w:numPr>
        <w:ind w:left="3360" w:leftChars="0" w:firstLine="420" w:firstLineChars="0"/>
        <w:rPr>
          <w:rFonts w:hint="default" w:eastAsia="楷体" w:cs="Arial"/>
          <w:b w:val="0"/>
          <w:bCs w:val="0"/>
          <w:color w:val="000000"/>
          <w:szCs w:val="21"/>
        </w:rPr>
      </w:pPr>
    </w:p>
    <w:p>
      <w:pPr>
        <w:numPr>
          <w:ilvl w:val="0"/>
          <w:numId w:val="0"/>
        </w:numPr>
        <w:ind w:left="3360" w:leftChars="0" w:firstLine="420" w:firstLineChars="0"/>
        <w:rPr>
          <w:rFonts w:hint="default" w:eastAsia="楷体" w:cs="Arial"/>
          <w:b w:val="0"/>
          <w:bCs w:val="0"/>
          <w:color w:val="000000"/>
          <w:szCs w:val="21"/>
        </w:rPr>
      </w:pPr>
      <w:r>
        <w:rPr>
          <w:rFonts w:hint="default" w:eastAsia="楷体" w:cs="Arial"/>
          <w:b w:val="0"/>
          <w:bCs w:val="0"/>
          <w:color w:val="000000"/>
          <w:szCs w:val="21"/>
        </w:rPr>
        <w:t>下图为各主流TWS总成芯片厂商的主要产品以及所被搭载的终端产品：</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tbl>
      <w:tblPr>
        <w:tblStyle w:val="22"/>
        <w:tblpPr w:leftFromText="180" w:rightFromText="180" w:vertAnchor="text" w:horzAnchor="page" w:tblpX="2869" w:tblpY="11"/>
        <w:tblOverlap w:val="never"/>
        <w:tblW w:w="8065"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8065"/>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8065"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25</w:t>
            </w:r>
            <w:r>
              <w:rPr>
                <w:rFonts w:eastAsia="楷体" w:cs="Arial"/>
                <w:b/>
                <w:bCs/>
                <w:i/>
                <w:color w:val="000000"/>
              </w:rPr>
              <w:fldChar w:fldCharType="end"/>
            </w:r>
            <w:bookmarkStart w:id="40" w:name="_Toc1042972451"/>
            <w:r>
              <w:rPr>
                <w:rFonts w:eastAsia="楷体" w:cs="Arial"/>
                <w:b/>
                <w:bCs/>
                <w:i/>
                <w:color w:val="000000"/>
              </w:rPr>
              <w:t xml:space="preserve"> 主流厂商TWS总成芯片所搭载代表产品</w:t>
            </w:r>
            <w:bookmarkEnd w:id="40"/>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8065" w:type="dxa"/>
            <w:tcBorders>
              <w:top w:val="single" w:color="C00000" w:sz="8" w:space="0"/>
              <w:left w:val="nil"/>
            </w:tcBorders>
            <w:noWrap w:val="0"/>
            <w:vAlign w:val="top"/>
          </w:tcPr>
          <w:tbl>
            <w:tblPr>
              <w:tblStyle w:val="22"/>
              <w:tblW w:w="7143"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5"/>
              <w:gridCol w:w="974"/>
              <w:gridCol w:w="1882"/>
              <w:gridCol w:w="1334"/>
              <w:gridCol w:w="1933"/>
              <w:gridCol w:w="5"/>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5" w:type="dxa"/>
                <w:trHeight w:val="285" w:hRule="atLeast"/>
              </w:trPr>
              <w:tc>
                <w:tcPr>
                  <w:tcW w:w="974"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FFFF"/>
                      <w:sz w:val="16"/>
                      <w:szCs w:val="16"/>
                      <w:u w:val="none"/>
                    </w:rPr>
                  </w:pPr>
                  <w:r>
                    <w:rPr>
                      <w:rFonts w:hint="eastAsia" w:ascii="方正楷体_GBK" w:hAnsi="方正楷体_GBK" w:eastAsia="方正楷体_GBK" w:cs="方正楷体_GBK"/>
                      <w:b/>
                      <w:bCs/>
                      <w:i w:val="0"/>
                      <w:color w:val="FFFFFF"/>
                      <w:kern w:val="0"/>
                      <w:sz w:val="16"/>
                      <w:szCs w:val="16"/>
                      <w:u w:val="none"/>
                      <w:lang w:val="en-US" w:eastAsia="zh-CN" w:bidi="ar"/>
                    </w:rPr>
                    <w:t>厂商</w:t>
                  </w:r>
                </w:p>
              </w:tc>
              <w:tc>
                <w:tcPr>
                  <w:tcW w:w="1882"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FFFF"/>
                      <w:sz w:val="16"/>
                      <w:szCs w:val="16"/>
                      <w:u w:val="none"/>
                    </w:rPr>
                  </w:pPr>
                  <w:r>
                    <w:rPr>
                      <w:rFonts w:hint="eastAsia" w:ascii="方正楷体_GBK" w:hAnsi="方正楷体_GBK" w:eastAsia="方正楷体_GBK" w:cs="方正楷体_GBK"/>
                      <w:b/>
                      <w:bCs/>
                      <w:i w:val="0"/>
                      <w:color w:val="FFFFFF"/>
                      <w:kern w:val="0"/>
                      <w:sz w:val="16"/>
                      <w:szCs w:val="16"/>
                      <w:u w:val="none"/>
                      <w:lang w:val="en-US" w:eastAsia="zh-CN" w:bidi="ar"/>
                    </w:rPr>
                    <w:t>型号</w:t>
                  </w:r>
                </w:p>
              </w:tc>
              <w:tc>
                <w:tcPr>
                  <w:tcW w:w="1334"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FFFF"/>
                      <w:sz w:val="16"/>
                      <w:szCs w:val="16"/>
                      <w:u w:val="none"/>
                    </w:rPr>
                  </w:pPr>
                  <w:r>
                    <w:rPr>
                      <w:rFonts w:hint="eastAsia" w:ascii="方正楷体_GBK" w:hAnsi="方正楷体_GBK" w:eastAsia="方正楷体_GBK" w:cs="方正楷体_GBK"/>
                      <w:b/>
                      <w:bCs/>
                      <w:i w:val="0"/>
                      <w:color w:val="FFFFFF"/>
                      <w:kern w:val="0"/>
                      <w:sz w:val="16"/>
                      <w:szCs w:val="16"/>
                      <w:u w:val="none"/>
                      <w:lang w:val="en-US" w:eastAsia="zh-CN" w:bidi="ar"/>
                    </w:rPr>
                    <w:t>下游厂商</w:t>
                  </w:r>
                </w:p>
              </w:tc>
              <w:tc>
                <w:tcPr>
                  <w:tcW w:w="1938" w:type="dxa"/>
                  <w:gridSpan w:val="2"/>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FFFF"/>
                      <w:sz w:val="16"/>
                      <w:szCs w:val="16"/>
                      <w:u w:val="none"/>
                    </w:rPr>
                  </w:pPr>
                  <w:r>
                    <w:rPr>
                      <w:rFonts w:hint="eastAsia" w:ascii="方正楷体_GBK" w:hAnsi="方正楷体_GBK" w:eastAsia="方正楷体_GBK" w:cs="方正楷体_GBK"/>
                      <w:b/>
                      <w:bCs/>
                      <w:i w:val="0"/>
                      <w:color w:val="FFFFFF"/>
                      <w:kern w:val="0"/>
                      <w:sz w:val="16"/>
                      <w:szCs w:val="16"/>
                      <w:u w:val="none"/>
                      <w:lang w:val="en-US" w:eastAsia="zh-CN" w:bidi="ar"/>
                    </w:rPr>
                    <w:t>产品</w:t>
                  </w:r>
                </w:p>
              </w:tc>
              <w:tc>
                <w:tcPr>
                  <w:tcW w:w="1010"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FFFF"/>
                      <w:sz w:val="16"/>
                      <w:szCs w:val="16"/>
                      <w:u w:val="none"/>
                    </w:rPr>
                  </w:pPr>
                  <w:r>
                    <w:rPr>
                      <w:rFonts w:hint="eastAsia" w:ascii="方正楷体_GBK" w:hAnsi="方正楷体_GBK" w:eastAsia="方正楷体_GBK" w:cs="方正楷体_GBK"/>
                      <w:b/>
                      <w:bCs/>
                      <w:i w:val="0"/>
                      <w:color w:val="FFFFFF"/>
                      <w:kern w:val="0"/>
                      <w:sz w:val="16"/>
                      <w:szCs w:val="16"/>
                      <w:u w:val="none"/>
                      <w:lang w:val="en-US" w:eastAsia="zh-CN" w:bidi="ar"/>
                    </w:rPr>
                    <w:t>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恒玄科技</w:t>
                  </w:r>
                </w:p>
              </w:tc>
              <w:tc>
                <w:tcPr>
                  <w:tcW w:w="1882" w:type="dxa"/>
                  <w:vMerge w:val="restart"/>
                  <w:tcBorders>
                    <w:top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BES2300智能蓝牙</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小米</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Air2 Pro</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749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华为</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FlyPods 3</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499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JBL</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T280</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899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restart"/>
                  <w:tcBorders>
                    <w:top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WT230智能蓝牙</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Realme</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Buds Q</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小米</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Air2</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399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锤子</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真无线蓝牙</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restart"/>
                  <w:tcBorders>
                    <w:top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BES2000普通蓝牙</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1MORE</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高清降噪圈铁蓝牙</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899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华为</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FreeBuds</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369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白牌</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AirPods Pro 山寨</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索爱</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T1S</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魅族</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POP</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269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5" w:type="dxa"/>
                <w:trHeight w:val="285" w:hRule="atLeast"/>
              </w:trPr>
              <w:tc>
                <w:tcPr>
                  <w:tcW w:w="97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FBD4B4"/>
                      <w:sz w:val="16"/>
                      <w:szCs w:val="16"/>
                      <w:u w:val="none"/>
                    </w:rPr>
                  </w:pPr>
                </w:p>
              </w:tc>
              <w:tc>
                <w:tcPr>
                  <w:tcW w:w="1882"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FBD4B4"/>
                      <w:sz w:val="16"/>
                      <w:szCs w:val="16"/>
                      <w:u w:val="none"/>
                    </w:rPr>
                  </w:pPr>
                </w:p>
              </w:tc>
              <w:tc>
                <w:tcPr>
                  <w:tcW w:w="133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FBD4B4"/>
                      <w:sz w:val="16"/>
                      <w:szCs w:val="16"/>
                      <w:u w:val="none"/>
                    </w:rPr>
                  </w:pPr>
                </w:p>
              </w:tc>
              <w:tc>
                <w:tcPr>
                  <w:tcW w:w="1938" w:type="dxa"/>
                  <w:gridSpan w:val="2"/>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FBD4B4"/>
                      <w:sz w:val="16"/>
                      <w:szCs w:val="16"/>
                      <w:u w:val="none"/>
                    </w:rPr>
                  </w:pPr>
                </w:p>
              </w:tc>
              <w:tc>
                <w:tcPr>
                  <w:tcW w:w="1010" w:type="dxa"/>
                  <w:tcBorders>
                    <w:right w:val="single" w:color="000000" w:sz="4" w:space="0"/>
                  </w:tcBorders>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FBD4B4"/>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杰理</w:t>
                  </w:r>
                </w:p>
              </w:tc>
              <w:tc>
                <w:tcPr>
                  <w:tcW w:w="1882"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AC6936D</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倍思</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W04 Pro</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倍思</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W09</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倍思</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WM01</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索爱</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A1S</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白牌</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AirPods Pro 山寨</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5" w:type="dxa"/>
                <w:trHeight w:val="285" w:hRule="atLeast"/>
              </w:trPr>
              <w:tc>
                <w:tcPr>
                  <w:tcW w:w="97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938" w:type="dxa"/>
                  <w:gridSpan w:val="2"/>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010" w:type="dxa"/>
                  <w:tcBorders>
                    <w:right w:val="single" w:color="000000" w:sz="4" w:space="0"/>
                  </w:tcBorders>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中科蓝讯</w:t>
                  </w:r>
                </w:p>
              </w:tc>
              <w:tc>
                <w:tcPr>
                  <w:tcW w:w="1882" w:type="dxa"/>
                  <w:vMerge w:val="restart"/>
                  <w:tcBorders>
                    <w:top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AB5376A</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山水</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X15</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凡蒂尼</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A10</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restart"/>
                  <w:tcBorders>
                    <w:top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BT8852</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夏新</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F9</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飞利浦</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TAT1205</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5" w:type="dxa"/>
                <w:trHeight w:val="285" w:hRule="atLeast"/>
              </w:trPr>
              <w:tc>
                <w:tcPr>
                  <w:tcW w:w="97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938" w:type="dxa"/>
                  <w:gridSpan w:val="2"/>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010" w:type="dxa"/>
                  <w:tcBorders>
                    <w:right w:val="single" w:color="000000" w:sz="4" w:space="0"/>
                  </w:tcBorders>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络达</w:t>
                  </w:r>
                </w:p>
              </w:tc>
              <w:tc>
                <w:tcPr>
                  <w:tcW w:w="1882"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AB1526P</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漫步者</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TWS2</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联想</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S1</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酷我</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X1</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AB155X</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索尼</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WF-XB700</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699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索尼</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WF-H800</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143" w:type="dxa"/>
                  <w:gridSpan w:val="7"/>
                  <w:tcBorders>
                    <w:top w:val="single" w:color="000000" w:sz="4" w:space="0"/>
                    <w:left w:val="single" w:color="000000" w:sz="4" w:space="0"/>
                    <w:bottom w:val="single" w:color="000000" w:sz="4" w:space="0"/>
                    <w:right w:val="single" w:color="000000" w:sz="4" w:space="0"/>
                  </w:tcBorders>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博通集成</w:t>
                  </w:r>
                </w:p>
              </w:tc>
              <w:tc>
                <w:tcPr>
                  <w:tcW w:w="1882"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BK3266</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Skullcandy</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小魔豆</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143" w:type="dxa"/>
                  <w:gridSpan w:val="7"/>
                  <w:tcBorders>
                    <w:top w:val="single" w:color="000000" w:sz="4" w:space="0"/>
                    <w:left w:val="single" w:color="000000" w:sz="4" w:space="0"/>
                    <w:bottom w:val="single" w:color="000000" w:sz="4" w:space="0"/>
                    <w:right w:val="single" w:color="000000" w:sz="4" w:space="0"/>
                  </w:tcBorders>
                  <w:shd w:val="clear" w:color="auto" w:fill="FBD4B4"/>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高通</w:t>
                  </w:r>
                </w:p>
              </w:tc>
              <w:tc>
                <w:tcPr>
                  <w:tcW w:w="1882"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QCC3020</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漫步者</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TWS1</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漫步者</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Lollopods</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QCC304X</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VIVO</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TWS Neo</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CSR8670</w:t>
                  </w: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BOSE</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SOUNDSPORT Free</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979"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882" w:type="dxa"/>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6"/>
                      <w:szCs w:val="16"/>
                      <w:u w:val="none"/>
                    </w:rPr>
                  </w:pPr>
                </w:p>
              </w:tc>
              <w:tc>
                <w:tcPr>
                  <w:tcW w:w="1334"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漫步者</w:t>
                  </w:r>
                </w:p>
              </w:tc>
              <w:tc>
                <w:tcPr>
                  <w:tcW w:w="1933"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TWS7</w:t>
                  </w:r>
                </w:p>
              </w:tc>
              <w:tc>
                <w:tcPr>
                  <w:tcW w:w="1015"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6"/>
                      <w:szCs w:val="16"/>
                      <w:u w:val="none"/>
                    </w:rPr>
                  </w:pPr>
                  <w:r>
                    <w:rPr>
                      <w:rFonts w:hint="eastAsia" w:ascii="方正楷体_GBK" w:hAnsi="方正楷体_GBK" w:eastAsia="方正楷体_GBK" w:cs="方正楷体_GBK"/>
                      <w:i w:val="0"/>
                      <w:color w:val="000000"/>
                      <w:kern w:val="0"/>
                      <w:sz w:val="16"/>
                      <w:szCs w:val="16"/>
                      <w:u w:val="none"/>
                      <w:lang w:val="en-US" w:eastAsia="zh-CN" w:bidi="ar"/>
                    </w:rPr>
                    <w:t>1466</w:t>
                  </w:r>
                </w:p>
              </w:tc>
            </w:tr>
          </w:tbl>
          <w:p>
            <w:pPr>
              <w:jc w:val="both"/>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80" w:hRule="atLeast"/>
        </w:trPr>
        <w:tc>
          <w:tcPr>
            <w:tcW w:w="8065"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来源：公开资料整理</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从2020年7月TWS主控芯片的出货量可知，目前市场出货量最多的是利用低价主攻高性价比市场的珠海杰理和中科蓝汛，两者单月出货达到3000万片和2500万片，市占率分别为41%和34%，恒玄与络达以市占率7%和6%形成第二梯队。博通集成全新推出的BK3288正处于爬坡放量阶段，而出货量已位列前十，达80万片，渗透率有望伴随芯片通过更多厂商认证并得到方案采用而持续提升。</w:t>
      </w:r>
    </w:p>
    <w:p>
      <w:pPr>
        <w:rPr>
          <w:rFonts w:hint="default"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20</w:t>
            </w:r>
            <w:r>
              <w:rPr>
                <w:rFonts w:eastAsia="楷体" w:cs="Arial"/>
                <w:b/>
                <w:bCs/>
                <w:i/>
                <w:color w:val="000000"/>
              </w:rPr>
              <w:fldChar w:fldCharType="end"/>
            </w:r>
            <w:bookmarkStart w:id="41" w:name="_Toc641661316"/>
            <w:r>
              <w:rPr>
                <w:rFonts w:eastAsia="楷体" w:cs="Arial"/>
                <w:b/>
                <w:bCs/>
                <w:i/>
                <w:color w:val="000000"/>
              </w:rPr>
              <w:t xml:space="preserve"> 2020年7月TWS主控芯片主流厂商出货量</w:t>
            </w:r>
            <w:bookmarkEnd w:id="41"/>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10881"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5020310" cy="2450465"/>
                  <wp:effectExtent l="0" t="0" r="8890" b="13335"/>
                  <wp:docPr id="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pic:cNvPicPr>
                            <a:picLocks noChangeAspect="1"/>
                          </pic:cNvPicPr>
                        </pic:nvPicPr>
                        <pic:blipFill>
                          <a:blip r:embed="rId23"/>
                          <a:stretch>
                            <a:fillRect/>
                          </a:stretch>
                        </pic:blipFill>
                        <pic:spPr>
                          <a:xfrm>
                            <a:off x="0" y="0"/>
                            <a:ext cx="5020310" cy="245046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来源：旭日大数据，中泰证券研究所</w:t>
            </w:r>
          </w:p>
        </w:tc>
      </w:tr>
    </w:tbl>
    <w:p>
      <w:pPr>
        <w:rPr>
          <w:rFonts w:hint="default" w:eastAsia="楷体" w:cs="Arial"/>
          <w:b w:val="0"/>
          <w:bCs w:val="0"/>
          <w:color w:val="000000"/>
          <w:szCs w:val="21"/>
        </w:rPr>
      </w:pPr>
    </w:p>
    <w:p>
      <w:pPr>
        <w:ind w:left="3081" w:leftChars="1467" w:firstLine="600" w:firstLineChars="286"/>
        <w:rPr>
          <w:rFonts w:hint="default" w:eastAsia="楷体" w:cs="Arial"/>
          <w:b/>
          <w:bCs/>
          <w:color w:val="000000"/>
          <w:szCs w:val="21"/>
        </w:rPr>
      </w:pPr>
      <w:r>
        <w:rPr>
          <w:rFonts w:hint="default" w:eastAsia="楷体" w:cs="Arial"/>
          <w:b w:val="0"/>
          <w:bCs w:val="0"/>
          <w:color w:val="000000"/>
          <w:szCs w:val="21"/>
        </w:rPr>
        <w:t>中游TWS主控芯片的出货量其实与下游品牌终端厂商的价格定位息息相关，根据我们在天猫商城的草根调研，150元以下的安卓TWS耳机占到成交总笔数的65%，而400元以上的安卓TWS耳机仅占成交笔数的7%，与TWS总控芯片供应商的出货格局基本一致，</w:t>
      </w:r>
      <w:r>
        <w:rPr>
          <w:rFonts w:hint="default" w:eastAsia="楷体" w:cs="Arial"/>
          <w:b/>
          <w:bCs/>
          <w:color w:val="000000"/>
          <w:szCs w:val="21"/>
        </w:rPr>
        <w:t>可见TWS总控芯片出货数量更多由终端品牌厂商出货情况决定，也反映了消费者对价格敏感度与品质追求权衡后的考量。</w:t>
      </w:r>
      <w:r>
        <w:rPr>
          <w:rFonts w:hint="default" w:eastAsia="楷体" w:cs="Arial"/>
          <w:b w:val="0"/>
          <w:bCs w:val="0"/>
          <w:color w:val="000000"/>
          <w:szCs w:val="21"/>
        </w:rPr>
        <w:t>伴随消费升级和消费者对耳机品质不断提高，中高端品牌耳机市场占有率有望持续渗透提高。</w:t>
      </w:r>
    </w:p>
    <w:p>
      <w:pPr>
        <w:ind w:left="3081" w:leftChars="1467" w:firstLine="600" w:firstLineChars="286"/>
        <w:rPr>
          <w:rFonts w:hint="default"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20</w:t>
            </w:r>
            <w:r>
              <w:rPr>
                <w:rFonts w:eastAsia="楷体" w:cs="Arial"/>
                <w:b/>
                <w:bCs/>
                <w:i/>
                <w:color w:val="000000"/>
              </w:rPr>
              <w:fldChar w:fldCharType="end"/>
            </w:r>
            <w:bookmarkStart w:id="42" w:name="_Toc523284314"/>
            <w:r>
              <w:rPr>
                <w:rFonts w:eastAsia="楷体" w:cs="Arial"/>
                <w:b/>
                <w:bCs/>
                <w:i/>
                <w:color w:val="000000"/>
              </w:rPr>
              <w:t xml:space="preserve"> 安卓TWS在天猫商城上成交价格区间</w:t>
            </w:r>
            <w:bookmarkEnd w:id="42"/>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10881" w:type="dxa"/>
            <w:tcBorders>
              <w:top w:val="single" w:color="C00000" w:sz="8" w:space="0"/>
              <w:left w:val="nil"/>
            </w:tcBorders>
            <w:noWrap w:val="0"/>
            <w:vAlign w:val="top"/>
          </w:tcPr>
          <w:tbl>
            <w:tblPr>
              <w:tblStyle w:val="22"/>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744"/>
              <w:gridCol w:w="872"/>
              <w:gridCol w:w="979"/>
              <w:gridCol w:w="1630"/>
              <w:gridCol w:w="1606"/>
              <w:gridCol w:w="1235"/>
              <w:gridCol w:w="563"/>
              <w:gridCol w:w="2036"/>
            </w:tblGrid>
            <w:tr>
              <w:trPr>
                <w:trHeight w:val="285" w:hRule="atLeast"/>
              </w:trPr>
              <w:tc>
                <w:tcPr>
                  <w:tcW w:w="0" w:type="auto"/>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安卓TWS耳机价格分布</w:t>
                  </w:r>
                </w:p>
              </w:tc>
              <w:tc>
                <w:tcPr>
                  <w:tcW w:w="0" w:type="auto"/>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价格区间</w:t>
                  </w:r>
                </w:p>
              </w:tc>
              <w:tc>
                <w:tcPr>
                  <w:tcW w:w="0" w:type="auto"/>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主流搭载芯片</w:t>
                  </w:r>
                </w:p>
              </w:tc>
              <w:tc>
                <w:tcPr>
                  <w:tcW w:w="0" w:type="auto"/>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代表厂商</w:t>
                  </w:r>
                </w:p>
              </w:tc>
              <w:tc>
                <w:tcPr>
                  <w:tcW w:w="0" w:type="auto"/>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下游品牌</w:t>
                  </w:r>
                </w:p>
              </w:tc>
              <w:tc>
                <w:tcPr>
                  <w:tcW w:w="1235"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天猫商城成交数（单）</w:t>
                  </w:r>
                </w:p>
              </w:tc>
              <w:tc>
                <w:tcPr>
                  <w:tcW w:w="563"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占比</w:t>
                  </w:r>
                </w:p>
              </w:tc>
              <w:tc>
                <w:tcPr>
                  <w:tcW w:w="2037" w:type="dxa"/>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i w:val="0"/>
                      <w:color w:val="FFFFFF"/>
                      <w:sz w:val="21"/>
                      <w:szCs w:val="21"/>
                      <w:u w:val="none"/>
                    </w:rPr>
                  </w:pPr>
                  <w:r>
                    <w:rPr>
                      <w:rFonts w:hint="eastAsia" w:ascii="方正楷体_GBK" w:hAnsi="方正楷体_GBK" w:eastAsia="方正楷体_GBK" w:cs="方正楷体_GBK"/>
                      <w:b/>
                      <w:bCs/>
                      <w:i w:val="0"/>
                      <w:color w:val="FFFFFF"/>
                      <w:kern w:val="0"/>
                      <w:sz w:val="21"/>
                      <w:szCs w:val="21"/>
                      <w:u w:val="none"/>
                      <w:lang w:val="en-US" w:eastAsia="zh-CN" w:bidi="ar"/>
                    </w:rPr>
                    <w:t>SoC芯片代表性单价</w:t>
                  </w:r>
                </w:p>
              </w:tc>
            </w:tr>
            <w:tr>
              <w:trPr>
                <w:trHeight w:val="285" w:hRule="atLeast"/>
              </w:trPr>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低端</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150</w:t>
                  </w:r>
                  <w:r>
                    <w:rPr>
                      <w:rFonts w:hint="default" w:ascii="方正楷体_GBK" w:hAnsi="方正楷体_GBK" w:eastAsia="方正楷体_GBK" w:cs="方正楷体_GBK"/>
                      <w:i w:val="0"/>
                      <w:color w:val="000000"/>
                      <w:kern w:val="0"/>
                      <w:sz w:val="21"/>
                      <w:szCs w:val="21"/>
                      <w:u w:val="none"/>
                      <w:lang w:eastAsia="zh-CN" w:bidi="ar"/>
                    </w:rPr>
                    <w:t>以下</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低端蓝牙芯片</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杰理、中科蓝讯</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夏新、QCY、索爱</w:t>
                  </w:r>
                </w:p>
              </w:tc>
              <w:tc>
                <w:tcPr>
                  <w:tcW w:w="1235"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1610000</w:t>
                  </w:r>
                  <w:r>
                    <w:rPr>
                      <w:rFonts w:hint="default" w:ascii="方正楷体_GBK" w:hAnsi="方正楷体_GBK" w:eastAsia="方正楷体_GBK" w:cs="方正楷体_GBK"/>
                      <w:i w:val="0"/>
                      <w:color w:val="000000"/>
                      <w:kern w:val="0"/>
                      <w:sz w:val="21"/>
                      <w:szCs w:val="21"/>
                      <w:u w:val="none"/>
                      <w:lang w:eastAsia="zh-CN" w:bidi="ar"/>
                    </w:rPr>
                    <w:t>+</w:t>
                  </w:r>
                </w:p>
              </w:tc>
              <w:tc>
                <w:tcPr>
                  <w:tcW w:w="563"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65%</w:t>
                  </w:r>
                </w:p>
              </w:tc>
              <w:tc>
                <w:tcPr>
                  <w:tcW w:w="2037"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2.16</w:t>
                  </w:r>
                </w:p>
              </w:tc>
            </w:tr>
            <w:tr>
              <w:trPr>
                <w:trHeight w:val="285" w:hRule="atLeast"/>
              </w:trPr>
              <w:tc>
                <w:tcPr>
                  <w:tcW w:w="0" w:type="auto"/>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中端</w:t>
                  </w:r>
                </w:p>
              </w:tc>
              <w:tc>
                <w:tcPr>
                  <w:tcW w:w="0" w:type="auto"/>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150-400</w:t>
                  </w:r>
                </w:p>
              </w:tc>
              <w:tc>
                <w:tcPr>
                  <w:tcW w:w="0" w:type="auto"/>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普通蓝牙</w:t>
                  </w:r>
                </w:p>
              </w:tc>
              <w:tc>
                <w:tcPr>
                  <w:tcW w:w="0" w:type="auto"/>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恒玄、络达、</w:t>
                  </w:r>
                  <w:r>
                    <w:rPr>
                      <w:rFonts w:hint="default" w:ascii="方正楷体_GBK" w:hAnsi="方正楷体_GBK" w:eastAsia="方正楷体_GBK" w:cs="方正楷体_GBK"/>
                      <w:i w:val="0"/>
                      <w:color w:val="000000"/>
                      <w:kern w:val="0"/>
                      <w:sz w:val="21"/>
                      <w:szCs w:val="21"/>
                      <w:u w:val="none"/>
                      <w:lang w:eastAsia="zh-CN" w:bidi="ar"/>
                    </w:rPr>
                    <w:t>博通集成</w:t>
                  </w:r>
                </w:p>
              </w:tc>
              <w:tc>
                <w:tcPr>
                  <w:tcW w:w="0" w:type="auto"/>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小米、漫步者、oppo</w:t>
                  </w:r>
                </w:p>
              </w:tc>
              <w:tc>
                <w:tcPr>
                  <w:tcW w:w="1235" w:type="dxa"/>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680000</w:t>
                  </w:r>
                  <w:r>
                    <w:rPr>
                      <w:rFonts w:hint="default" w:ascii="方正楷体_GBK" w:hAnsi="方正楷体_GBK" w:eastAsia="方正楷体_GBK" w:cs="方正楷体_GBK"/>
                      <w:i w:val="0"/>
                      <w:color w:val="000000"/>
                      <w:kern w:val="0"/>
                      <w:sz w:val="21"/>
                      <w:szCs w:val="21"/>
                      <w:u w:val="none"/>
                      <w:lang w:eastAsia="zh-CN" w:bidi="ar"/>
                    </w:rPr>
                    <w:t>+</w:t>
                  </w:r>
                </w:p>
              </w:tc>
              <w:tc>
                <w:tcPr>
                  <w:tcW w:w="563" w:type="dxa"/>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28%</w:t>
                  </w:r>
                </w:p>
              </w:tc>
              <w:tc>
                <w:tcPr>
                  <w:tcW w:w="2037" w:type="dxa"/>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5.24</w:t>
                  </w:r>
                </w:p>
              </w:tc>
            </w:tr>
            <w:tr>
              <w:trPr>
                <w:trHeight w:val="285" w:hRule="atLeast"/>
              </w:trPr>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高端</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400+</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智能语音蓝牙</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恒玄、高通</w:t>
                  </w:r>
                </w:p>
              </w:tc>
              <w:tc>
                <w:tcPr>
                  <w:tcW w:w="0" w:type="auto"/>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荣耀、vivo、漫步者</w:t>
                  </w:r>
                </w:p>
              </w:tc>
              <w:tc>
                <w:tcPr>
                  <w:tcW w:w="1235"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172000</w:t>
                  </w:r>
                  <w:r>
                    <w:rPr>
                      <w:rFonts w:hint="default" w:ascii="方正楷体_GBK" w:hAnsi="方正楷体_GBK" w:eastAsia="方正楷体_GBK" w:cs="方正楷体_GBK"/>
                      <w:i w:val="0"/>
                      <w:color w:val="000000"/>
                      <w:kern w:val="0"/>
                      <w:sz w:val="21"/>
                      <w:szCs w:val="21"/>
                      <w:u w:val="none"/>
                      <w:lang w:eastAsia="zh-CN" w:bidi="ar"/>
                    </w:rPr>
                    <w:t>+</w:t>
                  </w:r>
                </w:p>
              </w:tc>
              <w:tc>
                <w:tcPr>
                  <w:tcW w:w="563"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7%</w:t>
                  </w:r>
                </w:p>
              </w:tc>
              <w:tc>
                <w:tcPr>
                  <w:tcW w:w="2037" w:type="dxa"/>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13.23</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来源：公开数据整理</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ind w:left="3081" w:leftChars="1467" w:firstLine="600" w:firstLineChars="286"/>
        <w:rPr>
          <w:rFonts w:hint="default" w:eastAsia="楷体" w:cs="Arial"/>
          <w:b w:val="0"/>
          <w:bCs w:val="0"/>
          <w:color w:val="000000"/>
          <w:szCs w:val="21"/>
          <w:lang w:val="en-US"/>
        </w:rPr>
      </w:pPr>
      <w:r>
        <w:rPr>
          <w:rFonts w:hint="default" w:eastAsia="楷体" w:cs="Arial"/>
          <w:b w:val="0"/>
          <w:bCs w:val="0"/>
          <w:color w:val="000000"/>
          <w:szCs w:val="21"/>
        </w:rPr>
        <w:t>根据旭日大数据和我们草根调研数据，我们将TWS耳机的总出货量（白牌+品牌）的价格分为三档，分别为以白牌为代表的低端品牌、以漫步者、小米为代表的中端品牌和以苹果、华为、Bose等为代表的高端品牌，这三档品牌具有代表性的平均价格分别为75、300、和800元。</w:t>
      </w:r>
      <w:r>
        <w:rPr>
          <w:rFonts w:hint="default" w:eastAsia="楷体" w:cs="Arial"/>
          <w:b/>
          <w:bCs/>
          <w:color w:val="000000"/>
          <w:szCs w:val="21"/>
        </w:rPr>
        <w:t>根据高通2019年无线音频使用报告，65%消费者将音质列为首要购买动力。我们预测未来品牌耳机会逐渐渗透到白牌端，市占率逐步提高。</w:t>
      </w:r>
      <w:r>
        <w:rPr>
          <w:rFonts w:hint="default" w:eastAsia="楷体" w:cs="Arial"/>
          <w:b w:val="0"/>
          <w:bCs w:val="0"/>
          <w:color w:val="000000"/>
          <w:szCs w:val="21"/>
        </w:rPr>
        <w:t>预测2020-2021年TWS（白牌+品牌）总市场规模分别为764.4亿和1343.8亿，2021年市场规模将同比提高75.7%，受益于TWS耳机总出货量和耳机单价的提升。</w:t>
      </w: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20</w:t>
            </w:r>
            <w:r>
              <w:rPr>
                <w:rFonts w:eastAsia="楷体" w:cs="Arial"/>
                <w:b/>
                <w:bCs/>
                <w:i/>
                <w:color w:val="000000"/>
              </w:rPr>
              <w:fldChar w:fldCharType="end"/>
            </w:r>
            <w:bookmarkStart w:id="43" w:name="_Toc501596519"/>
            <w:r>
              <w:rPr>
                <w:rFonts w:eastAsia="楷体" w:cs="Arial"/>
                <w:b/>
                <w:bCs/>
                <w:i/>
                <w:color w:val="000000"/>
              </w:rPr>
              <w:t xml:space="preserve"> TWS耳机市场规模测算</w:t>
            </w:r>
            <w:bookmarkEnd w:id="43"/>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10881" w:type="dxa"/>
            <w:tcBorders>
              <w:top w:val="single" w:color="C00000" w:sz="8" w:space="0"/>
              <w:left w:val="nil"/>
            </w:tcBorders>
            <w:noWrap w:val="0"/>
            <w:vAlign w:val="top"/>
          </w:tcPr>
          <w:tbl>
            <w:tblPr>
              <w:tblStyle w:val="22"/>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2958"/>
              <w:gridCol w:w="2191"/>
              <w:gridCol w:w="1647"/>
              <w:gridCol w:w="1647"/>
              <w:gridCol w:w="2220"/>
            </w:tblGrid>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年份</w:t>
                  </w:r>
                </w:p>
              </w:tc>
              <w:tc>
                <w:tcPr>
                  <w:tcW w:w="102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2018</w:t>
                  </w:r>
                </w:p>
              </w:tc>
              <w:tc>
                <w:tcPr>
                  <w:tcW w:w="772"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2019</w:t>
                  </w:r>
                </w:p>
              </w:tc>
              <w:tc>
                <w:tcPr>
                  <w:tcW w:w="772"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2020E</w:t>
                  </w:r>
                </w:p>
              </w:tc>
              <w:tc>
                <w:tcPr>
                  <w:tcW w:w="1040"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2021E</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TWS总出货量(万台)</w:t>
                  </w:r>
                </w:p>
              </w:tc>
              <w:tc>
                <w:tcPr>
                  <w:tcW w:w="102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15000</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31500</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40500</w:t>
                  </w:r>
                </w:p>
              </w:tc>
              <w:tc>
                <w:tcPr>
                  <w:tcW w:w="104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62500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白牌(低端)渗透率</w:t>
                  </w:r>
                </w:p>
              </w:tc>
              <w:tc>
                <w:tcPr>
                  <w:tcW w:w="102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70%</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65%</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65%</w:t>
                  </w:r>
                </w:p>
              </w:tc>
              <w:tc>
                <w:tcPr>
                  <w:tcW w:w="104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60%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品牌(中高端)渗透率</w:t>
                  </w:r>
                </w:p>
              </w:tc>
              <w:tc>
                <w:tcPr>
                  <w:tcW w:w="102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30%</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35%</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35%</w:t>
                  </w:r>
                </w:p>
              </w:tc>
              <w:tc>
                <w:tcPr>
                  <w:tcW w:w="104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40%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1.中端品牌</w:t>
                  </w:r>
                </w:p>
              </w:tc>
              <w:tc>
                <w:tcPr>
                  <w:tcW w:w="102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23%</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28%</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28%</w:t>
                  </w:r>
                </w:p>
              </w:tc>
              <w:tc>
                <w:tcPr>
                  <w:tcW w:w="104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2.高端品牌</w:t>
                  </w:r>
                </w:p>
              </w:tc>
              <w:tc>
                <w:tcPr>
                  <w:tcW w:w="102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w:t>
                  </w:r>
                </w:p>
              </w:tc>
              <w:tc>
                <w:tcPr>
                  <w:tcW w:w="104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低端白牌单价(元/副)</w:t>
                  </w:r>
                </w:p>
              </w:tc>
              <w:tc>
                <w:tcPr>
                  <w:tcW w:w="3612" w:type="pct"/>
                  <w:gridSpan w:val="4"/>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75</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中端白牌单价(元/副)</w:t>
                  </w:r>
                </w:p>
              </w:tc>
              <w:tc>
                <w:tcPr>
                  <w:tcW w:w="3612" w:type="pct"/>
                  <w:gridSpan w:val="4"/>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300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高端白牌单价(元/副)</w:t>
                  </w:r>
                </w:p>
              </w:tc>
              <w:tc>
                <w:tcPr>
                  <w:tcW w:w="3612" w:type="pct"/>
                  <w:gridSpan w:val="4"/>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800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低端市场规模(亿元)</w:t>
                  </w:r>
                </w:p>
              </w:tc>
              <w:tc>
                <w:tcPr>
                  <w:tcW w:w="102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78.75</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153.56</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197.43</w:t>
                  </w:r>
                </w:p>
              </w:tc>
              <w:tc>
                <w:tcPr>
                  <w:tcW w:w="104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281.25</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中端市场规模(亿元)</w:t>
                  </w:r>
                </w:p>
              </w:tc>
              <w:tc>
                <w:tcPr>
                  <w:tcW w:w="102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103.5</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264.6</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340.2</w:t>
                  </w:r>
                </w:p>
              </w:tc>
              <w:tc>
                <w:tcPr>
                  <w:tcW w:w="104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562.5</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高端市场规模(亿元)</w:t>
                  </w:r>
                </w:p>
              </w:tc>
              <w:tc>
                <w:tcPr>
                  <w:tcW w:w="102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84</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176.4</w:t>
                  </w:r>
                </w:p>
              </w:tc>
              <w:tc>
                <w:tcPr>
                  <w:tcW w:w="77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226.8</w:t>
                  </w:r>
                </w:p>
              </w:tc>
              <w:tc>
                <w:tcPr>
                  <w:tcW w:w="104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500</w:t>
                  </w:r>
                </w:p>
              </w:tc>
            </w:tr>
            <w:tr>
              <w:trPr>
                <w:trHeight w:val="225" w:hRule="atLeast"/>
              </w:trPr>
              <w:tc>
                <w:tcPr>
                  <w:tcW w:w="138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总市场规模(亿元)</w:t>
                  </w:r>
                </w:p>
              </w:tc>
              <w:tc>
                <w:tcPr>
                  <w:tcW w:w="102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266.25</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594.56</w:t>
                  </w:r>
                </w:p>
              </w:tc>
              <w:tc>
                <w:tcPr>
                  <w:tcW w:w="77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764.43</w:t>
                  </w:r>
                </w:p>
              </w:tc>
              <w:tc>
                <w:tcPr>
                  <w:tcW w:w="104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1343.75</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来源：旭日大数据，公开数据整理</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pStyle w:val="35"/>
        <w:ind w:firstLine="103" w:firstLineChars="49"/>
        <w:rPr>
          <w:rFonts w:hint="default" w:eastAsia="楷体" w:cs="Arial"/>
          <w:color w:val="000000"/>
        </w:rPr>
      </w:pPr>
    </w:p>
    <w:p>
      <w:pPr>
        <w:pStyle w:val="35"/>
        <w:ind w:firstLine="103" w:firstLineChars="49"/>
        <w:rPr>
          <w:rFonts w:hint="default" w:eastAsia="楷体" w:cs="Arial"/>
          <w:color w:val="000000"/>
        </w:rPr>
      </w:pPr>
      <w:bookmarkStart w:id="44" w:name="_Toc2061114181"/>
      <w:r>
        <w:rPr>
          <w:rFonts w:hint="default" w:eastAsia="楷体" w:cs="Arial"/>
          <w:color w:val="000000"/>
        </w:rPr>
        <w:t>TWS总成芯片SoC参数对比，技术是重要竞争力</w:t>
      </w:r>
      <w:bookmarkEnd w:id="44"/>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智能音频 SoC 芯片系统设计难度高，涵盖了多个技术领域，包括CPU、射频、软件、电源、音频、基带等，对设计团队综合技术能力带来很高要求。</w:t>
      </w: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现设计智能音频SoC芯片关键参数在于：</w:t>
      </w:r>
    </w:p>
    <w:p>
      <w:pPr>
        <w:numPr>
          <w:ilvl w:val="0"/>
          <w:numId w:val="9"/>
        </w:num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有</w:t>
      </w:r>
      <w:r>
        <w:rPr>
          <w:rFonts w:hint="default" w:eastAsia="楷体" w:cs="Arial"/>
          <w:b/>
          <w:bCs/>
          <w:color w:val="000000"/>
          <w:szCs w:val="21"/>
          <w:u w:val="single"/>
        </w:rPr>
        <w:t>更快的边缘计算能力</w:t>
      </w:r>
      <w:r>
        <w:rPr>
          <w:rFonts w:hint="default" w:eastAsia="楷体" w:cs="Arial"/>
          <w:b w:val="0"/>
          <w:bCs w:val="0"/>
          <w:color w:val="000000"/>
          <w:szCs w:val="21"/>
        </w:rPr>
        <w:t>，以实现 AIoT 技术在各场景下的落地；</w:t>
      </w:r>
    </w:p>
    <w:p>
      <w:pPr>
        <w:numPr>
          <w:ilvl w:val="0"/>
          <w:numId w:val="9"/>
        </w:num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需要支持</w:t>
      </w:r>
      <w:r>
        <w:rPr>
          <w:rFonts w:hint="default" w:eastAsia="楷体" w:cs="Arial"/>
          <w:b/>
          <w:bCs/>
          <w:color w:val="000000"/>
          <w:szCs w:val="21"/>
          <w:u w:val="single"/>
        </w:rPr>
        <w:t>本地自主决断及响应能力</w:t>
      </w:r>
      <w:r>
        <w:rPr>
          <w:rFonts w:hint="default" w:eastAsia="楷体" w:cs="Arial"/>
          <w:b w:val="0"/>
          <w:bCs w:val="0"/>
          <w:color w:val="000000"/>
          <w:szCs w:val="21"/>
        </w:rPr>
        <w:t>，譬如语音唤醒，对芯片算力提出更高要求；</w:t>
      </w:r>
    </w:p>
    <w:p>
      <w:pPr>
        <w:numPr>
          <w:ilvl w:val="0"/>
          <w:numId w:val="9"/>
        </w:num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追求</w:t>
      </w:r>
      <w:r>
        <w:rPr>
          <w:rFonts w:hint="default" w:eastAsia="楷体" w:cs="Arial"/>
          <w:b/>
          <w:bCs/>
          <w:color w:val="000000"/>
          <w:szCs w:val="21"/>
          <w:u w:val="single"/>
        </w:rPr>
        <w:t>更高的芯片集成度</w:t>
      </w:r>
      <w:r>
        <w:rPr>
          <w:rFonts w:hint="default" w:eastAsia="楷体" w:cs="Arial"/>
          <w:b w:val="0"/>
          <w:bCs w:val="0"/>
          <w:color w:val="000000"/>
          <w:szCs w:val="21"/>
        </w:rPr>
        <w:t>、尺寸更小，以便留出更多空间给电池及其他器件，满足可穿戴设备尺寸不断减小的趋势；</w:t>
      </w:r>
    </w:p>
    <w:p>
      <w:pPr>
        <w:numPr>
          <w:ilvl w:val="0"/>
          <w:numId w:val="9"/>
        </w:num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追求</w:t>
      </w:r>
      <w:r>
        <w:rPr>
          <w:rFonts w:hint="default" w:eastAsia="楷体" w:cs="Arial"/>
          <w:b/>
          <w:bCs/>
          <w:color w:val="000000"/>
          <w:szCs w:val="21"/>
          <w:u w:val="single"/>
        </w:rPr>
        <w:t>更低的芯片功耗</w:t>
      </w:r>
      <w:r>
        <w:rPr>
          <w:rFonts w:hint="default" w:eastAsia="楷体" w:cs="Arial"/>
          <w:b w:val="0"/>
          <w:bCs w:val="0"/>
          <w:color w:val="000000"/>
          <w:szCs w:val="21"/>
        </w:rPr>
        <w:t>，在可穿戴设备性能增强和功能增多的同时，又需要较长的续航时间。</w:t>
      </w:r>
    </w:p>
    <w:p>
      <w:pPr>
        <w:numPr>
          <w:ilvl w:val="0"/>
          <w:numId w:val="0"/>
        </w:numPr>
        <w:ind w:leftChars="1753"/>
        <w:rPr>
          <w:rFonts w:hint="default" w:eastAsia="楷体" w:cs="Arial"/>
          <w:b w:val="0"/>
          <w:bCs w:val="0"/>
          <w:color w:val="000000"/>
          <w:szCs w:val="21"/>
        </w:rPr>
      </w:pPr>
      <w:r>
        <w:rPr>
          <w:rFonts w:hint="default" w:eastAsia="楷体" w:cs="Arial"/>
          <w:b w:val="0"/>
          <w:bCs w:val="0"/>
          <w:color w:val="000000"/>
          <w:szCs w:val="21"/>
        </w:rPr>
        <w:t>以上终端设备需求特点使得智能语音 SoC 芯片的设计有较高的技术复杂度和难度，我们将主流TWS芯片厂商的主流产品技术进行对比，数据如下：</w:t>
      </w:r>
    </w:p>
    <w:p>
      <w:pPr>
        <w:numPr>
          <w:ilvl w:val="0"/>
          <w:numId w:val="0"/>
        </w:numPr>
        <w:ind w:leftChars="1753"/>
        <w:rPr>
          <w:rFonts w:hint="default"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19</w:t>
            </w:r>
            <w:r>
              <w:rPr>
                <w:rFonts w:eastAsia="楷体" w:cs="Arial"/>
                <w:b/>
                <w:bCs/>
                <w:i/>
                <w:color w:val="000000"/>
              </w:rPr>
              <w:fldChar w:fldCharType="end"/>
            </w:r>
            <w:bookmarkStart w:id="45" w:name="_Toc1394944519"/>
            <w:r>
              <w:rPr>
                <w:rFonts w:eastAsia="楷体" w:cs="Arial"/>
                <w:b/>
                <w:bCs/>
                <w:i/>
                <w:color w:val="000000"/>
              </w:rPr>
              <w:t xml:space="preserve"> </w:t>
            </w:r>
            <w:r>
              <w:rPr>
                <w:rFonts w:eastAsia="楷体" w:cs="Arial"/>
                <w:b/>
                <w:bCs/>
                <w:i/>
                <w:color w:val="auto"/>
              </w:rPr>
              <w:t>主流TWS芯片厂商技术对比</w:t>
            </w:r>
            <w:bookmarkEnd w:id="45"/>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图表16：</w:t>
            </w:r>
            <w:r>
              <w:rPr>
                <w:rFonts w:hint="eastAsia" w:eastAsia="楷体" w:cs="Arial"/>
                <w:b/>
                <w:bCs/>
                <w:i/>
                <w:color w:val="000000"/>
              </w:rPr>
              <w:t>主流</w:t>
            </w:r>
            <w:r>
              <w:rPr>
                <w:rFonts w:eastAsia="楷体" w:cs="Arial"/>
                <w:b/>
                <w:bCs/>
                <w:i/>
                <w:color w:val="000000"/>
              </w:rPr>
              <w:t>TWS</w:t>
            </w:r>
            <w:r>
              <w:rPr>
                <w:rFonts w:hint="eastAsia" w:eastAsia="楷体" w:cs="Arial"/>
                <w:b/>
                <w:bCs/>
                <w:i/>
                <w:color w:val="000000"/>
              </w:rPr>
              <w:t>厂商相关信息</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377" w:hRule="atLeast"/>
        </w:trPr>
        <w:tc>
          <w:tcPr>
            <w:tcW w:w="10881" w:type="dxa"/>
            <w:tcBorders>
              <w:top w:val="single" w:color="C00000" w:sz="8" w:space="0"/>
              <w:left w:val="nil"/>
            </w:tcBorders>
            <w:noWrap w:val="0"/>
            <w:vAlign w:val="top"/>
          </w:tcPr>
          <w:tbl>
            <w:tblPr>
              <w:tblStyle w:val="22"/>
              <w:tblW w:w="9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086"/>
              <w:gridCol w:w="874"/>
              <w:gridCol w:w="830"/>
              <w:gridCol w:w="924"/>
              <w:gridCol w:w="780"/>
              <w:gridCol w:w="1051"/>
              <w:gridCol w:w="637"/>
              <w:gridCol w:w="1245"/>
              <w:gridCol w:w="633"/>
              <w:gridCol w:w="587"/>
              <w:gridCol w:w="523"/>
              <w:gridCol w:w="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7A7A7"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主要厂商</w:t>
                  </w:r>
                </w:p>
              </w:tc>
              <w:tc>
                <w:tcPr>
                  <w:tcW w:w="874"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代表产品</w:t>
                  </w:r>
                </w:p>
              </w:tc>
              <w:tc>
                <w:tcPr>
                  <w:tcW w:w="830"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是否外销</w:t>
                  </w:r>
                </w:p>
              </w:tc>
              <w:tc>
                <w:tcPr>
                  <w:tcW w:w="924"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推出时间</w:t>
                  </w:r>
                </w:p>
              </w:tc>
              <w:tc>
                <w:tcPr>
                  <w:tcW w:w="780"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传输技术</w:t>
                  </w:r>
                </w:p>
              </w:tc>
              <w:tc>
                <w:tcPr>
                  <w:tcW w:w="1051"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集成主动降噪</w:t>
                  </w:r>
                </w:p>
              </w:tc>
              <w:tc>
                <w:tcPr>
                  <w:tcW w:w="637"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集成语音唤醒</w:t>
                  </w:r>
                </w:p>
              </w:tc>
              <w:tc>
                <w:tcPr>
                  <w:tcW w:w="1245"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CPU</w:t>
                  </w:r>
                </w:p>
              </w:tc>
              <w:tc>
                <w:tcPr>
                  <w:tcW w:w="633"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RAM</w:t>
                  </w:r>
                </w:p>
              </w:tc>
              <w:tc>
                <w:tcPr>
                  <w:tcW w:w="587"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信噪比</w:t>
                  </w:r>
                </w:p>
              </w:tc>
              <w:tc>
                <w:tcPr>
                  <w:tcW w:w="523"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工艺制程</w:t>
                  </w:r>
                </w:p>
              </w:tc>
              <w:tc>
                <w:tcPr>
                  <w:tcW w:w="588" w:type="dxa"/>
                  <w:tcBorders>
                    <w:top w:val="single" w:color="auto" w:sz="4" w:space="0"/>
                    <w:left w:val="single" w:color="auto" w:sz="4" w:space="0"/>
                    <w:bottom w:val="single" w:color="auto" w:sz="4" w:space="0"/>
                    <w:right w:val="single" w:color="auto"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bCs/>
                      <w:color w:val="FFFFFF"/>
                      <w:sz w:val="18"/>
                      <w:szCs w:val="18"/>
                    </w:rPr>
                  </w:pPr>
                  <w:r>
                    <w:rPr>
                      <w:rFonts w:hint="eastAsia" w:ascii="方正楷体_GBK" w:hAnsi="方正楷体_GBK" w:eastAsia="方正楷体_GBK" w:cs="方正楷体_GBK"/>
                      <w:b/>
                      <w:bCs/>
                      <w:i w:val="0"/>
                      <w:color w:val="FFFFFF"/>
                      <w:kern w:val="0"/>
                      <w:sz w:val="18"/>
                      <w:szCs w:val="18"/>
                      <w:u w:val="none"/>
                      <w:lang w:val="en-US" w:eastAsia="zh-CN" w:bidi="ar"/>
                    </w:rPr>
                    <w:t>功耗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苹果</w:t>
                  </w:r>
                </w:p>
              </w:tc>
              <w:tc>
                <w:tcPr>
                  <w:tcW w:w="87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H1</w:t>
                  </w:r>
                </w:p>
              </w:tc>
              <w:tc>
                <w:tcPr>
                  <w:tcW w:w="83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2019</w:t>
                  </w:r>
                </w:p>
              </w:tc>
              <w:tc>
                <w:tcPr>
                  <w:tcW w:w="78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Snoop</w:t>
                  </w:r>
                </w:p>
              </w:tc>
              <w:tc>
                <w:tcPr>
                  <w:tcW w:w="1051"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63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63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58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52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16nm</w:t>
                  </w:r>
                </w:p>
              </w:tc>
              <w:tc>
                <w:tcPr>
                  <w:tcW w:w="588"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&lt;5mA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华为</w:t>
                  </w:r>
                </w:p>
              </w:tc>
              <w:tc>
                <w:tcPr>
                  <w:tcW w:w="87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麒麟A1</w:t>
                  </w:r>
                </w:p>
              </w:tc>
              <w:tc>
                <w:tcPr>
                  <w:tcW w:w="83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2019</w:t>
                  </w:r>
                </w:p>
              </w:tc>
              <w:tc>
                <w:tcPr>
                  <w:tcW w:w="78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双通道传输</w:t>
                  </w:r>
                </w:p>
              </w:tc>
              <w:tc>
                <w:tcPr>
                  <w:tcW w:w="1051"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63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63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58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52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c>
                <w:tcPr>
                  <w:tcW w:w="588"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未公开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高通</w:t>
                  </w:r>
                </w:p>
              </w:tc>
              <w:tc>
                <w:tcPr>
                  <w:tcW w:w="87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QCC512X</w:t>
                  </w:r>
                </w:p>
              </w:tc>
              <w:tc>
                <w:tcPr>
                  <w:tcW w:w="83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2018</w:t>
                  </w:r>
                </w:p>
              </w:tc>
              <w:tc>
                <w:tcPr>
                  <w:tcW w:w="78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TWS Plus</w:t>
                  </w:r>
                </w:p>
              </w:tc>
              <w:tc>
                <w:tcPr>
                  <w:tcW w:w="1051"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单芯片集成</w:t>
                  </w:r>
                </w:p>
              </w:tc>
              <w:tc>
                <w:tcPr>
                  <w:tcW w:w="63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120 MHz Dual </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Kalimba Audio </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DSP</w:t>
                  </w:r>
                </w:p>
              </w:tc>
              <w:tc>
                <w:tcPr>
                  <w:tcW w:w="63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256KB</w:t>
                  </w:r>
                </w:p>
              </w:tc>
              <w:tc>
                <w:tcPr>
                  <w:tcW w:w="58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98dB</w:t>
                  </w:r>
                </w:p>
              </w:tc>
              <w:tc>
                <w:tcPr>
                  <w:tcW w:w="52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40nm</w:t>
                  </w:r>
                </w:p>
              </w:tc>
              <w:tc>
                <w:tcPr>
                  <w:tcW w:w="588"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6mA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b w:val="0"/>
                      <w:i w:val="0"/>
                      <w:color w:val="000000"/>
                      <w:kern w:val="0"/>
                      <w:sz w:val="18"/>
                      <w:szCs w:val="18"/>
                      <w:u w:val="none"/>
                      <w:lang w:eastAsia="zh-CN" w:bidi="ar"/>
                    </w:rPr>
                  </w:pPr>
                  <w:r>
                    <w:rPr>
                      <w:rFonts w:hint="default" w:ascii="方正楷体_GBK" w:hAnsi="方正楷体_GBK" w:eastAsia="方正楷体_GBK" w:cs="方正楷体_GBK"/>
                      <w:b/>
                      <w:bCs/>
                      <w:i w:val="0"/>
                      <w:color w:val="FF0000"/>
                      <w:kern w:val="0"/>
                      <w:sz w:val="18"/>
                      <w:szCs w:val="18"/>
                      <w:u w:val="none"/>
                      <w:lang w:eastAsia="zh-CN" w:bidi="ar"/>
                    </w:rPr>
                    <w:t>博通集成</w:t>
                  </w:r>
                </w:p>
              </w:tc>
              <w:tc>
                <w:tcPr>
                  <w:tcW w:w="87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bCs/>
                      <w:color w:val="FF0000"/>
                      <w:sz w:val="18"/>
                      <w:szCs w:val="18"/>
                    </w:rPr>
                    <w:t>BK3288</w:t>
                  </w:r>
                </w:p>
              </w:tc>
              <w:tc>
                <w:tcPr>
                  <w:tcW w:w="83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20</w:t>
                  </w:r>
                  <w:r>
                    <w:rPr>
                      <w:rFonts w:hint="default" w:ascii="方正楷体_GBK" w:hAnsi="方正楷体_GBK" w:eastAsia="方正楷体_GBK" w:cs="方正楷体_GBK"/>
                      <w:b w:val="0"/>
                      <w:i w:val="0"/>
                      <w:color w:val="000000"/>
                      <w:kern w:val="0"/>
                      <w:sz w:val="18"/>
                      <w:szCs w:val="18"/>
                      <w:u w:val="none"/>
                      <w:lang w:eastAsia="zh-CN" w:bidi="ar"/>
                    </w:rPr>
                    <w:t>20</w:t>
                  </w:r>
                </w:p>
              </w:tc>
              <w:tc>
                <w:tcPr>
                  <w:tcW w:w="78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val="0"/>
                      <w:i w:val="0"/>
                      <w:color w:val="000000"/>
                      <w:kern w:val="0"/>
                      <w:sz w:val="18"/>
                      <w:szCs w:val="18"/>
                      <w:u w:val="none"/>
                      <w:lang w:eastAsia="zh-CN" w:bidi="ar"/>
                    </w:rPr>
                    <w:t>双通道传输</w:t>
                  </w:r>
                </w:p>
              </w:tc>
              <w:tc>
                <w:tcPr>
                  <w:tcW w:w="1051"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bCs/>
                      <w:i w:val="0"/>
                      <w:color w:val="FF0000"/>
                      <w:kern w:val="0"/>
                      <w:sz w:val="18"/>
                      <w:szCs w:val="18"/>
                      <w:u w:val="none"/>
                      <w:lang w:val="en-US" w:eastAsia="zh-CN" w:bidi="ar"/>
                    </w:rPr>
                    <w:t>单芯片集成</w:t>
                  </w:r>
                </w:p>
              </w:tc>
              <w:tc>
                <w:tcPr>
                  <w:tcW w:w="63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bCs/>
                      <w:i w:val="0"/>
                      <w:color w:val="FF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bCs/>
                      <w:i w:val="0"/>
                      <w:color w:val="FF0000"/>
                      <w:kern w:val="0"/>
                      <w:sz w:val="18"/>
                      <w:szCs w:val="18"/>
                      <w:u w:val="none"/>
                      <w:lang w:eastAsia="zh-CN" w:bidi="ar"/>
                    </w:rPr>
                    <w:t>双处理器</w:t>
                  </w:r>
                  <w:r>
                    <w:rPr>
                      <w:rFonts w:hint="default" w:ascii="方正楷体_GBK" w:hAnsi="方正楷体_GBK" w:eastAsia="方正楷体_GBK" w:cs="方正楷体_GBK"/>
                      <w:b/>
                      <w:bCs/>
                      <w:color w:val="FF0000"/>
                      <w:sz w:val="18"/>
                      <w:szCs w:val="18"/>
                    </w:rPr>
                    <w:t>CEVA-X2 DSP</w:t>
                  </w:r>
                </w:p>
              </w:tc>
              <w:tc>
                <w:tcPr>
                  <w:tcW w:w="63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color w:val="393939"/>
                      <w:sz w:val="18"/>
                      <w:szCs w:val="18"/>
                    </w:rPr>
                    <w:t>未公开</w:t>
                  </w:r>
                </w:p>
              </w:tc>
              <w:tc>
                <w:tcPr>
                  <w:tcW w:w="58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default" w:ascii="方正楷体_GBK" w:hAnsi="方正楷体_GBK" w:eastAsia="方正楷体_GBK" w:cs="方正楷体_GBK"/>
                      <w:b/>
                      <w:bCs/>
                      <w:color w:val="FF0000"/>
                      <w:sz w:val="18"/>
                      <w:szCs w:val="18"/>
                    </w:rPr>
                  </w:pPr>
                  <w:r>
                    <w:rPr>
                      <w:rFonts w:hint="default" w:ascii="方正楷体_GBK" w:hAnsi="方正楷体_GBK" w:eastAsia="方正楷体_GBK" w:cs="方正楷体_GBK"/>
                      <w:b/>
                      <w:bCs/>
                      <w:color w:val="FF0000"/>
                      <w:sz w:val="18"/>
                      <w:szCs w:val="18"/>
                    </w:rPr>
                    <w:t>DAC：104dB</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default" w:ascii="方正楷体_GBK" w:hAnsi="方正楷体_GBK" w:eastAsia="方正楷体_GBK" w:cs="方正楷体_GBK"/>
                      <w:b/>
                      <w:bCs/>
                      <w:color w:val="FF0000"/>
                      <w:sz w:val="18"/>
                      <w:szCs w:val="18"/>
                    </w:rPr>
                  </w:pPr>
                  <w:r>
                    <w:rPr>
                      <w:rFonts w:hint="default" w:ascii="方正楷体_GBK" w:hAnsi="方正楷体_GBK" w:eastAsia="方正楷体_GBK" w:cs="方正楷体_GBK"/>
                      <w:b/>
                      <w:bCs/>
                      <w:color w:val="FF0000"/>
                      <w:sz w:val="18"/>
                      <w:szCs w:val="18"/>
                    </w:rPr>
                    <w:t>ADC：</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bCs/>
                      <w:color w:val="FF0000"/>
                      <w:sz w:val="18"/>
                      <w:szCs w:val="18"/>
                    </w:rPr>
                    <w:t>96dB</w:t>
                  </w:r>
                </w:p>
              </w:tc>
              <w:tc>
                <w:tcPr>
                  <w:tcW w:w="52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bCs/>
                      <w:i w:val="0"/>
                      <w:color w:val="FF0000"/>
                      <w:kern w:val="0"/>
                      <w:sz w:val="18"/>
                      <w:szCs w:val="18"/>
                      <w:u w:val="none"/>
                      <w:lang w:eastAsia="zh-CN" w:bidi="ar"/>
                    </w:rPr>
                    <w:t>28</w:t>
                  </w:r>
                  <w:r>
                    <w:rPr>
                      <w:rFonts w:hint="eastAsia" w:ascii="方正楷体_GBK" w:hAnsi="方正楷体_GBK" w:eastAsia="方正楷体_GBK" w:cs="方正楷体_GBK"/>
                      <w:b/>
                      <w:bCs/>
                      <w:i w:val="0"/>
                      <w:color w:val="FF0000"/>
                      <w:kern w:val="0"/>
                      <w:sz w:val="18"/>
                      <w:szCs w:val="18"/>
                      <w:u w:val="none"/>
                      <w:lang w:val="en-US" w:eastAsia="zh-CN" w:bidi="ar"/>
                    </w:rPr>
                    <w:t>nm</w:t>
                  </w:r>
                </w:p>
              </w:tc>
              <w:tc>
                <w:tcPr>
                  <w:tcW w:w="588"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default" w:ascii="方正楷体_GBK" w:hAnsi="方正楷体_GBK" w:eastAsia="方正楷体_GBK" w:cs="方正楷体_GBK"/>
                      <w:b/>
                      <w:bCs/>
                      <w:i w:val="0"/>
                      <w:color w:val="FF0000"/>
                      <w:kern w:val="0"/>
                      <w:sz w:val="18"/>
                      <w:szCs w:val="18"/>
                      <w:u w:val="none"/>
                      <w:lang w:eastAsia="zh-CN" w:bidi="ar"/>
                    </w:rPr>
                    <w:t>&lt;4</w:t>
                  </w:r>
                  <w:r>
                    <w:rPr>
                      <w:rFonts w:hint="eastAsia" w:ascii="方正楷体_GBK" w:hAnsi="方正楷体_GBK" w:eastAsia="方正楷体_GBK" w:cs="方正楷体_GBK"/>
                      <w:b/>
                      <w:bCs/>
                      <w:i w:val="0"/>
                      <w:color w:val="FF0000"/>
                      <w:kern w:val="0"/>
                      <w:sz w:val="18"/>
                      <w:szCs w:val="18"/>
                      <w:u w:val="none"/>
                      <w:lang w:val="en-US" w:eastAsia="zh-CN" w:bidi="ar"/>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恒玄科技</w:t>
                  </w:r>
                </w:p>
              </w:tc>
              <w:tc>
                <w:tcPr>
                  <w:tcW w:w="87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BES2300</w:t>
                  </w:r>
                </w:p>
              </w:tc>
              <w:tc>
                <w:tcPr>
                  <w:tcW w:w="83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2018</w:t>
                  </w:r>
                </w:p>
              </w:tc>
              <w:tc>
                <w:tcPr>
                  <w:tcW w:w="78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IBRT</w:t>
                  </w:r>
                </w:p>
              </w:tc>
              <w:tc>
                <w:tcPr>
                  <w:tcW w:w="1051"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单芯片集成</w:t>
                  </w:r>
                </w:p>
              </w:tc>
              <w:tc>
                <w:tcPr>
                  <w:tcW w:w="63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300MHz </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Dual-core ARM</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CM4F</w:t>
                  </w:r>
                </w:p>
              </w:tc>
              <w:tc>
                <w:tcPr>
                  <w:tcW w:w="63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1024KB</w:t>
                  </w:r>
                </w:p>
              </w:tc>
              <w:tc>
                <w:tcPr>
                  <w:tcW w:w="58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110dB</w:t>
                  </w:r>
                </w:p>
              </w:tc>
              <w:tc>
                <w:tcPr>
                  <w:tcW w:w="52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28nm</w:t>
                  </w:r>
                </w:p>
              </w:tc>
              <w:tc>
                <w:tcPr>
                  <w:tcW w:w="588"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5mA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6" w:hRule="atLeast"/>
                <w:jc w:val="center"/>
              </w:trPr>
              <w:tc>
                <w:tcPr>
                  <w:tcW w:w="1086"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联发科/络达</w:t>
                  </w:r>
                </w:p>
              </w:tc>
              <w:tc>
                <w:tcPr>
                  <w:tcW w:w="87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AB155X</w:t>
                  </w:r>
                </w:p>
              </w:tc>
              <w:tc>
                <w:tcPr>
                  <w:tcW w:w="83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924"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2019</w:t>
                  </w:r>
                </w:p>
              </w:tc>
              <w:tc>
                <w:tcPr>
                  <w:tcW w:w="780"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MCSync</w:t>
                  </w:r>
                </w:p>
              </w:tc>
              <w:tc>
                <w:tcPr>
                  <w:tcW w:w="1051"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单芯片集成</w:t>
                  </w:r>
                </w:p>
              </w:tc>
              <w:tc>
                <w:tcPr>
                  <w:tcW w:w="63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w:t>
                  </w:r>
                </w:p>
              </w:tc>
              <w:tc>
                <w:tcPr>
                  <w:tcW w:w="1245"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156MHz ARM </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sz w:val="18"/>
                      <w:szCs w:val="18"/>
                    </w:rPr>
                  </w:pPr>
                  <w:r>
                    <w:rPr>
                      <w:rFonts w:hint="eastAsia" w:ascii="方正楷体_GBK" w:hAnsi="方正楷体_GBK" w:eastAsia="方正楷体_GBK" w:cs="方正楷体_GBK"/>
                      <w:b w:val="0"/>
                      <w:i w:val="0"/>
                      <w:color w:val="000000"/>
                      <w:kern w:val="0"/>
                      <w:sz w:val="18"/>
                      <w:szCs w:val="18"/>
                      <w:u w:val="none"/>
                      <w:lang w:val="en-US" w:eastAsia="zh-CN" w:bidi="ar"/>
                    </w:rPr>
                    <w:t>CM4F+312MHz </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HiFi Audio DSP</w:t>
                  </w:r>
                </w:p>
              </w:tc>
              <w:tc>
                <w:tcPr>
                  <w:tcW w:w="63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608KB</w:t>
                  </w:r>
                </w:p>
              </w:tc>
              <w:tc>
                <w:tcPr>
                  <w:tcW w:w="587"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100dB</w:t>
                  </w:r>
                </w:p>
              </w:tc>
              <w:tc>
                <w:tcPr>
                  <w:tcW w:w="523"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55nm</w:t>
                  </w:r>
                </w:p>
              </w:tc>
              <w:tc>
                <w:tcPr>
                  <w:tcW w:w="588" w:type="dxa"/>
                  <w:tcBorders>
                    <w:top w:val="single" w:color="auto" w:sz="4" w:space="0"/>
                    <w:left w:val="single" w:color="auto" w:sz="4" w:space="0"/>
                    <w:bottom w:val="single" w:color="auto" w:sz="4" w:space="0"/>
                    <w:right w:val="single" w:color="auto" w:sz="4" w:space="0"/>
                  </w:tcBorders>
                  <w:shd w:val="clear" w:color="auto" w:fill="FBD4B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0" w:firstLineChars="0"/>
                    <w:jc w:val="left"/>
                    <w:textAlignment w:val="center"/>
                    <w:outlineLvl w:val="9"/>
                    <w:rPr>
                      <w:rFonts w:hint="eastAsia" w:ascii="方正楷体_GBK" w:hAnsi="方正楷体_GBK" w:eastAsia="方正楷体_GBK" w:cs="方正楷体_GBK"/>
                      <w:color w:val="393939"/>
                      <w:kern w:val="2"/>
                      <w:sz w:val="18"/>
                      <w:szCs w:val="18"/>
                      <w:lang w:val="en-US" w:eastAsia="zh-CN" w:bidi="ar-SA"/>
                    </w:rPr>
                  </w:pPr>
                  <w:r>
                    <w:rPr>
                      <w:rFonts w:hint="eastAsia" w:ascii="方正楷体_GBK" w:hAnsi="方正楷体_GBK" w:eastAsia="方正楷体_GBK" w:cs="方正楷体_GBK"/>
                      <w:b w:val="0"/>
                      <w:i w:val="0"/>
                      <w:color w:val="000000"/>
                      <w:kern w:val="0"/>
                      <w:sz w:val="18"/>
                      <w:szCs w:val="18"/>
                      <w:u w:val="none"/>
                      <w:lang w:val="en-US" w:eastAsia="zh-CN" w:bidi="ar"/>
                    </w:rPr>
                    <w:t>&gt;6mA</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auto"/>
                <w:sz w:val="15"/>
              </w:rPr>
              <w:t>来源：恒玄科技招股书</w:t>
            </w:r>
            <w:r>
              <w:rPr>
                <w:rFonts w:hint="eastAsia" w:eastAsia="楷体" w:cs="Arial"/>
                <w:color w:val="auto"/>
                <w:sz w:val="15"/>
              </w:rPr>
              <w:t>，</w:t>
            </w:r>
            <w:r>
              <w:rPr>
                <w:rFonts w:hint="default" w:eastAsia="楷体" w:cs="Arial"/>
                <w:color w:val="auto"/>
                <w:sz w:val="15"/>
              </w:rPr>
              <w:t>公开资料整理，</w:t>
            </w:r>
            <w:r>
              <w:rPr>
                <w:rFonts w:eastAsia="楷体" w:cs="Arial"/>
                <w:color w:val="auto"/>
                <w:sz w:val="15"/>
              </w:rPr>
              <w:t>中泰证券研究所</w:t>
            </w:r>
          </w:p>
        </w:tc>
      </w:tr>
    </w:tbl>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pStyle w:val="35"/>
        <w:ind w:firstLine="103" w:firstLineChars="49"/>
        <w:rPr>
          <w:rFonts w:hint="default" w:eastAsia="楷体" w:cs="Arial"/>
          <w:color w:val="000000"/>
        </w:rPr>
      </w:pPr>
      <w:bookmarkStart w:id="46" w:name="_Toc87330310"/>
      <w:r>
        <w:rPr>
          <w:rFonts w:hint="default" w:eastAsia="楷体" w:cs="Arial"/>
          <w:color w:val="000000"/>
        </w:rPr>
        <w:t>博通集成产品技术参数优异，开拓市场、销量爬坡进行时</w:t>
      </w:r>
      <w:bookmarkEnd w:id="46"/>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博通集成继推出主打高性价比TWS市场的BK3266芯片后，全新推出了BK3288芯片，主攻中高端市场，而同时保留了原有高性价比的优点。此外，从技术参数比较，BK3288的技术优势如下：</w:t>
      </w:r>
    </w:p>
    <w:p>
      <w:pPr>
        <w:numPr>
          <w:ilvl w:val="0"/>
          <w:numId w:val="10"/>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当前最优异的功耗性能</w:t>
      </w:r>
      <w:r>
        <w:rPr>
          <w:rFonts w:hint="default" w:eastAsia="楷体" w:cs="Arial"/>
          <w:b w:val="0"/>
          <w:bCs w:val="0"/>
          <w:color w:val="000000"/>
          <w:szCs w:val="21"/>
        </w:rPr>
        <w:t>，在蓝牙耳机模式下A2DP功耗小于4mA，优于高通QCC512X和联发科AB155X的6mA，对比恒玄科技的BES2300的5mA功耗也有一定优势，提高了TWS耳机的续航能力和用户体验。</w:t>
      </w:r>
    </w:p>
    <w:p>
      <w:pPr>
        <w:numPr>
          <w:ilvl w:val="0"/>
          <w:numId w:val="10"/>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采用了28nm先进制程，</w:t>
      </w:r>
      <w:r>
        <w:rPr>
          <w:rFonts w:hint="default" w:eastAsia="楷体" w:cs="Arial"/>
          <w:b w:val="0"/>
          <w:bCs w:val="0"/>
          <w:color w:val="000000"/>
          <w:szCs w:val="21"/>
        </w:rPr>
        <w:t>是当前除了苹果16nm以外采用最先进制程的TWS总成芯片之一，与恒玄的主打产品BES2300并驾齐驱，有效缩小了芯片大小，为缩小TWS耳机大小提供基础，并降低了芯片功耗，提高计算速度。</w:t>
      </w:r>
    </w:p>
    <w:p>
      <w:pPr>
        <w:numPr>
          <w:ilvl w:val="0"/>
          <w:numId w:val="10"/>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集成了主动降噪单元以及语音唤醒（语音助手功能），</w:t>
      </w:r>
      <w:r>
        <w:rPr>
          <w:rFonts w:hint="default" w:eastAsia="楷体" w:cs="Arial"/>
          <w:b w:val="0"/>
          <w:bCs w:val="0"/>
          <w:color w:val="000000"/>
          <w:szCs w:val="21"/>
        </w:rPr>
        <w:t>对电源管理模块、软件升级、麦克风模块等进行了高度集成，同时支持主动降噪、阵列麦克风降噪、声学回声消除和人工智能语音助手CU控制接口。</w:t>
      </w:r>
    </w:p>
    <w:p>
      <w:pPr>
        <w:numPr>
          <w:ilvl w:val="0"/>
          <w:numId w:val="10"/>
        </w:numPr>
        <w:ind w:left="3081" w:leftChars="1467" w:firstLine="601" w:firstLineChars="286"/>
        <w:rPr>
          <w:rFonts w:hint="default" w:eastAsia="楷体" w:cs="Arial"/>
          <w:b w:val="0"/>
          <w:bCs w:val="0"/>
          <w:color w:val="000000"/>
          <w:szCs w:val="21"/>
        </w:rPr>
      </w:pPr>
      <w:r>
        <w:rPr>
          <w:rFonts w:hint="default" w:eastAsia="楷体" w:cs="Arial"/>
          <w:b/>
          <w:bCs/>
          <w:color w:val="000000"/>
          <w:szCs w:val="21"/>
        </w:rPr>
        <w:t>使用专用音频 DSP</w:t>
      </w:r>
      <w:r>
        <w:rPr>
          <w:rFonts w:hint="default" w:eastAsia="楷体" w:cs="Arial"/>
          <w:b w:val="0"/>
          <w:bCs w:val="0"/>
          <w:color w:val="000000"/>
          <w:szCs w:val="21"/>
        </w:rPr>
        <w:t>，高性能双核的双模音频平台，支持浮点和每秒 1 G 次数的 16bit*16bit 乘加运算能力。FFT运算能力和浮点运算能力得到提高，提高了系统的可靠性。</w:t>
      </w: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目前28nm的BK3288芯片正处于客户导入和下游验证阶段，有望通过打入新的终端品牌厂商和白牌端深度参与明年安卓TWS快速放量和渗透率提高的过程，带来无线音频板块的业绩增量。</w:t>
      </w:r>
    </w:p>
    <w:p>
      <w:pPr>
        <w:ind w:left="3081" w:leftChars="1467" w:firstLine="600" w:firstLineChars="286"/>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4F81BD"/>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19</w:t>
            </w:r>
            <w:r>
              <w:rPr>
                <w:rFonts w:eastAsia="楷体" w:cs="Arial"/>
                <w:b/>
                <w:bCs/>
                <w:i/>
                <w:color w:val="000000"/>
              </w:rPr>
              <w:fldChar w:fldCharType="end"/>
            </w:r>
            <w:bookmarkStart w:id="47" w:name="_Toc1313600579"/>
            <w:r>
              <w:rPr>
                <w:rFonts w:eastAsia="楷体" w:cs="Arial"/>
                <w:b/>
                <w:bCs/>
                <w:i/>
                <w:color w:val="000000"/>
              </w:rPr>
              <w:t xml:space="preserve"> </w:t>
            </w:r>
            <w:r>
              <w:rPr>
                <w:rFonts w:eastAsia="楷体" w:cs="Arial"/>
                <w:b/>
                <w:bCs/>
                <w:i/>
                <w:color w:val="auto"/>
              </w:rPr>
              <w:t>博通集成BK3288功能框图</w:t>
            </w:r>
            <w:bookmarkEnd w:id="47"/>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图表16：</w:t>
            </w:r>
            <w:r>
              <w:rPr>
                <w:rFonts w:hint="eastAsia" w:eastAsia="楷体" w:cs="Arial"/>
                <w:b/>
                <w:bCs/>
                <w:i/>
                <w:color w:val="000000"/>
              </w:rPr>
              <w:t>主流</w:t>
            </w:r>
            <w:r>
              <w:rPr>
                <w:rFonts w:eastAsia="楷体" w:cs="Arial"/>
                <w:b/>
                <w:bCs/>
                <w:i/>
                <w:color w:val="000000"/>
              </w:rPr>
              <w:t>TWS</w:t>
            </w:r>
            <w:r>
              <w:rPr>
                <w:rFonts w:hint="eastAsia" w:eastAsia="楷体" w:cs="Arial"/>
                <w:b/>
                <w:bCs/>
                <w:i/>
                <w:color w:val="000000"/>
              </w:rPr>
              <w:t>厂商相关信息</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377" w:hRule="atLeast"/>
        </w:trPr>
        <w:tc>
          <w:tcPr>
            <w:tcW w:w="10881"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2986405" cy="3324860"/>
                  <wp:effectExtent l="0" t="0" r="10795" b="254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pic:cNvPicPr>
                            <a:picLocks noChangeAspect="1"/>
                          </pic:cNvPicPr>
                        </pic:nvPicPr>
                        <pic:blipFill>
                          <a:blip r:embed="rId24"/>
                          <a:stretch>
                            <a:fillRect/>
                          </a:stretch>
                        </pic:blipFill>
                        <pic:spPr>
                          <a:xfrm>
                            <a:off x="0" y="0"/>
                            <a:ext cx="2986405" cy="332486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auto"/>
                <w:sz w:val="15"/>
              </w:rPr>
              <w:t>来源：BK3288规格说明书</w:t>
            </w:r>
            <w:r>
              <w:rPr>
                <w:rFonts w:hint="eastAsia" w:eastAsia="楷体" w:cs="Arial"/>
                <w:color w:val="auto"/>
                <w:sz w:val="15"/>
              </w:rPr>
              <w:t>，</w:t>
            </w:r>
            <w:r>
              <w:rPr>
                <w:rFonts w:eastAsia="楷体" w:cs="Arial"/>
                <w:color w:val="auto"/>
                <w:sz w:val="15"/>
              </w:rPr>
              <w:t>中泰证券研究所</w:t>
            </w:r>
          </w:p>
        </w:tc>
      </w:tr>
    </w:tbl>
    <w:p>
      <w:pPr>
        <w:rPr>
          <w:rFonts w:hint="eastAsia" w:eastAsia="楷体" w:cs="Arial"/>
          <w:b w:val="0"/>
          <w:bCs w:val="0"/>
          <w:color w:val="000000"/>
          <w:szCs w:val="21"/>
        </w:rPr>
      </w:pPr>
    </w:p>
    <w:p>
      <w:pPr>
        <w:tabs>
          <w:tab w:val="right" w:leader="dot" w:pos="12424"/>
        </w:tabs>
        <w:ind w:left="3058" w:leftChars="1300" w:hanging="328" w:hangingChars="117"/>
        <w:jc w:val="left"/>
        <w:outlineLvl w:val="0"/>
        <w:rPr>
          <w:rFonts w:hint="default" w:eastAsia="楷体" w:cs="Arial"/>
          <w:b/>
          <w:bCs/>
          <w:color w:val="000000"/>
          <w:sz w:val="28"/>
          <w:szCs w:val="32"/>
        </w:rPr>
      </w:pPr>
      <w:bookmarkStart w:id="48" w:name="_Toc1029189269"/>
      <w:r>
        <w:rPr>
          <w:rFonts w:hint="default" w:eastAsia="楷体" w:cs="Arial"/>
          <w:b/>
          <w:bCs/>
          <w:color w:val="000000"/>
          <w:sz w:val="28"/>
          <w:szCs w:val="32"/>
        </w:rPr>
        <w:t>物联网持续高景气，WIFI芯片赋能智能家居</w:t>
      </w:r>
      <w:bookmarkEnd w:id="48"/>
    </w:p>
    <w:p>
      <w:pPr>
        <w:pStyle w:val="35"/>
        <w:ind w:firstLine="103" w:firstLineChars="49"/>
        <w:rPr>
          <w:rFonts w:hint="default" w:eastAsia="楷体" w:cs="Arial"/>
          <w:b/>
          <w:bCs/>
          <w:color w:val="000000"/>
          <w:sz w:val="28"/>
          <w:szCs w:val="32"/>
        </w:rPr>
      </w:pPr>
      <w:bookmarkStart w:id="49" w:name="_Toc1750751145"/>
      <w:r>
        <w:rPr>
          <w:rFonts w:hint="default" w:eastAsia="楷体" w:cs="Arial"/>
          <w:color w:val="000000"/>
        </w:rPr>
        <w:t>WIFI技术对于物联网和虚拟现实处于快速渗透期</w:t>
      </w:r>
      <w:bookmarkEnd w:id="49"/>
    </w:p>
    <w:p>
      <w:pPr>
        <w:ind w:left="3081" w:leftChars="1467" w:firstLine="600" w:firstLineChars="286"/>
        <w:rPr>
          <w:rFonts w:hint="default" w:eastAsia="楷体" w:cs="Arial"/>
          <w:b w:val="0"/>
          <w:bCs w:val="0"/>
          <w:color w:val="000000"/>
          <w:szCs w:val="21"/>
        </w:rPr>
      </w:pPr>
      <w:r>
        <w:rPr>
          <w:rFonts w:hint="eastAsia" w:eastAsia="楷体" w:cs="Arial"/>
          <w:b w:val="0"/>
          <w:bCs w:val="0"/>
          <w:color w:val="000000"/>
          <w:szCs w:val="21"/>
        </w:rPr>
        <w:t xml:space="preserve">Wi-Fi </w:t>
      </w:r>
      <w:r>
        <w:rPr>
          <w:rFonts w:hint="default" w:eastAsia="楷体" w:cs="Arial"/>
          <w:b w:val="0"/>
          <w:bCs w:val="0"/>
          <w:color w:val="000000"/>
          <w:szCs w:val="21"/>
        </w:rPr>
        <w:t xml:space="preserve">全名为Wireless Fidelity, </w:t>
      </w:r>
      <w:r>
        <w:rPr>
          <w:rFonts w:hint="eastAsia" w:eastAsia="楷体" w:cs="Arial"/>
          <w:b w:val="0"/>
          <w:bCs w:val="0"/>
          <w:color w:val="000000"/>
          <w:szCs w:val="21"/>
        </w:rPr>
        <w:t>是实现</w:t>
      </w:r>
      <w:r>
        <w:rPr>
          <w:rFonts w:hint="default" w:eastAsia="楷体" w:cs="Arial"/>
          <w:b w:val="0"/>
          <w:bCs w:val="0"/>
          <w:color w:val="000000"/>
          <w:szCs w:val="21"/>
        </w:rPr>
        <w:t>电子终端设备通过无线连接的局域网通讯</w:t>
      </w:r>
      <w:r>
        <w:rPr>
          <w:rFonts w:hint="eastAsia" w:eastAsia="楷体" w:cs="Arial"/>
          <w:b w:val="0"/>
          <w:bCs w:val="0"/>
          <w:color w:val="000000"/>
          <w:szCs w:val="21"/>
        </w:rPr>
        <w:t>技术</w:t>
      </w:r>
      <w:r>
        <w:rPr>
          <w:rFonts w:hint="default" w:eastAsia="楷体" w:cs="Arial"/>
          <w:b w:val="0"/>
          <w:bCs w:val="0"/>
          <w:color w:val="000000"/>
          <w:szCs w:val="21"/>
        </w:rPr>
        <w:t>，其</w:t>
      </w:r>
      <w:r>
        <w:rPr>
          <w:rFonts w:hint="eastAsia" w:eastAsia="楷体" w:cs="Arial"/>
          <w:b w:val="0"/>
          <w:bCs w:val="0"/>
          <w:color w:val="000000"/>
          <w:szCs w:val="21"/>
        </w:rPr>
        <w:t>利用射频技术，使用电磁波</w:t>
      </w:r>
      <w:r>
        <w:rPr>
          <w:rFonts w:hint="default" w:eastAsia="楷体" w:cs="Arial"/>
          <w:b w:val="0"/>
          <w:bCs w:val="0"/>
          <w:color w:val="000000"/>
          <w:szCs w:val="21"/>
        </w:rPr>
        <w:t>作为传播媒介</w:t>
      </w:r>
      <w:r>
        <w:rPr>
          <w:rFonts w:hint="eastAsia" w:eastAsia="楷体" w:cs="Arial"/>
          <w:b w:val="0"/>
          <w:bCs w:val="0"/>
          <w:color w:val="000000"/>
          <w:szCs w:val="21"/>
        </w:rPr>
        <w:t>，</w:t>
      </w:r>
      <w:r>
        <w:rPr>
          <w:rFonts w:hint="default" w:eastAsia="楷体" w:cs="Arial"/>
          <w:b w:val="0"/>
          <w:bCs w:val="0"/>
          <w:color w:val="000000"/>
          <w:szCs w:val="21"/>
        </w:rPr>
        <w:t>对比起</w:t>
      </w:r>
      <w:r>
        <w:rPr>
          <w:rFonts w:hint="eastAsia" w:eastAsia="楷体" w:cs="Arial"/>
          <w:b w:val="0"/>
          <w:bCs w:val="0"/>
          <w:color w:val="000000"/>
          <w:szCs w:val="21"/>
        </w:rPr>
        <w:t>有线网络</w:t>
      </w:r>
      <w:r>
        <w:rPr>
          <w:rFonts w:hint="default" w:eastAsia="楷体" w:cs="Arial"/>
          <w:b w:val="0"/>
          <w:bCs w:val="0"/>
          <w:color w:val="000000"/>
          <w:szCs w:val="21"/>
        </w:rPr>
        <w:t>更加便携。</w:t>
      </w:r>
      <w:r>
        <w:rPr>
          <w:rFonts w:hint="eastAsia" w:eastAsia="楷体" w:cs="Arial"/>
          <w:b w:val="0"/>
          <w:bCs w:val="0"/>
          <w:color w:val="000000"/>
          <w:szCs w:val="21"/>
        </w:rPr>
        <w:t>Wi-Fi</w:t>
      </w:r>
      <w:r>
        <w:rPr>
          <w:rFonts w:hint="default" w:eastAsia="楷体" w:cs="Arial"/>
          <w:b w:val="0"/>
          <w:bCs w:val="0"/>
          <w:color w:val="000000"/>
          <w:szCs w:val="21"/>
        </w:rPr>
        <w:t>技术基于</w:t>
      </w:r>
      <w:r>
        <w:rPr>
          <w:rFonts w:hint="eastAsia" w:eastAsia="楷体" w:cs="Arial"/>
          <w:b w:val="0"/>
          <w:bCs w:val="0"/>
          <w:color w:val="000000"/>
          <w:szCs w:val="21"/>
        </w:rPr>
        <w:t xml:space="preserve"> IEEE 802.11 </w:t>
      </w:r>
      <w:r>
        <w:rPr>
          <w:rFonts w:hint="default" w:eastAsia="楷体" w:cs="Arial"/>
          <w:b w:val="0"/>
          <w:bCs w:val="0"/>
          <w:color w:val="000000"/>
          <w:szCs w:val="21"/>
        </w:rPr>
        <w:t>标准，是由电气和电子工程师协会（IEEE）定义的无线局域网通信标准。Wi-Fi 标准802.11 协议始于 20 世纪 90 年代，已历经二十余年发展。已经更新多代，截至目前，802.11 协议已有802.11 b/g/n/ac/ah/ax 六代标准以满足网络需求。</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2019年9月16日, Wi-Fi联盟宣布启动Wi-Fi 6认证计划,该计划旨在使采用下一代802.11ax Wi-Fi无线通信技术的的设备达到既定标准。对比前两代802.11n (Wi-Fi4)和802.11ac(Wi-Fi5)技术，Wi-Fi 6在性能实现较大幅度提升。譬如引入了OFDMA频分复用技术，提供频率空间上多路并发技术支持，而上行 MU-MIMO技术，则是从物理空间上提供了空间流利用率。总而言之，</w:t>
      </w:r>
      <w:r>
        <w:rPr>
          <w:rFonts w:hint="default" w:eastAsia="楷体" w:cs="Arial"/>
          <w:b/>
          <w:bCs/>
          <w:color w:val="000000"/>
          <w:szCs w:val="21"/>
          <w:u w:val="single"/>
        </w:rPr>
        <w:t>Wi-Fi6标准在功率消耗、并发连接数、时延等多方面上实现了多方面性能提升</w:t>
      </w:r>
      <w:r>
        <w:rPr>
          <w:rFonts w:hint="default" w:eastAsia="楷体" w:cs="Arial"/>
          <w:b w:val="0"/>
          <w:bCs w:val="0"/>
          <w:color w:val="000000"/>
          <w:szCs w:val="21"/>
        </w:rPr>
        <w:t>，且与前代技术对比如下：</w:t>
      </w:r>
    </w:p>
    <w:p>
      <w:pPr>
        <w:ind w:left="3081" w:leftChars="1467" w:firstLine="600" w:firstLineChars="286"/>
        <w:rPr>
          <w:rFonts w:hint="default"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28</w:t>
            </w:r>
            <w:r>
              <w:rPr>
                <w:rFonts w:eastAsia="楷体" w:cs="Arial"/>
                <w:b/>
                <w:bCs/>
                <w:i/>
                <w:color w:val="000000"/>
              </w:rPr>
              <w:fldChar w:fldCharType="end"/>
            </w:r>
            <w:bookmarkStart w:id="50" w:name="_Toc1428597413"/>
            <w:r>
              <w:rPr>
                <w:rFonts w:eastAsia="楷体" w:cs="Arial"/>
                <w:b/>
                <w:bCs/>
                <w:i/>
                <w:color w:val="000000"/>
              </w:rPr>
              <w:t xml:space="preserve"> Wi-Fi各代协议标准技术对比</w:t>
            </w:r>
            <w:bookmarkEnd w:id="50"/>
          </w:p>
          <w:p/>
          <w:p>
            <w:r>
              <w:rPr>
                <w:rFonts w:eastAsia="楷体" w:cs="Arial"/>
                <w:b/>
                <w:bCs/>
                <w:i/>
                <w:color w:val="000000"/>
              </w:rPr>
              <w:t>xie</w:t>
            </w:r>
          </w:p>
          <w:p>
            <w:r>
              <w:rPr>
                <w:rFonts w:eastAsia="楷体" w:cs="Arial"/>
                <w:b/>
                <w:bCs/>
                <w:i/>
                <w:color w:val="000000"/>
              </w:rPr>
              <w:t>-</w:t>
            </w:r>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图表11：TWS</w:t>
            </w:r>
            <w:r>
              <w:rPr>
                <w:rFonts w:hint="eastAsia" w:eastAsia="楷体" w:cs="Arial"/>
                <w:b/>
                <w:bCs/>
                <w:i/>
                <w:color w:val="000000"/>
              </w:rPr>
              <w:t>耳机的组成及其核心智能蓝牙音频</w:t>
            </w:r>
            <w:r>
              <w:rPr>
                <w:rFonts w:eastAsia="楷体" w:cs="Arial"/>
                <w:b/>
                <w:bCs/>
                <w:i/>
                <w:color w:val="000000"/>
              </w:rPr>
              <w:t>SOC</w:t>
            </w:r>
            <w:r>
              <w:rPr>
                <w:rFonts w:hint="eastAsia" w:eastAsia="楷体" w:cs="Arial"/>
                <w:b/>
                <w:bCs/>
                <w:i/>
                <w:color w:val="000000"/>
              </w:rPr>
              <w:t>芯片</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219" w:hRule="atLeast"/>
        </w:trPr>
        <w:tc>
          <w:tcPr>
            <w:tcW w:w="10881" w:type="dxa"/>
            <w:tcBorders>
              <w:top w:val="single" w:color="C00000" w:sz="8" w:space="0"/>
              <w:left w:val="nil"/>
            </w:tcBorders>
            <w:noWrap w:val="0"/>
            <w:vAlign w:val="top"/>
          </w:tcPr>
          <w:tbl>
            <w:tblPr>
              <w:tblStyle w:val="2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683"/>
              <w:gridCol w:w="2297"/>
              <w:gridCol w:w="1613"/>
              <w:gridCol w:w="1615"/>
              <w:gridCol w:w="3453"/>
            </w:tblGrid>
            <w:tr>
              <w:trPr>
                <w:trHeight w:val="285" w:hRule="atLeast"/>
              </w:trPr>
              <w:tc>
                <w:tcPr>
                  <w:tcW w:w="789"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widowControl/>
                    <w:suppressLineNumbers w:val="0"/>
                    <w:jc w:val="center"/>
                    <w:textAlignment w:val="center"/>
                    <w:rPr>
                      <w:rFonts w:ascii="Calibri" w:hAnsi="Calibri" w:cs="Calibri"/>
                      <w:b/>
                      <w:i w:val="0"/>
                      <w:color w:val="FFFFFF"/>
                      <w:sz w:val="22"/>
                      <w:szCs w:val="22"/>
                      <w:u w:val="none"/>
                    </w:rPr>
                  </w:pPr>
                  <w:r>
                    <w:rPr>
                      <w:rFonts w:hint="default" w:ascii="Calibri" w:hAnsi="Calibri" w:eastAsia="SimSun" w:cs="Calibri"/>
                      <w:b/>
                      <w:i w:val="0"/>
                      <w:color w:val="FFFFFF"/>
                      <w:kern w:val="0"/>
                      <w:sz w:val="22"/>
                      <w:szCs w:val="22"/>
                      <w:u w:val="none"/>
                      <w:lang w:val="en-US" w:eastAsia="zh-CN" w:bidi="ar"/>
                    </w:rPr>
                    <w:t>各代标准</w:t>
                  </w:r>
                </w:p>
              </w:tc>
              <w:tc>
                <w:tcPr>
                  <w:tcW w:w="107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widowControl/>
                    <w:suppressLineNumbers w:val="0"/>
                    <w:jc w:val="center"/>
                    <w:textAlignment w:val="center"/>
                    <w:rPr>
                      <w:rFonts w:hint="default" w:ascii="Calibri" w:hAnsi="Calibri" w:cs="Calibri"/>
                      <w:b/>
                      <w:i w:val="0"/>
                      <w:color w:val="FFFFFF"/>
                      <w:sz w:val="22"/>
                      <w:szCs w:val="22"/>
                      <w:u w:val="none"/>
                    </w:rPr>
                  </w:pPr>
                  <w:r>
                    <w:rPr>
                      <w:rFonts w:hint="default" w:ascii="Calibri" w:hAnsi="Calibri" w:eastAsia="SimSun" w:cs="Calibri"/>
                      <w:b/>
                      <w:i w:val="0"/>
                      <w:color w:val="FFFFFF"/>
                      <w:kern w:val="0"/>
                      <w:sz w:val="22"/>
                      <w:szCs w:val="22"/>
                      <w:u w:val="none"/>
                      <w:lang w:val="en-US" w:eastAsia="zh-CN" w:bidi="ar"/>
                    </w:rPr>
                    <w:t>Wi-Fi4 标准</w:t>
                  </w:r>
                </w:p>
              </w:tc>
              <w:tc>
                <w:tcPr>
                  <w:tcW w:w="1513" w:type="pct"/>
                  <w:gridSpan w:val="2"/>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widowControl/>
                    <w:suppressLineNumbers w:val="0"/>
                    <w:jc w:val="center"/>
                    <w:textAlignment w:val="center"/>
                    <w:rPr>
                      <w:rFonts w:hint="default" w:ascii="Calibri" w:hAnsi="Calibri" w:cs="Calibri"/>
                      <w:b/>
                      <w:i w:val="0"/>
                      <w:color w:val="FFFFFF"/>
                      <w:sz w:val="22"/>
                      <w:szCs w:val="22"/>
                      <w:u w:val="none"/>
                    </w:rPr>
                  </w:pPr>
                  <w:r>
                    <w:rPr>
                      <w:rFonts w:hint="default" w:ascii="Calibri" w:hAnsi="Calibri" w:eastAsia="SimSun" w:cs="Calibri"/>
                      <w:b/>
                      <w:i w:val="0"/>
                      <w:color w:val="FFFFFF"/>
                      <w:kern w:val="0"/>
                      <w:sz w:val="22"/>
                      <w:szCs w:val="22"/>
                      <w:u w:val="none"/>
                      <w:lang w:val="en-US" w:eastAsia="zh-CN" w:bidi="ar"/>
                    </w:rPr>
                    <w:t>Wi-Fi5 标准</w:t>
                  </w:r>
                </w:p>
              </w:tc>
              <w:tc>
                <w:tcPr>
                  <w:tcW w:w="1618"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widowControl/>
                    <w:suppressLineNumbers w:val="0"/>
                    <w:jc w:val="center"/>
                    <w:textAlignment w:val="center"/>
                    <w:rPr>
                      <w:rFonts w:hint="default" w:ascii="Calibri" w:hAnsi="Calibri" w:cs="Calibri"/>
                      <w:b/>
                      <w:i w:val="0"/>
                      <w:color w:val="FFFFFF"/>
                      <w:sz w:val="22"/>
                      <w:szCs w:val="22"/>
                      <w:u w:val="none"/>
                    </w:rPr>
                  </w:pPr>
                  <w:r>
                    <w:rPr>
                      <w:rFonts w:hint="default" w:ascii="Calibri" w:hAnsi="Calibri" w:eastAsia="SimSun" w:cs="Calibri"/>
                      <w:b/>
                      <w:i w:val="0"/>
                      <w:color w:val="FFFFFF"/>
                      <w:kern w:val="0"/>
                      <w:sz w:val="22"/>
                      <w:szCs w:val="22"/>
                      <w:u w:val="none"/>
                      <w:lang w:val="en-US" w:eastAsia="zh-CN" w:bidi="ar"/>
                    </w:rPr>
                    <w:t>Wi-Fi6 标准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协议</w:t>
                  </w:r>
                </w:p>
              </w:tc>
              <w:tc>
                <w:tcPr>
                  <w:tcW w:w="1077"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802.11n</w:t>
                  </w:r>
                </w:p>
              </w:tc>
              <w:tc>
                <w:tcPr>
                  <w:tcW w:w="1513"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802.11ac</w:t>
                  </w:r>
                </w:p>
              </w:tc>
              <w:tc>
                <w:tcPr>
                  <w:tcW w:w="1618"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802.11ax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vMerge w:val="continue"/>
                  <w:tcBorders>
                    <w:top w:val="single" w:color="000000" w:sz="4" w:space="0"/>
                    <w:left w:val="single" w:color="000000" w:sz="4" w:space="0"/>
                    <w:bottom w:val="single" w:color="000000" w:sz="4" w:space="0"/>
                    <w:right w:val="single" w:color="000000" w:sz="4" w:space="0"/>
                  </w:tcBorders>
                  <w:noWrap w:val="0"/>
                  <w:vAlign w:val="center"/>
                </w:tcPr>
                <w:p>
                  <w:pPr>
                    <w:jc w:val="center"/>
                    <w:rPr>
                      <w:rFonts w:hint="default" w:ascii="Calibri" w:hAnsi="Calibri" w:cs="Calibri"/>
                      <w:i w:val="0"/>
                      <w:color w:val="000000"/>
                      <w:sz w:val="22"/>
                      <w:szCs w:val="22"/>
                      <w:u w:val="none"/>
                    </w:rPr>
                  </w:pPr>
                </w:p>
              </w:tc>
              <w:tc>
                <w:tcPr>
                  <w:tcW w:w="1077" w:type="pct"/>
                  <w:vMerge w:val="continue"/>
                  <w:tcBorders>
                    <w:top w:val="single" w:color="000000" w:sz="4" w:space="0"/>
                    <w:left w:val="single" w:color="000000" w:sz="4" w:space="0"/>
                    <w:bottom w:val="single" w:color="000000" w:sz="4" w:space="0"/>
                    <w:right w:val="single" w:color="000000" w:sz="4" w:space="0"/>
                  </w:tcBorders>
                  <w:noWrap w:val="0"/>
                  <w:vAlign w:val="center"/>
                </w:tcPr>
                <w:p>
                  <w:pPr>
                    <w:jc w:val="center"/>
                    <w:rPr>
                      <w:rFonts w:hint="default" w:ascii="Calibri" w:hAnsi="Calibri" w:cs="Calibri"/>
                      <w:i w:val="0"/>
                      <w:color w:val="000000"/>
                      <w:sz w:val="22"/>
                      <w:szCs w:val="22"/>
                      <w:u w:val="none"/>
                    </w:rPr>
                  </w:pPr>
                </w:p>
              </w:tc>
              <w:tc>
                <w:tcPr>
                  <w:tcW w:w="756"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Wave1</w:t>
                  </w:r>
                </w:p>
              </w:tc>
              <w:tc>
                <w:tcPr>
                  <w:tcW w:w="756"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Wave2</w:t>
                  </w:r>
                </w:p>
              </w:tc>
              <w:tc>
                <w:tcPr>
                  <w:tcW w:w="1618" w:type="pct"/>
                  <w:vMerge w:val="continue"/>
                  <w:tcBorders>
                    <w:top w:val="single" w:color="000000" w:sz="4" w:space="0"/>
                    <w:left w:val="single" w:color="000000" w:sz="4" w:space="0"/>
                    <w:bottom w:val="single" w:color="000000" w:sz="4" w:space="0"/>
                    <w:right w:val="single" w:color="000000" w:sz="4" w:space="0"/>
                  </w:tcBorders>
                  <w:noWrap w:val="0"/>
                  <w:vAlign w:val="center"/>
                </w:tcPr>
                <w:p>
                  <w:pPr>
                    <w:jc w:val="cente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频段</w:t>
                  </w:r>
                </w:p>
              </w:tc>
              <w:tc>
                <w:tcPr>
                  <w:tcW w:w="107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2.4GHz、5GHz</w:t>
                  </w:r>
                </w:p>
              </w:tc>
              <w:tc>
                <w:tcPr>
                  <w:tcW w:w="1513"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5GHz</w:t>
                  </w:r>
                </w:p>
              </w:tc>
              <w:tc>
                <w:tcPr>
                  <w:tcW w:w="161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2.4GHz、5GHz、6GHz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推出时间</w:t>
                  </w:r>
                </w:p>
              </w:tc>
              <w:tc>
                <w:tcPr>
                  <w:tcW w:w="107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2009</w:t>
                  </w:r>
                </w:p>
              </w:tc>
              <w:tc>
                <w:tcPr>
                  <w:tcW w:w="756"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2013</w:t>
                  </w:r>
                </w:p>
              </w:tc>
              <w:tc>
                <w:tcPr>
                  <w:tcW w:w="756"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2016</w:t>
                  </w:r>
                </w:p>
              </w:tc>
              <w:tc>
                <w:tcPr>
                  <w:tcW w:w="161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最大频宽</w:t>
                  </w:r>
                </w:p>
              </w:tc>
              <w:tc>
                <w:tcPr>
                  <w:tcW w:w="107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40MHz</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80MHz</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160MHz</w:t>
                  </w:r>
                </w:p>
              </w:tc>
              <w:tc>
                <w:tcPr>
                  <w:tcW w:w="161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160MHz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最高调制</w:t>
                  </w:r>
                </w:p>
              </w:tc>
              <w:tc>
                <w:tcPr>
                  <w:tcW w:w="107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64QAM</w:t>
                  </w:r>
                </w:p>
              </w:tc>
              <w:tc>
                <w:tcPr>
                  <w:tcW w:w="1513"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256QAM</w:t>
                  </w:r>
                </w:p>
              </w:tc>
              <w:tc>
                <w:tcPr>
                  <w:tcW w:w="161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1024QAM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最大宽带</w:t>
                  </w:r>
                </w:p>
              </w:tc>
              <w:tc>
                <w:tcPr>
                  <w:tcW w:w="107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600Mbps</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3466Mbps</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6933Mbps</w:t>
                  </w:r>
                </w:p>
              </w:tc>
              <w:tc>
                <w:tcPr>
                  <w:tcW w:w="161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9.6Gbps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最大空间流</w:t>
                  </w:r>
                </w:p>
              </w:tc>
              <w:tc>
                <w:tcPr>
                  <w:tcW w:w="107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4x4</w:t>
                  </w:r>
                </w:p>
              </w:tc>
              <w:tc>
                <w:tcPr>
                  <w:tcW w:w="3132" w:type="pct"/>
                  <w:gridSpan w:val="3"/>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8x8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8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MU-MIMO</w:t>
                  </w:r>
                </w:p>
              </w:tc>
              <w:tc>
                <w:tcPr>
                  <w:tcW w:w="107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w:t>
                  </w:r>
                </w:p>
              </w:tc>
              <w:tc>
                <w:tcPr>
                  <w:tcW w:w="756"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下行</w:t>
                  </w:r>
                </w:p>
              </w:tc>
              <w:tc>
                <w:tcPr>
                  <w:tcW w:w="161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上行、下行</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公开资料整理</w:t>
            </w:r>
            <w:r>
              <w:rPr>
                <w:rFonts w:eastAsia="楷体" w:cs="Arial"/>
                <w:color w:val="000000"/>
                <w:sz w:val="15"/>
              </w:rPr>
              <w:t>，中泰证券研究所</w:t>
            </w:r>
          </w:p>
        </w:tc>
      </w:tr>
    </w:tbl>
    <w:p>
      <w:pPr>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根据Wi-Fi技术短距离传输、速率快等特点，近5年来下游率先在手机和笔记本电脑得到广泛应用，Wi-Fi产业得到大幅扩张，目前约50%的Wi-Fi连接设备为智能手机。而受益于Wi-Fi 6标准更新和Wi-Fi技术对下游应用场景的不断渗透，物联网对于 Wi-Fi 技术的使用也走上了快车道。现阶段重点渗透的领域为以</w:t>
      </w:r>
      <w:r>
        <w:rPr>
          <w:rFonts w:hint="default" w:eastAsia="楷体" w:cs="Arial"/>
          <w:b/>
          <w:bCs/>
          <w:color w:val="000000"/>
          <w:szCs w:val="21"/>
          <w:u w:val="single"/>
        </w:rPr>
        <w:t>物联网应用为代表</w:t>
      </w:r>
      <w:r>
        <w:rPr>
          <w:rFonts w:hint="default" w:eastAsia="楷体" w:cs="Arial"/>
          <w:b w:val="0"/>
          <w:bCs w:val="0"/>
          <w:color w:val="000000"/>
          <w:szCs w:val="21"/>
          <w:u w:val="none"/>
        </w:rPr>
        <w:t>的智能家居，智慧医疗、工业4.0</w:t>
      </w:r>
      <w:r>
        <w:rPr>
          <w:rFonts w:hint="default" w:eastAsia="楷体" w:cs="Arial"/>
          <w:b w:val="0"/>
          <w:bCs w:val="0"/>
          <w:color w:val="000000"/>
          <w:szCs w:val="21"/>
        </w:rPr>
        <w:t>等场景。未来更有望延展至超清视频、ARVR等追求高清高速率视觉效果的饮用场景。</w:t>
      </w:r>
    </w:p>
    <w:p>
      <w:pPr>
        <w:ind w:left="3081" w:leftChars="1467" w:firstLine="600" w:firstLineChars="286"/>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10881"/>
      </w:tblGrid>
      <w:tr>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4F81BD"/>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19</w:t>
            </w:r>
            <w:r>
              <w:rPr>
                <w:rFonts w:eastAsia="楷体" w:cs="Arial"/>
                <w:b/>
                <w:bCs/>
                <w:i/>
                <w:color w:val="000000"/>
              </w:rPr>
              <w:fldChar w:fldCharType="end"/>
            </w:r>
            <w:bookmarkStart w:id="51" w:name="_Toc1831952516"/>
            <w:r>
              <w:rPr>
                <w:rFonts w:eastAsia="楷体" w:cs="Arial"/>
                <w:b/>
                <w:bCs/>
                <w:i/>
                <w:color w:val="000000"/>
              </w:rPr>
              <w:t xml:space="preserve"> </w:t>
            </w:r>
            <w:r>
              <w:rPr>
                <w:rFonts w:eastAsia="楷体" w:cs="Arial"/>
                <w:b/>
                <w:bCs/>
                <w:i/>
                <w:color w:val="auto"/>
              </w:rPr>
              <w:t>Wifi技术对于下游渗透应用的不同阶段</w:t>
            </w:r>
            <w:bookmarkEnd w:id="51"/>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图表16：</w:t>
            </w:r>
            <w:r>
              <w:rPr>
                <w:rFonts w:hint="eastAsia" w:eastAsia="楷体" w:cs="Arial"/>
                <w:b/>
                <w:bCs/>
                <w:i/>
                <w:color w:val="000000"/>
              </w:rPr>
              <w:t>主流</w:t>
            </w:r>
            <w:r>
              <w:rPr>
                <w:rFonts w:eastAsia="楷体" w:cs="Arial"/>
                <w:b/>
                <w:bCs/>
                <w:i/>
                <w:color w:val="000000"/>
              </w:rPr>
              <w:t>TWS</w:t>
            </w:r>
            <w:r>
              <w:rPr>
                <w:rFonts w:hint="eastAsia" w:eastAsia="楷体" w:cs="Arial"/>
                <w:b/>
                <w:bCs/>
                <w:i/>
                <w:color w:val="000000"/>
              </w:rPr>
              <w:t>厂商相关信息</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377" w:hRule="atLeast"/>
        </w:trPr>
        <w:tc>
          <w:tcPr>
            <w:tcW w:w="10881" w:type="dxa"/>
            <w:tcBorders>
              <w:top w:val="single" w:color="C00000" w:sz="8" w:space="0"/>
              <w:left w:val="nil"/>
            </w:tcBorders>
            <w:noWrap w:val="0"/>
            <w:vAlign w:val="top"/>
          </w:tcPr>
          <w:p>
            <w:pPr>
              <w:jc w:val="center"/>
              <w:rPr>
                <w:rFonts w:eastAsia="楷体" w:cs="Arial"/>
                <w:color w:val="000000"/>
              </w:rPr>
            </w:pPr>
            <w:r>
              <w:rPr>
                <w:rFonts w:eastAsia="楷体" w:cs="Arial"/>
                <w:color w:val="000000"/>
              </w:rPr>
              <w:drawing>
                <wp:inline distT="0" distB="0" distL="114300" distR="114300">
                  <wp:extent cx="6769735" cy="2900045"/>
                  <wp:effectExtent l="0" t="0" r="12065" b="20955"/>
                  <wp:docPr id="18" name="Picture 33" descr="物联网发展阶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物联网发展阶段"/>
                          <pic:cNvPicPr>
                            <a:picLocks noChangeAspect="1"/>
                          </pic:cNvPicPr>
                        </pic:nvPicPr>
                        <pic:blipFill>
                          <a:blip r:embed="rId25"/>
                          <a:stretch>
                            <a:fillRect/>
                          </a:stretch>
                        </pic:blipFill>
                        <pic:spPr>
                          <a:xfrm>
                            <a:off x="0" y="0"/>
                            <a:ext cx="6769735" cy="290004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auto"/>
                <w:sz w:val="15"/>
              </w:rPr>
              <w:t>来源：公开资料整理</w:t>
            </w:r>
            <w:r>
              <w:rPr>
                <w:rFonts w:hint="eastAsia" w:eastAsia="楷体" w:cs="Arial"/>
                <w:color w:val="auto"/>
                <w:sz w:val="15"/>
              </w:rPr>
              <w:t>，</w:t>
            </w:r>
            <w:r>
              <w:rPr>
                <w:rFonts w:eastAsia="楷体" w:cs="Arial"/>
                <w:color w:val="auto"/>
                <w:sz w:val="15"/>
              </w:rPr>
              <w:t>中泰证券研究所</w:t>
            </w:r>
          </w:p>
        </w:tc>
      </w:tr>
    </w:tbl>
    <w:p>
      <w:pPr>
        <w:rPr>
          <w:rFonts w:hint="eastAsia" w:eastAsia="楷体" w:cs="Arial"/>
          <w:b w:val="0"/>
          <w:bCs w:val="0"/>
          <w:color w:val="000000"/>
          <w:szCs w:val="21"/>
        </w:rPr>
      </w:pPr>
    </w:p>
    <w:p>
      <w:pPr>
        <w:pStyle w:val="35"/>
        <w:ind w:firstLine="103" w:firstLineChars="49"/>
        <w:rPr>
          <w:rFonts w:hint="default" w:eastAsia="楷体" w:cs="Arial"/>
          <w:b/>
          <w:bCs/>
          <w:color w:val="000000"/>
          <w:sz w:val="28"/>
          <w:szCs w:val="32"/>
        </w:rPr>
      </w:pPr>
      <w:bookmarkStart w:id="52" w:name="_Toc53562821"/>
      <w:r>
        <w:rPr>
          <w:rFonts w:hint="default" w:eastAsia="楷体" w:cs="Arial"/>
          <w:color w:val="000000"/>
        </w:rPr>
        <w:t>受益于万物互联，Wi-Fi芯片市场规模止跌回升迎来黄金发展期</w:t>
      </w:r>
      <w:bookmarkEnd w:id="52"/>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目前Wi-Fi技术基本完全渗透消费电子领域（手机、笔记本电脑等），然而根据中国信息通信研究院数据，近年中国手机出货量从2015年4.6亿台持续下滑到2019年3.7亿台。且因受疫情影响，2020年出货量为3.08亿台。中国Wi-Fi芯片市场规模销售额从2016年峰值179.5亿下降到2019年168亿。</w:t>
      </w:r>
      <w:r>
        <w:rPr>
          <w:rFonts w:hint="default" w:eastAsia="楷体" w:cs="Arial"/>
          <w:b/>
          <w:bCs/>
          <w:color w:val="000000"/>
          <w:szCs w:val="21"/>
          <w:u w:val="single"/>
        </w:rPr>
        <w:t>但随着Wi-Fi技术逐步拓展物联网应用场景，譬如智能家居、工业4.0、智慧城市，以及支持Wi-Fi 6标准的芯片产品更新换代推广渗透，Wi-Fi芯片市场有望迎来高速增长期。</w:t>
      </w:r>
      <w:r>
        <w:rPr>
          <w:rFonts w:hint="default" w:eastAsia="楷体" w:cs="Arial"/>
          <w:b w:val="0"/>
          <w:bCs w:val="0"/>
          <w:color w:val="000000"/>
          <w:szCs w:val="21"/>
        </w:rPr>
        <w:t>预测2023年支持802.11ax协议（Wi-Fi 6标准）Wi-Fi芯片占总出货量90%，且2024年Wi-Fi芯片规模有望接近300亿元，2021-2024年CAGR为12.3%</w:t>
      </w:r>
    </w:p>
    <w:p>
      <w:pPr>
        <w:ind w:left="3081" w:leftChars="1467" w:firstLine="600" w:firstLineChars="286"/>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20</w:t>
            </w:r>
            <w:r>
              <w:rPr>
                <w:rFonts w:eastAsia="楷体" w:cs="Arial"/>
                <w:b/>
                <w:bCs/>
                <w:i/>
                <w:color w:val="000000"/>
              </w:rPr>
              <w:fldChar w:fldCharType="end"/>
            </w:r>
            <w:bookmarkStart w:id="53" w:name="_Toc2014228777"/>
            <w:r>
              <w:rPr>
                <w:rFonts w:eastAsia="楷体" w:cs="Arial"/>
                <w:b/>
                <w:bCs/>
                <w:i/>
                <w:color w:val="000000"/>
              </w:rPr>
              <w:t xml:space="preserve"> 中国Wi-Fi芯片市场规模</w:t>
            </w:r>
            <w:bookmarkEnd w:id="53"/>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84" w:hRule="atLeast"/>
        </w:trPr>
        <w:tc>
          <w:tcPr>
            <w:tcW w:w="10881"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4582795" cy="2585085"/>
                  <wp:effectExtent l="0" t="0" r="14605" b="5715"/>
                  <wp:docPr id="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pic:cNvPicPr>
                            <a:picLocks noChangeAspect="1"/>
                          </pic:cNvPicPr>
                        </pic:nvPicPr>
                        <pic:blipFill>
                          <a:blip r:embed="rId26"/>
                          <a:stretch>
                            <a:fillRect/>
                          </a:stretch>
                        </pic:blipFill>
                        <pic:spPr>
                          <a:xfrm>
                            <a:off x="0" y="0"/>
                            <a:ext cx="4582795" cy="258508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来源：头豹研究院</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ind w:left="3081" w:leftChars="1467" w:firstLine="600" w:firstLineChars="286"/>
        <w:rPr>
          <w:rFonts w:hint="default" w:eastAsia="楷体" w:cs="Arial"/>
          <w:b w:val="0"/>
          <w:bCs w:val="0"/>
          <w:color w:val="000000"/>
          <w:szCs w:val="21"/>
        </w:rPr>
      </w:pPr>
    </w:p>
    <w:p>
      <w:pPr>
        <w:pStyle w:val="35"/>
        <w:ind w:firstLine="103" w:firstLineChars="49"/>
        <w:rPr>
          <w:rFonts w:hint="default" w:eastAsia="楷体" w:cs="Arial"/>
          <w:b w:val="0"/>
          <w:bCs w:val="0"/>
          <w:color w:val="000000"/>
          <w:szCs w:val="21"/>
        </w:rPr>
      </w:pPr>
      <w:bookmarkStart w:id="54" w:name="_Toc434684454"/>
      <w:r>
        <w:rPr>
          <w:rFonts w:hint="default" w:eastAsia="楷体" w:cs="Arial"/>
          <w:color w:val="000000"/>
        </w:rPr>
        <w:t>物联网产业规模快速增长，智能家居为物联网第一大应用场景，占比43%。</w:t>
      </w:r>
      <w:bookmarkEnd w:id="54"/>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根据GSMA发布的2020年移动经济显示，2019年全球物联网的总连接数达到120亿，预计到2025年全球物联网的总连接数规模有望突破246亿，6年CAGR达13%。其中，我国于2019年物联网连接总数已经达36.3亿，占全球比重的约30%。预计到2025年，我国物联网连接总数或超过80.1亿，6年CAGR为14.1%。</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2019年，全球物联网收入约折合为2.4万亿人民币，预计到2025年将增长到1.1万亿人民币。而根据我国信通院数据，我国于2020年物联网产业规模产值已超过1.7万亿元，有望2020-2025年物联网总体产业规模保持年均20%的增长率。</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rPr>
          <w:rFonts w:hint="eastAsia" w:eastAsia="楷体" w:cs="Arial"/>
          <w:b w:val="0"/>
          <w:bCs w:val="0"/>
          <w:color w:val="000000"/>
          <w:szCs w:val="21"/>
        </w:rPr>
      </w:pPr>
    </w:p>
    <w:p>
      <w:pPr>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21</w:t>
            </w:r>
            <w:r>
              <w:rPr>
                <w:rFonts w:eastAsia="楷体" w:cs="Arial"/>
                <w:b/>
                <w:bCs/>
                <w:i/>
                <w:color w:val="000000"/>
                <w:sz w:val="20"/>
              </w:rPr>
              <w:fldChar w:fldCharType="end"/>
            </w:r>
            <w:bookmarkStart w:id="55" w:name="_Toc302569367"/>
            <w:r>
              <w:rPr>
                <w:rFonts w:eastAsia="楷体" w:cs="Arial"/>
                <w:b/>
                <w:bCs/>
                <w:i/>
                <w:color w:val="000000"/>
                <w:sz w:val="20"/>
              </w:rPr>
              <w:t xml:space="preserve"> 全球与中国物联网连接总数</w:t>
            </w:r>
            <w:bookmarkEnd w:id="55"/>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22</w:t>
            </w:r>
            <w:r>
              <w:rPr>
                <w:rFonts w:eastAsia="楷体" w:cs="Arial"/>
                <w:b/>
                <w:bCs/>
                <w:i/>
                <w:color w:val="000000"/>
              </w:rPr>
              <w:fldChar w:fldCharType="end"/>
            </w:r>
            <w:bookmarkStart w:id="56" w:name="_Toc633632048"/>
            <w:r>
              <w:rPr>
                <w:rFonts w:eastAsia="楷体" w:cs="Arial"/>
                <w:b/>
                <w:bCs/>
                <w:i/>
                <w:color w:val="000000"/>
              </w:rPr>
              <w:t xml:space="preserve"> 2020年中国物联网连接应用场景</w:t>
            </w:r>
            <w:bookmarkEnd w:id="56"/>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both"/>
              <w:rPr>
                <w:rFonts w:eastAsia="楷体" w:cs="Arial"/>
                <w:color w:val="000000"/>
              </w:rPr>
            </w:pPr>
            <w:r>
              <w:drawing>
                <wp:inline distT="0" distB="0" distL="114300" distR="114300">
                  <wp:extent cx="3259455" cy="1869440"/>
                  <wp:effectExtent l="0" t="0" r="17145" b="1016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5"/>
                          <pic:cNvPicPr>
                            <a:picLocks noChangeAspect="1"/>
                          </pic:cNvPicPr>
                        </pic:nvPicPr>
                        <pic:blipFill>
                          <a:blip r:embed="rId27"/>
                          <a:stretch>
                            <a:fillRect/>
                          </a:stretch>
                        </pic:blipFill>
                        <pic:spPr>
                          <a:xfrm>
                            <a:off x="0" y="0"/>
                            <a:ext cx="3259455" cy="1869440"/>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both"/>
              <w:rPr>
                <w:rFonts w:eastAsia="楷体" w:cs="Arial"/>
                <w:color w:val="000000"/>
              </w:rPr>
            </w:pPr>
            <w:r>
              <w:drawing>
                <wp:inline distT="0" distB="0" distL="114300" distR="114300">
                  <wp:extent cx="3189605" cy="2033905"/>
                  <wp:effectExtent l="0" t="0" r="10795" b="23495"/>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8"/>
                          <pic:cNvPicPr>
                            <a:picLocks noChangeAspect="1"/>
                          </pic:cNvPicPr>
                        </pic:nvPicPr>
                        <pic:blipFill>
                          <a:blip r:embed="rId28"/>
                          <a:stretch>
                            <a:fillRect/>
                          </a:stretch>
                        </pic:blipFill>
                        <pic:spPr>
                          <a:xfrm>
                            <a:off x="0" y="0"/>
                            <a:ext cx="3189605" cy="203390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来源：中国信通院，中泰证券研究所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中国信息通信研究院</w:t>
            </w:r>
            <w:r>
              <w:rPr>
                <w:rFonts w:eastAsia="楷体" w:cs="Arial"/>
                <w:color w:val="000000"/>
                <w:sz w:val="15"/>
              </w:rPr>
              <w:t>，中泰证券研究所</w:t>
            </w:r>
          </w:p>
        </w:tc>
      </w:tr>
    </w:tbl>
    <w:p>
      <w:pPr>
        <w:rPr>
          <w:rFonts w:hint="eastAsia" w:eastAsia="楷体" w:cs="Arial"/>
          <w:b w:val="0"/>
          <w:bCs w:val="0"/>
          <w:color w:val="000000"/>
          <w:szCs w:val="21"/>
        </w:rPr>
      </w:pPr>
    </w:p>
    <w:p>
      <w:pPr>
        <w:ind w:left="3081" w:leftChars="1467" w:firstLine="600" w:firstLineChars="286"/>
        <w:rPr>
          <w:rFonts w:hint="default" w:eastAsia="楷体" w:cs="Arial"/>
          <w:b w:val="0"/>
          <w:bCs w:val="0"/>
          <w:color w:val="000000"/>
          <w:szCs w:val="21"/>
          <w:u w:val="none"/>
        </w:rPr>
      </w:pPr>
      <w:r>
        <w:rPr>
          <w:rFonts w:hint="default" w:eastAsia="楷体" w:cs="Arial"/>
          <w:b w:val="0"/>
          <w:bCs w:val="0"/>
          <w:color w:val="000000"/>
          <w:szCs w:val="21"/>
        </w:rPr>
        <w:t>此外，将物联网按连接应用场景划分，我国物联网结构暂时以</w:t>
      </w:r>
      <w:r>
        <w:rPr>
          <w:rFonts w:hint="default" w:eastAsia="楷体" w:cs="Arial"/>
          <w:b/>
          <w:bCs/>
          <w:color w:val="000000"/>
          <w:szCs w:val="21"/>
          <w:u w:val="single"/>
        </w:rPr>
        <w:t>消费物联网中的智慧家居</w:t>
      </w:r>
      <w:r>
        <w:rPr>
          <w:rFonts w:hint="default" w:eastAsia="楷体" w:cs="Arial"/>
          <w:b w:val="0"/>
          <w:bCs w:val="0"/>
          <w:color w:val="000000"/>
          <w:szCs w:val="21"/>
          <w:u w:val="none"/>
        </w:rPr>
        <w:t>为一家独大情景，占据我国物联网连接数的43%，为第一大应用场景，主要原因是用户需求比较相似，产业链及量产技术较为成熟，消费者的消费意愿已被长期培育，消费互联网具有先发优势。具体例子为智能家居安防（报警器、摄像头等）、智能家居娱乐（智能音响、投影仪）等智能家居产品。</w:t>
      </w:r>
    </w:p>
    <w:p>
      <w:pPr>
        <w:ind w:left="3081" w:leftChars="1467" w:firstLine="600" w:firstLineChars="286"/>
        <w:rPr>
          <w:rFonts w:hint="eastAsia" w:eastAsia="楷体" w:cs="Arial"/>
          <w:b w:val="0"/>
          <w:bCs w:val="0"/>
          <w:color w:val="000000"/>
          <w:szCs w:val="21"/>
          <w:u w:val="none"/>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23</w:t>
            </w:r>
            <w:r>
              <w:rPr>
                <w:rFonts w:eastAsia="楷体" w:cs="Arial"/>
                <w:b/>
                <w:bCs/>
                <w:i/>
                <w:color w:val="000000"/>
                <w:sz w:val="20"/>
              </w:rPr>
              <w:fldChar w:fldCharType="end"/>
            </w:r>
            <w:bookmarkStart w:id="57" w:name="_Toc194442926"/>
            <w:r>
              <w:rPr>
                <w:rFonts w:eastAsia="楷体" w:cs="Arial"/>
                <w:b/>
                <w:bCs/>
                <w:i/>
                <w:color w:val="000000"/>
                <w:sz w:val="20"/>
              </w:rPr>
              <w:t xml:space="preserve"> 智能家居安防应用场景</w:t>
            </w:r>
            <w:bookmarkEnd w:id="57"/>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24</w:t>
            </w:r>
            <w:r>
              <w:rPr>
                <w:rFonts w:eastAsia="楷体" w:cs="Arial"/>
                <w:b/>
                <w:bCs/>
                <w:i/>
                <w:color w:val="000000"/>
              </w:rPr>
              <w:fldChar w:fldCharType="end"/>
            </w:r>
            <w:bookmarkStart w:id="58" w:name="_Toc872147550"/>
            <w:r>
              <w:rPr>
                <w:rFonts w:eastAsia="楷体" w:cs="Arial"/>
                <w:b/>
                <w:bCs/>
                <w:i/>
                <w:color w:val="000000"/>
              </w:rPr>
              <w:t xml:space="preserve"> 智能家居娱乐应用场景</w:t>
            </w:r>
            <w:bookmarkEnd w:id="58"/>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rPr>
          <w:trHeight w:val="2808" w:hRule="atLeast"/>
        </w:trPr>
        <w:tc>
          <w:tcPr>
            <w:tcW w:w="5353" w:type="dxa"/>
            <w:tcBorders>
              <w:top w:val="single" w:color="C00000" w:sz="8" w:space="0"/>
              <w:right w:val="nil"/>
            </w:tcBorders>
            <w:noWrap w:val="0"/>
            <w:vAlign w:val="top"/>
          </w:tcPr>
          <w:p>
            <w:pPr>
              <w:spacing w:line="360" w:lineRule="auto"/>
              <w:jc w:val="both"/>
              <w:rPr>
                <w:rFonts w:eastAsia="楷体" w:cs="Arial"/>
                <w:color w:val="000000"/>
              </w:rPr>
            </w:pPr>
            <w:r>
              <w:drawing>
                <wp:inline distT="0" distB="0" distL="114300" distR="114300">
                  <wp:extent cx="3245485" cy="2199005"/>
                  <wp:effectExtent l="0" t="0" r="5715" b="10795"/>
                  <wp:docPr id="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0"/>
                          <pic:cNvPicPr>
                            <a:picLocks noChangeAspect="1"/>
                          </pic:cNvPicPr>
                        </pic:nvPicPr>
                        <pic:blipFill>
                          <a:blip r:embed="rId29"/>
                          <a:stretch>
                            <a:fillRect/>
                          </a:stretch>
                        </pic:blipFill>
                        <pic:spPr>
                          <a:xfrm>
                            <a:off x="0" y="0"/>
                            <a:ext cx="3245485" cy="2199005"/>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both"/>
              <w:rPr>
                <w:rFonts w:eastAsia="楷体" w:cs="Arial"/>
                <w:color w:val="000000"/>
              </w:rPr>
            </w:pPr>
            <w:r>
              <w:drawing>
                <wp:inline distT="0" distB="0" distL="114300" distR="114300">
                  <wp:extent cx="3187065" cy="2271395"/>
                  <wp:effectExtent l="0" t="0" r="13335" b="14605"/>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
                          <pic:cNvPicPr>
                            <a:picLocks noChangeAspect="1"/>
                          </pic:cNvPicPr>
                        </pic:nvPicPr>
                        <pic:blipFill>
                          <a:blip r:embed="rId30"/>
                          <a:stretch>
                            <a:fillRect/>
                          </a:stretch>
                        </pic:blipFill>
                        <pic:spPr>
                          <a:xfrm>
                            <a:off x="0" y="0"/>
                            <a:ext cx="3187065" cy="2271395"/>
                          </a:xfrm>
                          <a:prstGeom prst="rect">
                            <a:avLst/>
                          </a:prstGeom>
                          <a:noFill/>
                          <a:ln w="9525">
                            <a:noFill/>
                          </a:ln>
                        </pic:spPr>
                      </pic:pic>
                    </a:graphicData>
                  </a:graphic>
                </wp:inline>
              </w:drawing>
            </w:r>
          </w:p>
        </w:tc>
      </w:tr>
      <w:tr>
        <w:trPr>
          <w:trHeight w:val="478"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公开资料整理</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公开资料整理</w:t>
            </w:r>
            <w:r>
              <w:rPr>
                <w:rFonts w:eastAsia="楷体" w:cs="Arial"/>
                <w:color w:val="000000"/>
                <w:sz w:val="15"/>
              </w:rPr>
              <w:t>，中泰证券研究所</w:t>
            </w:r>
          </w:p>
        </w:tc>
      </w:tr>
    </w:tbl>
    <w:p>
      <w:pPr>
        <w:pStyle w:val="35"/>
        <w:ind w:firstLine="103" w:firstLineChars="49"/>
        <w:rPr>
          <w:rFonts w:hint="default" w:eastAsia="楷体" w:cs="Arial"/>
          <w:color w:val="000000"/>
        </w:rPr>
      </w:pPr>
      <w:bookmarkStart w:id="59" w:name="_Toc2251284"/>
      <w:r>
        <w:rPr>
          <w:rFonts w:hint="default" w:eastAsia="楷体" w:cs="Arial"/>
          <w:color w:val="000000"/>
        </w:rPr>
        <w:t>Wi-Fi技术赋能物联网，为智能家居第二大无线传输技术</w:t>
      </w:r>
      <w:bookmarkEnd w:id="59"/>
    </w:p>
    <w:p>
      <w:p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当前物联网传输层通信技术可以分为无线传输和有线传输技术，而无线传输则为其物联网领域的主流网络通信技术。分为广域网（授权频谱技术的5G、NB-loT等；和非授权频谱技术的Sigfox、LoRa等）和局域网（如Wi-Fi）。无线局域网的技术特点是传输距离较短、通信范围较小等。目前应用于物联网领域的无线局域网技术有Wi-Fi、蓝牙、Zigbee等。这三类技术常运用于小范围传输的应用场景，譬如在智能家居中应用广泛，且这三类技术对比如下：</w:t>
      </w:r>
    </w:p>
    <w:p>
      <w:p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w:t>
      </w:r>
    </w:p>
    <w:tbl>
      <w:tblPr>
        <w:tblStyle w:val="22"/>
        <w:tblpPr w:leftFromText="180" w:rightFromText="180" w:vertAnchor="text" w:tblpX="2877" w:tblpY="1"/>
        <w:tblOverlap w:val="never"/>
        <w:tblW w:w="8065"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8065"/>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8065"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25</w:t>
            </w:r>
            <w:r>
              <w:rPr>
                <w:rFonts w:eastAsia="楷体" w:cs="Arial"/>
                <w:b/>
                <w:bCs/>
                <w:i/>
                <w:color w:val="000000"/>
              </w:rPr>
              <w:fldChar w:fldCharType="end"/>
            </w:r>
            <w:bookmarkStart w:id="60" w:name="_Toc1420520677"/>
            <w:r>
              <w:rPr>
                <w:rFonts w:eastAsia="楷体" w:cs="Arial"/>
                <w:b/>
                <w:bCs/>
                <w:i/>
                <w:color w:val="000000"/>
              </w:rPr>
              <w:t xml:space="preserve"> 物联网主流无线局域网技术对比</w:t>
            </w:r>
            <w:bookmarkEnd w:id="60"/>
          </w:p>
          <w:p>
            <w:pPr>
              <w:keepNext/>
              <w:rPr>
                <w:rFonts w:hint="eastAsia" w:eastAsia="楷体" w:cs="Arial"/>
                <w:b/>
                <w:bCs/>
                <w:i/>
                <w:color w:val="000000"/>
              </w:rPr>
            </w:pPr>
            <w:r>
              <w:rPr>
                <w:rFonts w:eastAsia="楷体" w:cs="Arial"/>
                <w:b/>
                <w:bCs/>
                <w:i/>
                <w:color w:val="000000"/>
                <w:sz w:val="20"/>
              </w:rPr>
              <w:t>图表6：</w:t>
            </w:r>
            <w:r>
              <w:rPr>
                <w:rFonts w:hint="eastAsia" w:eastAsia="楷体" w:cs="Arial"/>
                <w:b/>
                <w:bCs/>
                <w:i/>
                <w:color w:val="000000"/>
                <w:sz w:val="20"/>
              </w:rPr>
              <w:t>恒玄科技股权结构</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543" w:hRule="atLeast"/>
        </w:trPr>
        <w:tc>
          <w:tcPr>
            <w:tcW w:w="8065" w:type="dxa"/>
            <w:tcBorders>
              <w:top w:val="single" w:color="C00000" w:sz="8" w:space="0"/>
              <w:left w:val="nil"/>
            </w:tcBorders>
            <w:noWrap w:val="0"/>
            <w:vAlign w:val="top"/>
          </w:tcPr>
          <w:tbl>
            <w:tblPr>
              <w:tblStyle w:val="2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427"/>
              <w:gridCol w:w="2507"/>
              <w:gridCol w:w="1780"/>
              <w:gridCol w:w="2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910"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技术类型</w:t>
                  </w:r>
                </w:p>
              </w:tc>
              <w:tc>
                <w:tcPr>
                  <w:tcW w:w="159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Wi-Fi</w:t>
                  </w:r>
                </w:p>
              </w:tc>
              <w:tc>
                <w:tcPr>
                  <w:tcW w:w="1134"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蓝牙</w:t>
                  </w:r>
                </w:p>
              </w:tc>
              <w:tc>
                <w:tcPr>
                  <w:tcW w:w="135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2"/>
                      <w:szCs w:val="22"/>
                      <w:u w:val="none"/>
                    </w:rPr>
                  </w:pPr>
                  <w:r>
                    <w:rPr>
                      <w:rFonts w:hint="eastAsia" w:ascii="方正楷体_GBK" w:hAnsi="方正楷体_GBK" w:eastAsia="方正楷体_GBK" w:cs="方正楷体_GBK"/>
                      <w:b/>
                      <w:i w:val="0"/>
                      <w:color w:val="FFFFFF"/>
                      <w:kern w:val="0"/>
                      <w:sz w:val="22"/>
                      <w:szCs w:val="22"/>
                      <w:u w:val="none"/>
                      <w:lang w:val="en-US" w:eastAsia="zh-CN" w:bidi="ar"/>
                    </w:rPr>
                    <w:t>Zigbee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91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传输距离</w:t>
                  </w:r>
                </w:p>
              </w:tc>
              <w:tc>
                <w:tcPr>
                  <w:tcW w:w="159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最长(100-300m)</w:t>
                  </w:r>
                </w:p>
              </w:tc>
              <w:tc>
                <w:tcPr>
                  <w:tcW w:w="1134"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最短(2-30m)</w:t>
                  </w:r>
                </w:p>
              </w:tc>
              <w:tc>
                <w:tcPr>
                  <w:tcW w:w="135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适中(50-300m)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910"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频段</w:t>
                  </w:r>
                </w:p>
              </w:tc>
              <w:tc>
                <w:tcPr>
                  <w:tcW w:w="159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2.4GHz/5GHz</w:t>
                  </w:r>
                </w:p>
              </w:tc>
              <w:tc>
                <w:tcPr>
                  <w:tcW w:w="2492"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2.4GHz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910"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功耗</w:t>
                  </w:r>
                </w:p>
              </w:tc>
              <w:tc>
                <w:tcPr>
                  <w:tcW w:w="159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高</w:t>
                  </w:r>
                  <w:r>
                    <w:rPr>
                      <w:rFonts w:hint="default" w:ascii="方正楷体_GBK" w:hAnsi="方正楷体_GBK" w:eastAsia="方正楷体_GBK" w:cs="方正楷体_GBK"/>
                      <w:i w:val="0"/>
                      <w:color w:val="000000"/>
                      <w:kern w:val="0"/>
                      <w:sz w:val="22"/>
                      <w:szCs w:val="22"/>
                      <w:u w:val="none"/>
                      <w:lang w:eastAsia="zh-CN" w:bidi="ar"/>
                    </w:rPr>
                    <w:t>10-50mA</w:t>
                  </w:r>
                </w:p>
              </w:tc>
              <w:tc>
                <w:tcPr>
                  <w:tcW w:w="1134"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kern w:val="0"/>
                      <w:sz w:val="22"/>
                      <w:szCs w:val="22"/>
                      <w:u w:val="none"/>
                      <w:lang w:eastAsia="zh-CN" w:bidi="ar"/>
                    </w:rPr>
                  </w:pPr>
                  <w:r>
                    <w:rPr>
                      <w:rFonts w:hint="eastAsia" w:ascii="方正楷体_GBK" w:hAnsi="方正楷体_GBK" w:eastAsia="方正楷体_GBK" w:cs="方正楷体_GBK"/>
                      <w:i w:val="0"/>
                      <w:color w:val="000000"/>
                      <w:kern w:val="0"/>
                      <w:sz w:val="22"/>
                      <w:szCs w:val="22"/>
                      <w:u w:val="none"/>
                      <w:lang w:val="en-US" w:eastAsia="zh-CN" w:bidi="ar"/>
                    </w:rPr>
                    <w:t>中</w:t>
                  </w:r>
                  <w:r>
                    <w:rPr>
                      <w:rFonts w:hint="default" w:ascii="方正楷体_GBK" w:hAnsi="方正楷体_GBK" w:eastAsia="方正楷体_GBK" w:cs="方正楷体_GBK"/>
                      <w:i w:val="0"/>
                      <w:color w:val="000000"/>
                      <w:kern w:val="0"/>
                      <w:sz w:val="22"/>
                      <w:szCs w:val="22"/>
                      <w:u w:val="none"/>
                      <w:lang w:eastAsia="zh-CN" w:bidi="ar"/>
                    </w:rPr>
                    <w:t>20mA</w:t>
                  </w:r>
                </w:p>
              </w:tc>
              <w:tc>
                <w:tcPr>
                  <w:tcW w:w="135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低</w:t>
                  </w:r>
                  <w:r>
                    <w:rPr>
                      <w:rFonts w:hint="default" w:ascii="方正楷体_GBK" w:hAnsi="方正楷体_GBK" w:eastAsia="方正楷体_GBK" w:cs="方正楷体_GBK"/>
                      <w:i w:val="0"/>
                      <w:color w:val="000000"/>
                      <w:kern w:val="0"/>
                      <w:sz w:val="22"/>
                      <w:szCs w:val="22"/>
                      <w:u w:val="none"/>
                      <w:lang w:eastAsia="zh-CN" w:bidi="ar"/>
                    </w:rPr>
                    <w:t>5mA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restar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安全性</w:t>
                  </w:r>
                </w:p>
              </w:tc>
              <w:tc>
                <w:tcPr>
                  <w:tcW w:w="1597" w:type="pct"/>
                  <w:vMerge w:val="restar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无线电波传输信号；数据包容易被检测接收</w:t>
                  </w:r>
                </w:p>
              </w:tc>
              <w:tc>
                <w:tcPr>
                  <w:tcW w:w="1134" w:type="pct"/>
                  <w:vMerge w:val="restar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AES 128加密算法进行数据加密认证</w:t>
                  </w:r>
                </w:p>
              </w:tc>
              <w:tc>
                <w:tcPr>
                  <w:tcW w:w="1357" w:type="pct"/>
                  <w:vMerge w:val="restar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使用ACL和AES128 对称密码保证安全性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2" w:hRule="atLeast"/>
              </w:trPr>
              <w:tc>
                <w:tcPr>
                  <w:tcW w:w="910"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节点容量</w:t>
                  </w:r>
                </w:p>
              </w:tc>
              <w:tc>
                <w:tcPr>
                  <w:tcW w:w="1597"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同一路由器下联网设备数量有限</w:t>
                  </w:r>
                </w:p>
              </w:tc>
              <w:tc>
                <w:tcPr>
                  <w:tcW w:w="1134"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理论节点容量高，但传输距离短</w:t>
                  </w:r>
                </w:p>
              </w:tc>
              <w:tc>
                <w:tcPr>
                  <w:tcW w:w="1357"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2"/>
                      <w:szCs w:val="22"/>
                      <w:u w:val="none"/>
                    </w:rPr>
                  </w:pPr>
                  <w:r>
                    <w:rPr>
                      <w:rFonts w:hint="eastAsia" w:ascii="方正楷体_GBK" w:hAnsi="方正楷体_GBK" w:eastAsia="方正楷体_GBK" w:cs="方正楷体_GBK"/>
                      <w:i w:val="0"/>
                      <w:color w:val="000000"/>
                      <w:kern w:val="0"/>
                      <w:sz w:val="22"/>
                      <w:szCs w:val="22"/>
                      <w:u w:val="none"/>
                      <w:lang w:val="en-US" w:eastAsia="zh-CN" w:bidi="ar"/>
                    </w:rPr>
                    <w:t>最多支持65,000个节点，容量大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910"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59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134"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c>
                <w:tcPr>
                  <w:tcW w:w="1357"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2"/>
                      <w:szCs w:val="22"/>
                      <w:u w:val="none"/>
                    </w:rPr>
                  </w:pP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80" w:hRule="atLeast"/>
        </w:trPr>
        <w:tc>
          <w:tcPr>
            <w:tcW w:w="8065" w:type="dxa"/>
            <w:tcBorders>
              <w:left w:val="nil"/>
            </w:tcBorders>
            <w:noWrap w:val="0"/>
            <w:vAlign w:val="top"/>
          </w:tcPr>
          <w:p>
            <w:pPr>
              <w:keepNext w:val="0"/>
              <w:keepLines w:val="0"/>
              <w:widowControl/>
              <w:suppressLineNumbers w:val="0"/>
              <w:spacing w:line="35" w:lineRule="atLeast"/>
              <w:jc w:val="left"/>
              <w:rPr>
                <w:rFonts w:eastAsia="楷体" w:cs="Arial"/>
                <w:color w:val="000000"/>
                <w:sz w:val="15"/>
              </w:rPr>
            </w:pPr>
            <w:r>
              <w:rPr>
                <w:rFonts w:eastAsia="楷体" w:cs="Arial"/>
                <w:color w:val="000000"/>
                <w:sz w:val="15"/>
              </w:rPr>
              <w:t>来源：公开资料整理</w:t>
            </w:r>
            <w:r>
              <w:rPr>
                <w:rFonts w:ascii="Arial" w:hAnsi="Arial" w:eastAsia="楷体" w:cs="Arial"/>
                <w:color w:val="000000"/>
                <w:kern w:val="2"/>
                <w:sz w:val="15"/>
                <w:szCs w:val="24"/>
                <w:lang w:val="en-US" w:eastAsia="zh-CN" w:bidi="ar-SA"/>
              </w:rPr>
              <w:t>，</w:t>
            </w:r>
            <w:r>
              <w:rPr>
                <w:rFonts w:eastAsia="楷体" w:cs="Arial"/>
                <w:color w:val="000000"/>
                <w:sz w:val="15"/>
              </w:rPr>
              <w:t>中泰证券研究所</w:t>
            </w:r>
          </w:p>
        </w:tc>
      </w:tr>
    </w:tbl>
    <w:p>
      <w:pPr>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 xml:space="preserve">按照预测，至 2025 年，GaAs </w:t>
      </w:r>
      <w:r>
        <w:rPr>
          <w:rFonts w:hint="default" w:eastAsia="楷体" w:cs="Arial"/>
          <w:b w:val="0"/>
          <w:bCs w:val="0"/>
          <w:color w:val="000000"/>
          <w:szCs w:val="21"/>
        </w:rPr>
        <w:tab/>
      </w:r>
      <w:r>
        <w:rPr>
          <w:rFonts w:hint="default" w:eastAsia="楷体" w:cs="Arial"/>
          <w:b w:val="0"/>
          <w:bCs w:val="0"/>
          <w:color w:val="000000"/>
          <w:szCs w:val="21"/>
        </w:rPr>
        <w:tab/>
      </w:r>
      <w:r>
        <w:rPr>
          <w:rFonts w:hint="default" w:eastAsia="楷体" w:cs="Arial"/>
          <w:b w:val="0"/>
          <w:bCs w:val="0"/>
          <w:color w:val="000000"/>
          <w:szCs w:val="21"/>
        </w:rPr>
        <w:t>凭借Wi-Fi高带宽、高速率、传输距离长等优点，Wi-Fi技术已成为智能家居无线局域网技术中重要的一环。根据中国智能家居产业联盟数据，2018年中国智能家居行业组网连接技术中，Wi-Fi技术所占组网技术19.4%的份额，为当前智能家居组网第二大无线传输技术，紧随有线接连技术RS485（31%）和Zigbee（24%）之后。且伴随部分智能家居应用对高网络速率的要求（如智能家居监控等）和智能家居设备的不断放量，Wi-Fi产业在智能家居中将逐步渗透。</w:t>
      </w:r>
    </w:p>
    <w:tbl>
      <w:tblPr>
        <w:tblStyle w:val="22"/>
        <w:tblpPr w:leftFromText="180" w:rightFromText="180" w:vertAnchor="text" w:tblpX="3645" w:tblpY="1"/>
        <w:tblOverlap w:val="never"/>
        <w:tblW w:w="6978"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6978"/>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6978"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28</w:t>
            </w:r>
            <w:r>
              <w:rPr>
                <w:rFonts w:eastAsia="楷体" w:cs="Arial"/>
                <w:b/>
                <w:bCs/>
                <w:i/>
                <w:color w:val="000000"/>
              </w:rPr>
              <w:fldChar w:fldCharType="end"/>
            </w:r>
            <w:bookmarkStart w:id="61" w:name="_Toc1855883464"/>
            <w:r>
              <w:rPr>
                <w:rFonts w:eastAsia="楷体" w:cs="Arial"/>
                <w:b/>
                <w:bCs/>
                <w:i/>
                <w:color w:val="000000"/>
              </w:rPr>
              <w:t xml:space="preserve"> 中国智能家居组网技术占比</w:t>
            </w:r>
            <w:bookmarkEnd w:id="61"/>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图表11：TWS</w:t>
            </w:r>
            <w:r>
              <w:rPr>
                <w:rFonts w:hint="eastAsia" w:eastAsia="楷体" w:cs="Arial"/>
                <w:b/>
                <w:bCs/>
                <w:i/>
                <w:color w:val="000000"/>
              </w:rPr>
              <w:t>耳机的组成及其核心智能蓝牙音频</w:t>
            </w:r>
            <w:r>
              <w:rPr>
                <w:rFonts w:eastAsia="楷体" w:cs="Arial"/>
                <w:b/>
                <w:bCs/>
                <w:i/>
                <w:color w:val="000000"/>
              </w:rPr>
              <w:t>SOC</w:t>
            </w:r>
            <w:r>
              <w:rPr>
                <w:rFonts w:hint="eastAsia" w:eastAsia="楷体" w:cs="Arial"/>
                <w:b/>
                <w:bCs/>
                <w:i/>
                <w:color w:val="000000"/>
              </w:rPr>
              <w:t>芯片</w:t>
            </w:r>
          </w:p>
        </w:tc>
      </w:tr>
      <w:tr>
        <w:trPr>
          <w:trHeight w:val="4558" w:hRule="atLeast"/>
        </w:trPr>
        <w:tc>
          <w:tcPr>
            <w:tcW w:w="6978" w:type="dxa"/>
            <w:tcBorders>
              <w:top w:val="single" w:color="C00000" w:sz="8" w:space="0"/>
              <w:left w:val="nil"/>
            </w:tcBorders>
            <w:noWrap w:val="0"/>
            <w:vAlign w:val="top"/>
          </w:tcPr>
          <w:p>
            <w:pPr>
              <w:jc w:val="center"/>
              <w:rPr>
                <w:rFonts w:eastAsia="楷体" w:cs="Arial"/>
                <w:color w:val="000000"/>
              </w:rPr>
            </w:pPr>
            <w:r>
              <w:drawing>
                <wp:inline distT="0" distB="0" distL="114300" distR="114300">
                  <wp:extent cx="3430905" cy="2647315"/>
                  <wp:effectExtent l="0" t="0" r="23495" b="19685"/>
                  <wp:docPr id="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pic:cNvPicPr>
                            <a:picLocks noChangeAspect="1"/>
                          </pic:cNvPicPr>
                        </pic:nvPicPr>
                        <pic:blipFill>
                          <a:blip r:embed="rId31"/>
                          <a:stretch>
                            <a:fillRect/>
                          </a:stretch>
                        </pic:blipFill>
                        <pic:spPr>
                          <a:xfrm>
                            <a:off x="0" y="0"/>
                            <a:ext cx="3430905" cy="26473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6978"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中国智能家居产业联盟</w:t>
            </w:r>
            <w:r>
              <w:rPr>
                <w:rFonts w:eastAsia="楷体" w:cs="Arial"/>
                <w:color w:val="000000"/>
                <w:sz w:val="15"/>
              </w:rPr>
              <w:t>，中泰证券研究所</w:t>
            </w:r>
          </w:p>
        </w:tc>
      </w:tr>
    </w:tbl>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p>
    <w:p>
      <w:pPr>
        <w:rPr>
          <w:rFonts w:hint="default" w:eastAsia="楷体" w:cs="Arial"/>
          <w:b w:val="0"/>
          <w:bCs w:val="0"/>
          <w:color w:val="000000"/>
          <w:szCs w:val="21"/>
        </w:rPr>
      </w:pPr>
    </w:p>
    <w:p>
      <w:pPr>
        <w:pStyle w:val="35"/>
        <w:ind w:firstLine="103" w:firstLineChars="49"/>
        <w:rPr>
          <w:rFonts w:hint="eastAsia" w:eastAsia="楷体" w:cs="Arial"/>
          <w:color w:val="000000"/>
        </w:rPr>
      </w:pPr>
      <w:bookmarkStart w:id="62" w:name="_Toc43588355"/>
    </w:p>
    <w:p>
      <w:pPr>
        <w:pStyle w:val="35"/>
        <w:ind w:firstLine="103" w:firstLineChars="49"/>
        <w:rPr>
          <w:rFonts w:hint="eastAsia" w:eastAsia="楷体" w:cs="Arial"/>
          <w:color w:val="000000"/>
        </w:rPr>
      </w:pPr>
      <w:bookmarkEnd w:id="62"/>
    </w:p>
    <w:p>
      <w:pPr>
        <w:pStyle w:val="35"/>
        <w:ind w:firstLine="103" w:firstLineChars="49"/>
        <w:rPr>
          <w:rFonts w:hint="eastAsia" w:eastAsia="楷体" w:cs="Arial"/>
          <w:color w:val="000000"/>
        </w:rPr>
      </w:pPr>
    </w:p>
    <w:p>
      <w:pPr>
        <w:rPr>
          <w:rFonts w:hint="default" w:eastAsia="楷体" w:cs="Arial"/>
          <w:b w:val="0"/>
          <w:bCs w:val="0"/>
          <w:color w:val="000000"/>
          <w:szCs w:val="21"/>
        </w:rPr>
      </w:pPr>
    </w:p>
    <w:p>
      <w:pPr>
        <w:pStyle w:val="35"/>
        <w:ind w:firstLine="103" w:firstLineChars="49"/>
        <w:rPr>
          <w:rFonts w:hint="default" w:eastAsia="楷体" w:cs="Arial"/>
          <w:color w:val="000000"/>
        </w:rPr>
      </w:pPr>
    </w:p>
    <w:p>
      <w:pPr>
        <w:pStyle w:val="35"/>
        <w:ind w:firstLine="103" w:firstLineChars="49"/>
        <w:rPr>
          <w:rFonts w:ascii="楷体" w:hAnsi="楷体" w:eastAsia="楷体"/>
          <w:sz w:val="20"/>
          <w:szCs w:val="20"/>
        </w:rPr>
      </w:pPr>
      <w:bookmarkStart w:id="63" w:name="_Toc1330108189"/>
      <w:r>
        <w:rPr>
          <w:rFonts w:hint="default" w:eastAsia="楷体" w:cs="Arial"/>
          <w:color w:val="000000"/>
        </w:rPr>
        <w:t>竞争格局：大型企业与中小企业互有优势；</w:t>
      </w:r>
      <w:bookmarkEnd w:id="63"/>
    </w:p>
    <w:p>
      <w:pPr>
        <w:ind w:left="3081" w:leftChars="1467" w:firstLine="601" w:firstLineChars="286"/>
        <w:rPr>
          <w:rFonts w:hint="default" w:eastAsia="楷体" w:cs="Arial"/>
          <w:b w:val="0"/>
          <w:bCs w:val="0"/>
          <w:color w:val="000000"/>
          <w:szCs w:val="21"/>
        </w:rPr>
      </w:pPr>
      <w:r>
        <w:rPr>
          <w:rFonts w:hint="default" w:eastAsia="楷体" w:cs="Arial"/>
          <w:b/>
          <w:bCs/>
          <w:color w:val="000000"/>
          <w:szCs w:val="21"/>
          <w:u w:val="single"/>
        </w:rPr>
        <w:t>总体而言，Wi-Fi芯片行业竞争充分，行业集中度较高，但大型厂商与中小企业互有优势。</w:t>
      </w:r>
      <w:r>
        <w:rPr>
          <w:rFonts w:hint="default" w:eastAsia="楷体" w:cs="Arial"/>
          <w:b w:val="0"/>
          <w:bCs w:val="0"/>
          <w:color w:val="000000"/>
          <w:szCs w:val="21"/>
        </w:rPr>
        <w:t>目前Wi-Fi芯片行业竞争的主要参与者分为两类，一类是大型的传统集成电路设计厂商，以高通、德州仪器、美满、瑞昱、联发科为代表。另一类是中小集成电路设计企业，以博通集成、乐鑫科技、南方硅谷等为代表。</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eastAsia" w:eastAsia="楷体" w:cs="Arial"/>
          <w:b w:val="0"/>
          <w:bCs w:val="0"/>
          <w:color w:val="000000"/>
          <w:szCs w:val="21"/>
        </w:rPr>
      </w:pPr>
      <w:r>
        <w:rPr>
          <w:rFonts w:hint="default" w:eastAsia="楷体" w:cs="Arial"/>
          <w:b w:val="0"/>
          <w:bCs w:val="0"/>
          <w:color w:val="000000"/>
          <w:szCs w:val="21"/>
        </w:rPr>
        <w:t>大型传统集成电路设计厂商虽然在研发力量、资本投入等方面拥有竞争优势。但中小企业一般提前布局研发，通过多年技术积累，占有市场先发优势，并在产品性能、性价比、本土化程度、客户服务及售后支持等方面领先其他竞争对手。伴随Wi-Fi 6 最新技术标准的不断渗透，各Wi-Fi芯片厂商也逐步加快推广基于Wi-Fi6标准的芯片产品，行业内企业竞争格局将迎来新一轮洗牌。目前行业内主要企业及核心产品介绍如下：</w:t>
      </w:r>
    </w:p>
    <w:p>
      <w:pPr>
        <w:rPr>
          <w:rFonts w:hint="eastAsia" w:eastAsia="楷体" w:cs="Arial"/>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29</w:t>
            </w:r>
            <w:r>
              <w:rPr>
                <w:rFonts w:eastAsia="楷体" w:cs="Arial"/>
                <w:b/>
                <w:bCs/>
                <w:i/>
                <w:color w:val="000000"/>
              </w:rPr>
              <w:fldChar w:fldCharType="end"/>
            </w:r>
            <w:bookmarkStart w:id="64" w:name="_Toc1945700701"/>
            <w:r>
              <w:rPr>
                <w:rFonts w:eastAsia="楷体" w:cs="Arial"/>
                <w:b/>
                <w:bCs/>
                <w:i/>
                <w:color w:val="000000"/>
              </w:rPr>
              <w:t xml:space="preserve"> 国内碳化硅产业链格局</w:t>
            </w:r>
            <w:bookmarkEnd w:id="64"/>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图表11：TWS</w:t>
            </w:r>
            <w:r>
              <w:rPr>
                <w:rFonts w:hint="eastAsia" w:eastAsia="楷体" w:cs="Arial"/>
                <w:b/>
                <w:bCs/>
                <w:i/>
                <w:color w:val="000000"/>
              </w:rPr>
              <w:t>耳机的组成及其核心智能蓝牙音频</w:t>
            </w:r>
            <w:r>
              <w:rPr>
                <w:rFonts w:eastAsia="楷体" w:cs="Arial"/>
                <w:b/>
                <w:bCs/>
                <w:i/>
                <w:color w:val="000000"/>
              </w:rPr>
              <w:t>SOC</w:t>
            </w:r>
            <w:r>
              <w:rPr>
                <w:rFonts w:hint="eastAsia" w:eastAsia="楷体" w:cs="Arial"/>
                <w:b/>
                <w:bCs/>
                <w:i/>
                <w:color w:val="000000"/>
              </w:rPr>
              <w:t>芯片</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219" w:hRule="atLeast"/>
        </w:trPr>
        <w:tc>
          <w:tcPr>
            <w:tcW w:w="10881" w:type="dxa"/>
            <w:tcBorders>
              <w:top w:val="single" w:color="C00000" w:sz="8" w:space="0"/>
              <w:left w:val="nil"/>
            </w:tcBorders>
            <w:noWrap w:val="0"/>
            <w:vAlign w:val="top"/>
          </w:tcPr>
          <w:tbl>
            <w:tblPr>
              <w:tblStyle w:val="2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961"/>
              <w:gridCol w:w="1"/>
              <w:gridCol w:w="1424"/>
              <w:gridCol w:w="4"/>
              <w:gridCol w:w="1144"/>
              <w:gridCol w:w="1"/>
              <w:gridCol w:w="71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Before w:w="2" w:type="pct"/>
                <w:trHeight w:val="225" w:hRule="atLeast"/>
              </w:trPr>
              <w:tc>
                <w:tcPr>
                  <w:tcW w:w="458" w:type="pct"/>
                  <w:gridSpan w:val="2"/>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ascii="方正楷体_GBK" w:hAnsi="方正楷体_GBK" w:eastAsia="方正楷体_GBK" w:cs="方正楷体_GBK"/>
                      <w:b/>
                      <w:i w:val="0"/>
                      <w:color w:val="FFFFFF"/>
                      <w:sz w:val="21"/>
                      <w:szCs w:val="21"/>
                      <w:u w:val="none"/>
                    </w:rPr>
                  </w:pPr>
                  <w:r>
                    <w:rPr>
                      <w:rFonts w:hint="eastAsia" w:ascii="方正楷体_GBK" w:hAnsi="方正楷体_GBK" w:eastAsia="方正楷体_GBK" w:cs="方正楷体_GBK"/>
                      <w:b/>
                      <w:i w:val="0"/>
                      <w:color w:val="FFFFFF"/>
                      <w:kern w:val="0"/>
                      <w:sz w:val="21"/>
                      <w:szCs w:val="21"/>
                      <w:u w:val="none"/>
                      <w:lang w:val="en-US" w:eastAsia="zh-CN" w:bidi="ar"/>
                    </w:rPr>
                    <w:t>分类</w:t>
                  </w:r>
                </w:p>
              </w:tc>
              <w:tc>
                <w:tcPr>
                  <w:tcW w:w="675" w:type="pct"/>
                  <w:gridSpan w:val="2"/>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1"/>
                      <w:szCs w:val="21"/>
                      <w:u w:val="none"/>
                    </w:rPr>
                  </w:pPr>
                  <w:r>
                    <w:rPr>
                      <w:rFonts w:hint="eastAsia" w:ascii="方正楷体_GBK" w:hAnsi="方正楷体_GBK" w:eastAsia="方正楷体_GBK" w:cs="方正楷体_GBK"/>
                      <w:b/>
                      <w:i w:val="0"/>
                      <w:color w:val="FFFFFF"/>
                      <w:kern w:val="0"/>
                      <w:sz w:val="21"/>
                      <w:szCs w:val="21"/>
                      <w:u w:val="none"/>
                      <w:lang w:val="en-US" w:eastAsia="zh-CN" w:bidi="ar"/>
                    </w:rPr>
                    <w:t>Wi-Fi芯片厂商</w:t>
                  </w:r>
                </w:p>
              </w:tc>
              <w:tc>
                <w:tcPr>
                  <w:tcW w:w="514" w:type="pct"/>
                  <w:gridSpan w:val="2"/>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1"/>
                      <w:szCs w:val="21"/>
                      <w:u w:val="none"/>
                    </w:rPr>
                  </w:pPr>
                  <w:r>
                    <w:rPr>
                      <w:rFonts w:hint="eastAsia" w:ascii="方正楷体_GBK" w:hAnsi="方正楷体_GBK" w:eastAsia="方正楷体_GBK" w:cs="方正楷体_GBK"/>
                      <w:b/>
                      <w:i w:val="0"/>
                      <w:color w:val="FFFFFF"/>
                      <w:kern w:val="0"/>
                      <w:sz w:val="21"/>
                      <w:szCs w:val="21"/>
                      <w:u w:val="none"/>
                      <w:lang w:val="en-US" w:eastAsia="zh-CN" w:bidi="ar"/>
                    </w:rPr>
                    <w:t>核心产品</w:t>
                  </w:r>
                </w:p>
              </w:tc>
              <w:tc>
                <w:tcPr>
                  <w:tcW w:w="3348"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1"/>
                      <w:szCs w:val="21"/>
                      <w:u w:val="none"/>
                    </w:rPr>
                  </w:pPr>
                  <w:r>
                    <w:rPr>
                      <w:rFonts w:hint="eastAsia" w:ascii="方正楷体_GBK" w:hAnsi="方正楷体_GBK" w:eastAsia="方正楷体_GBK" w:cs="方正楷体_GBK"/>
                      <w:b/>
                      <w:i w:val="0"/>
                      <w:color w:val="FFFFFF"/>
                      <w:kern w:val="0"/>
                      <w:sz w:val="21"/>
                      <w:szCs w:val="21"/>
                      <w:u w:val="none"/>
                      <w:lang w:val="en-US" w:eastAsia="zh-CN" w:bidi="ar"/>
                    </w:rPr>
                    <w:t>主要介绍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465" w:hRule="atLeast"/>
              </w:trPr>
              <w:tc>
                <w:tcPr>
                  <w:tcW w:w="458" w:type="pct"/>
                  <w:vMerge w:val="restar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国际厂商</w:t>
                  </w:r>
                </w:p>
              </w:tc>
              <w:tc>
                <w:tcPr>
                  <w:tcW w:w="675"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高通</w:t>
                  </w:r>
                </w:p>
              </w:tc>
              <w:tc>
                <w:tcPr>
                  <w:tcW w:w="514"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BCM3684</w:t>
                  </w:r>
                  <w:r>
                    <w:rPr>
                      <w:rFonts w:hint="eastAsia" w:ascii="方正楷体_GBK" w:hAnsi="方正楷体_GBK" w:eastAsia="方正楷体_GBK" w:cs="方正楷体_GBK"/>
                      <w:i w:val="0"/>
                      <w:color w:val="000000"/>
                      <w:kern w:val="0"/>
                      <w:sz w:val="21"/>
                      <w:szCs w:val="21"/>
                      <w:u w:val="none"/>
                      <w:lang w:val="en-US" w:eastAsia="zh-CN" w:bidi="ar"/>
                    </w:rPr>
                    <w:br w:type="textWrapping"/>
                  </w:r>
                  <w:r>
                    <w:rPr>
                      <w:rFonts w:hint="eastAsia" w:ascii="方正楷体_GBK" w:hAnsi="方正楷体_GBK" w:eastAsia="方正楷体_GBK" w:cs="方正楷体_GBK"/>
                      <w:i w:val="0"/>
                      <w:color w:val="000000"/>
                      <w:kern w:val="0"/>
                      <w:sz w:val="21"/>
                      <w:szCs w:val="21"/>
                      <w:u w:val="none"/>
                      <w:lang w:val="en-US" w:eastAsia="zh-CN" w:bidi="ar"/>
                    </w:rPr>
                    <w:t>BCM4375</w:t>
                  </w:r>
                </w:p>
              </w:tc>
              <w:tc>
                <w:tcPr>
                  <w:tcW w:w="3348"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高通创立于1985年，全球领先的无线通信技术研发企业，致力于提供无线通信产品及服务，业务线涵盖3G、4G、5G芯片组、系统软件及开发工具。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465" w:hRule="atLeast"/>
              </w:trPr>
              <w:tc>
                <w:tcPr>
                  <w:tcW w:w="458"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1"/>
                      <w:szCs w:val="21"/>
                      <w:u w:val="none"/>
                    </w:rPr>
                  </w:pPr>
                </w:p>
              </w:tc>
              <w:tc>
                <w:tcPr>
                  <w:tcW w:w="675"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德州仪器</w:t>
                  </w:r>
                </w:p>
              </w:tc>
              <w:tc>
                <w:tcPr>
                  <w:tcW w:w="514"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CC3100</w:t>
                  </w:r>
                  <w:r>
                    <w:rPr>
                      <w:rFonts w:hint="eastAsia" w:ascii="方正楷体_GBK" w:hAnsi="方正楷体_GBK" w:eastAsia="方正楷体_GBK" w:cs="方正楷体_GBK"/>
                      <w:i w:val="0"/>
                      <w:color w:val="000000"/>
                      <w:kern w:val="0"/>
                      <w:sz w:val="21"/>
                      <w:szCs w:val="21"/>
                      <w:u w:val="none"/>
                      <w:lang w:val="en-US" w:eastAsia="zh-CN" w:bidi="ar"/>
                    </w:rPr>
                    <w:br w:type="textWrapping"/>
                  </w:r>
                  <w:r>
                    <w:rPr>
                      <w:rFonts w:hint="eastAsia" w:ascii="方正楷体_GBK" w:hAnsi="方正楷体_GBK" w:eastAsia="方正楷体_GBK" w:cs="方正楷体_GBK"/>
                      <w:i w:val="0"/>
                      <w:color w:val="000000"/>
                      <w:kern w:val="0"/>
                      <w:sz w:val="21"/>
                      <w:szCs w:val="21"/>
                      <w:u w:val="none"/>
                      <w:lang w:val="en-US" w:eastAsia="zh-CN" w:bidi="ar"/>
                    </w:rPr>
                    <w:t>CC3220X</w:t>
                  </w:r>
                </w:p>
              </w:tc>
              <w:tc>
                <w:tcPr>
                  <w:tcW w:w="3348"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德州仪器（TI）创立于1930年，拥有员工近3万人。德州仪器是全球规模最大的模拟电路技术部件制造商，也是全球领先的集成电路设计公司。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690" w:hRule="atLeast"/>
              </w:trPr>
              <w:tc>
                <w:tcPr>
                  <w:tcW w:w="458" w:type="pct"/>
                  <w:vMerge w:val="continue"/>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1"/>
                      <w:szCs w:val="21"/>
                      <w:u w:val="none"/>
                    </w:rPr>
                  </w:pPr>
                </w:p>
              </w:tc>
              <w:tc>
                <w:tcPr>
                  <w:tcW w:w="675"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赛普拉斯</w:t>
                  </w:r>
                </w:p>
              </w:tc>
              <w:tc>
                <w:tcPr>
                  <w:tcW w:w="514"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CYW43903</w:t>
                  </w:r>
                  <w:r>
                    <w:rPr>
                      <w:rFonts w:hint="eastAsia" w:ascii="方正楷体_GBK" w:hAnsi="方正楷体_GBK" w:eastAsia="方正楷体_GBK" w:cs="方正楷体_GBK"/>
                      <w:i w:val="0"/>
                      <w:color w:val="000000"/>
                      <w:kern w:val="0"/>
                      <w:sz w:val="21"/>
                      <w:szCs w:val="21"/>
                      <w:u w:val="none"/>
                      <w:lang w:val="en-US" w:eastAsia="zh-CN" w:bidi="ar"/>
                    </w:rPr>
                    <w:br w:type="textWrapping"/>
                  </w:r>
                  <w:r>
                    <w:rPr>
                      <w:rFonts w:hint="eastAsia" w:ascii="方正楷体_GBK" w:hAnsi="方正楷体_GBK" w:eastAsia="方正楷体_GBK" w:cs="方正楷体_GBK"/>
                      <w:i w:val="0"/>
                      <w:color w:val="000000"/>
                      <w:kern w:val="0"/>
                      <w:sz w:val="21"/>
                      <w:szCs w:val="21"/>
                      <w:u w:val="none"/>
                      <w:lang w:val="en-US" w:eastAsia="zh-CN" w:bidi="ar"/>
                    </w:rPr>
                    <w:t>CYW43907</w:t>
                  </w:r>
                </w:p>
              </w:tc>
              <w:tc>
                <w:tcPr>
                  <w:tcW w:w="3348"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赛普拉斯成立于1982年，拥有员工约6,000人。主要为通讯产品提供芯片和解决方案，2016年，赛普拉斯收购博通的物联网无线通信业务正式涉足物联网无线通信芯片领域。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465" w:hRule="atLeast"/>
              </w:trPr>
              <w:tc>
                <w:tcPr>
                  <w:tcW w:w="458" w:type="pct"/>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国内厂商</w:t>
                  </w:r>
                </w:p>
              </w:tc>
              <w:tc>
                <w:tcPr>
                  <w:tcW w:w="675"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联发科</w:t>
                  </w:r>
                </w:p>
              </w:tc>
              <w:tc>
                <w:tcPr>
                  <w:tcW w:w="514"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MT7681</w:t>
                  </w:r>
                </w:p>
              </w:tc>
              <w:tc>
                <w:tcPr>
                  <w:tcW w:w="3348"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联发科成立于1997年，是全球著名IC设计厂商之一。联发科专注于无线通讯及数字多媒体等技术领域，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465" w:hRule="atLeast"/>
              </w:trPr>
              <w:tc>
                <w:tcPr>
                  <w:tcW w:w="458" w:type="pct"/>
                  <w:vMerge w:val="continue"/>
                  <w:tcBorders>
                    <w:top w:val="single" w:color="000000" w:sz="4" w:space="0"/>
                    <w:left w:val="single" w:color="000000" w:sz="4" w:space="0"/>
                    <w:bottom w:val="single" w:color="000000" w:sz="4" w:space="0"/>
                    <w:right w:val="single" w:color="000000" w:sz="4" w:space="0"/>
                  </w:tcBorders>
                  <w:shd w:val="clear" w:color="auto" w:fill="auto"/>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1"/>
                      <w:szCs w:val="21"/>
                      <w:u w:val="none"/>
                    </w:rPr>
                  </w:pPr>
                </w:p>
              </w:tc>
              <w:tc>
                <w:tcPr>
                  <w:tcW w:w="675"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南方硅谷</w:t>
                  </w:r>
                </w:p>
              </w:tc>
              <w:tc>
                <w:tcPr>
                  <w:tcW w:w="514"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SV60</w:t>
                  </w:r>
                </w:p>
              </w:tc>
              <w:tc>
                <w:tcPr>
                  <w:tcW w:w="3348"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深圳市南方硅谷微电子有限公司2011年于广东省深圳市成立致力于提供无线通信芯片和解决方案。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465" w:hRule="atLeast"/>
              </w:trPr>
              <w:tc>
                <w:tcPr>
                  <w:tcW w:w="458" w:type="pct"/>
                  <w:vMerge w:val="continue"/>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1"/>
                      <w:szCs w:val="21"/>
                      <w:u w:val="none"/>
                    </w:rPr>
                  </w:pPr>
                </w:p>
              </w:tc>
              <w:tc>
                <w:tcPr>
                  <w:tcW w:w="675"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乐鑫科技</w:t>
                  </w:r>
                </w:p>
              </w:tc>
              <w:tc>
                <w:tcPr>
                  <w:tcW w:w="514"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ESP32系列</w:t>
                  </w:r>
                </w:p>
              </w:tc>
              <w:tc>
                <w:tcPr>
                  <w:tcW w:w="3348" w:type="pct"/>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成立于2008年，主要从事物联网Wi-Fi  MCU通信芯片及其模组的研发、设计及销售，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2" w:type="pct"/>
                <w:trHeight w:val="690" w:hRule="atLeast"/>
              </w:trPr>
              <w:tc>
                <w:tcPr>
                  <w:tcW w:w="458" w:type="pct"/>
                  <w:vMerge w:val="continue"/>
                  <w:tcBorders>
                    <w:top w:val="single" w:color="000000" w:sz="4" w:space="0"/>
                    <w:left w:val="single" w:color="000000" w:sz="4" w:space="0"/>
                    <w:bottom w:val="single" w:color="000000" w:sz="4" w:space="0"/>
                    <w:right w:val="single" w:color="000000" w:sz="4" w:space="0"/>
                  </w:tcBorders>
                  <w:shd w:val="clear" w:color="auto" w:fill="auto"/>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21"/>
                      <w:szCs w:val="21"/>
                      <w:u w:val="none"/>
                    </w:rPr>
                  </w:pPr>
                </w:p>
              </w:tc>
              <w:tc>
                <w:tcPr>
                  <w:tcW w:w="675"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博通集成</w:t>
                  </w:r>
                </w:p>
              </w:tc>
              <w:tc>
                <w:tcPr>
                  <w:tcW w:w="514"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BK7231系列</w:t>
                  </w:r>
                </w:p>
              </w:tc>
              <w:tc>
                <w:tcPr>
                  <w:tcW w:w="3348" w:type="pct"/>
                  <w:gridSpan w:val="2"/>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1"/>
                      <w:szCs w:val="21"/>
                      <w:u w:val="none"/>
                    </w:rPr>
                  </w:pPr>
                  <w:r>
                    <w:rPr>
                      <w:rFonts w:hint="eastAsia" w:ascii="方正楷体_GBK" w:hAnsi="方正楷体_GBK" w:eastAsia="方正楷体_GBK" w:cs="方正楷体_GBK"/>
                      <w:i w:val="0"/>
                      <w:color w:val="000000"/>
                      <w:kern w:val="0"/>
                      <w:sz w:val="21"/>
                      <w:szCs w:val="21"/>
                      <w:u w:val="none"/>
                      <w:lang w:val="en-US" w:eastAsia="zh-CN" w:bidi="ar"/>
                    </w:rPr>
                    <w:t>国内领先的无线连接芯片设计公司；2015 年公司首个Wi-Fi 宽带收发样片通过测试，而经过进一步完善的 Wi-Fi 收发电路于 2016 年在量产 SoC 中得到应用，</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乐鑫科技招股书</w:t>
            </w:r>
            <w:r>
              <w:rPr>
                <w:rFonts w:eastAsia="楷体" w:cs="Arial"/>
                <w:color w:val="000000"/>
                <w:sz w:val="15"/>
              </w:rPr>
              <w:t>，中泰证券研究所</w:t>
            </w:r>
          </w:p>
        </w:tc>
      </w:tr>
    </w:tbl>
    <w:p>
      <w:pPr>
        <w:rPr>
          <w:rFonts w:hint="eastAsia" w:eastAsia="楷体" w:cs="Arial"/>
          <w:color w:val="000000"/>
          <w:szCs w:val="21"/>
        </w:rPr>
      </w:pPr>
    </w:p>
    <w:p>
      <w:pPr>
        <w:pStyle w:val="35"/>
        <w:ind w:firstLine="103" w:firstLineChars="49"/>
        <w:rPr>
          <w:rFonts w:hint="default" w:eastAsia="楷体" w:cs="Arial"/>
          <w:color w:val="000000"/>
        </w:rPr>
      </w:pPr>
      <w:bookmarkStart w:id="65" w:name="_Toc1971050900"/>
      <w:r>
        <w:rPr>
          <w:rFonts w:hint="default" w:eastAsia="楷体" w:cs="Arial"/>
          <w:color w:val="000000"/>
        </w:rPr>
        <w:t>国内厂商技术对比：博通集成 vs 乐鑫科技</w:t>
      </w:r>
      <w:bookmarkEnd w:id="65"/>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我们对博通集成和乐鑫科技的Wi-Fi芯片核心产品BK7231系列和ESP32系列进行比较。博通集成2019年无线传输类芯片平均价格为2.40元，毛利率为39.88%，对比乐鑫科技的平均价格4.24元，毛利率50.33%。首先可知两者的Wi-Fi芯片的目标市场、战略体系不一。</w:t>
      </w:r>
      <w:r>
        <w:rPr>
          <w:rFonts w:hint="default" w:eastAsia="楷体" w:cs="Arial"/>
          <w:b/>
          <w:bCs/>
          <w:color w:val="000000"/>
          <w:szCs w:val="21"/>
          <w:u w:val="single"/>
        </w:rPr>
        <w:t>博通集成更倾向于高性价比的下沉市场，以出货量大，较为合理的毛利率为目标，培育差异化市场。</w:t>
      </w:r>
      <w:r>
        <w:rPr>
          <w:rFonts w:hint="default" w:eastAsia="楷体" w:cs="Arial"/>
          <w:b w:val="0"/>
          <w:bCs w:val="0"/>
          <w:color w:val="000000"/>
          <w:szCs w:val="21"/>
        </w:rPr>
        <w:t>而以下的技术对比印证了我们的结论：</w:t>
      </w:r>
    </w:p>
    <w:p>
      <w:pPr>
        <w:ind w:left="3081" w:leftChars="1467" w:firstLine="600" w:firstLineChars="286"/>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auto"/>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30</w:t>
            </w:r>
            <w:r>
              <w:rPr>
                <w:rFonts w:eastAsia="楷体" w:cs="Arial"/>
                <w:b/>
                <w:bCs/>
                <w:i/>
                <w:color w:val="000000"/>
              </w:rPr>
              <w:fldChar w:fldCharType="end"/>
            </w:r>
            <w:bookmarkStart w:id="66" w:name="_Toc1284513147"/>
            <w:r>
              <w:rPr>
                <w:rFonts w:eastAsia="楷体" w:cs="Arial"/>
                <w:b/>
                <w:bCs/>
                <w:i/>
                <w:color w:val="000000"/>
              </w:rPr>
              <w:t xml:space="preserve"> </w:t>
            </w:r>
            <w:r>
              <w:rPr>
                <w:rFonts w:eastAsia="楷体" w:cs="Arial"/>
                <w:b/>
                <w:bCs/>
                <w:i/>
                <w:color w:val="auto"/>
              </w:rPr>
              <w:t>国内布局碳化硅长晶设备主要企业</w:t>
            </w:r>
            <w:bookmarkEnd w:id="66"/>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图表14：</w:t>
            </w:r>
            <w:r>
              <w:rPr>
                <w:rFonts w:hint="eastAsia" w:eastAsia="楷体" w:cs="Arial"/>
                <w:b/>
                <w:bCs/>
                <w:i/>
                <w:color w:val="000000"/>
              </w:rPr>
              <w:t>安卓</w:t>
            </w:r>
            <w:r>
              <w:rPr>
                <w:rFonts w:eastAsia="楷体" w:cs="Arial"/>
                <w:b/>
                <w:bCs/>
                <w:i/>
                <w:color w:val="000000"/>
              </w:rPr>
              <w:t>TWS</w:t>
            </w:r>
            <w:r>
              <w:rPr>
                <w:rFonts w:hint="eastAsia" w:eastAsia="楷体" w:cs="Arial"/>
                <w:b/>
                <w:bCs/>
                <w:i/>
                <w:color w:val="000000"/>
              </w:rPr>
              <w:t>出货量，增速及渗透率（%）预测</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952" w:hRule="atLeast"/>
        </w:trPr>
        <w:tc>
          <w:tcPr>
            <w:tcW w:w="10881" w:type="dxa"/>
            <w:tcBorders>
              <w:top w:val="single" w:color="C00000" w:sz="8" w:space="0"/>
              <w:left w:val="nil"/>
            </w:tcBorders>
            <w:noWrap w:val="0"/>
            <w:vAlign w:val="top"/>
          </w:tcPr>
          <w:tbl>
            <w:tblPr>
              <w:tblStyle w:val="22"/>
              <w:tblW w:w="10336"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632"/>
              <w:gridCol w:w="507"/>
              <w:gridCol w:w="1353"/>
              <w:gridCol w:w="352"/>
              <w:gridCol w:w="956"/>
              <w:gridCol w:w="874"/>
              <w:gridCol w:w="987"/>
              <w:gridCol w:w="845"/>
              <w:gridCol w:w="521"/>
              <w:gridCol w:w="938"/>
              <w:gridCol w:w="258"/>
              <w:gridCol w:w="240"/>
              <w:gridCol w:w="313"/>
              <w:gridCol w:w="240"/>
              <w:gridCol w:w="165"/>
              <w:gridCol w:w="165"/>
              <w:gridCol w:w="165"/>
              <w:gridCol w:w="165"/>
              <w:gridCol w:w="165"/>
              <w:gridCol w:w="165"/>
              <w:gridCol w:w="165"/>
              <w:gridCol w:w="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5" w:hRule="atLeast"/>
              </w:trPr>
              <w:tc>
                <w:tcPr>
                  <w:tcW w:w="305"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产品型号</w:t>
                  </w:r>
                </w:p>
              </w:tc>
              <w:tc>
                <w:tcPr>
                  <w:tcW w:w="245"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产品尺</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寸及封</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装工艺</w:t>
                  </w:r>
                </w:p>
              </w:tc>
              <w:tc>
                <w:tcPr>
                  <w:tcW w:w="654"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功耗</w:t>
                  </w:r>
                </w:p>
              </w:tc>
              <w:tc>
                <w:tcPr>
                  <w:tcW w:w="170"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功耗模式</w:t>
                  </w:r>
                </w:p>
              </w:tc>
              <w:tc>
                <w:tcPr>
                  <w:tcW w:w="462"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 xml:space="preserve"> 安全机制</w:t>
                  </w:r>
                </w:p>
              </w:tc>
              <w:tc>
                <w:tcPr>
                  <w:tcW w:w="422"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CPU 主频</w:t>
                  </w:r>
                </w:p>
              </w:tc>
              <w:tc>
                <w:tcPr>
                  <w:tcW w:w="477"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输出功率</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（dBm）</w:t>
                  </w:r>
                </w:p>
              </w:tc>
              <w:tc>
                <w:tcPr>
                  <w:tcW w:w="408"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输入灵敏</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度（dBm）</w:t>
                  </w:r>
                </w:p>
              </w:tc>
              <w:tc>
                <w:tcPr>
                  <w:tcW w:w="252"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邻道抑制</w:t>
                  </w:r>
                </w:p>
              </w:tc>
              <w:tc>
                <w:tcPr>
                  <w:tcW w:w="453"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片上</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内存</w:t>
                  </w:r>
                </w:p>
              </w:tc>
              <w:tc>
                <w:tcPr>
                  <w:tcW w:w="124"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外部Flash</w:t>
                  </w:r>
                </w:p>
              </w:tc>
              <w:tc>
                <w:tcPr>
                  <w:tcW w:w="116"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GPIO</w:t>
                  </w:r>
                  <w:r>
                    <w:rPr>
                      <w:rFonts w:hint="eastAsia" w:ascii="方正楷体_GBK" w:hAnsi="方正楷体_GBK" w:eastAsia="方正楷体_GBK" w:cs="方正楷体_GBK"/>
                      <w:b/>
                      <w:i w:val="0"/>
                      <w:color w:val="FFFFFF"/>
                      <w:kern w:val="0"/>
                      <w:sz w:val="15"/>
                      <w:szCs w:val="15"/>
                      <w:u w:val="none"/>
                      <w:lang w:val="en-US" w:eastAsia="zh-CN" w:bidi="ar"/>
                    </w:rPr>
                    <w:br w:type="textWrapping"/>
                  </w:r>
                  <w:r>
                    <w:rPr>
                      <w:rFonts w:hint="eastAsia" w:ascii="方正楷体_GBK" w:hAnsi="方正楷体_GBK" w:eastAsia="方正楷体_GBK" w:cs="方正楷体_GBK"/>
                      <w:b/>
                      <w:i w:val="0"/>
                      <w:color w:val="FFFFFF"/>
                      <w:kern w:val="0"/>
                      <w:sz w:val="15"/>
                      <w:szCs w:val="15"/>
                      <w:u w:val="none"/>
                      <w:lang w:val="en-US" w:eastAsia="zh-CN" w:bidi="ar"/>
                    </w:rPr>
                    <w:t>数 量</w:t>
                  </w:r>
                </w:p>
              </w:tc>
              <w:tc>
                <w:tcPr>
                  <w:tcW w:w="151"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发布日期</w:t>
                  </w:r>
                </w:p>
              </w:tc>
              <w:tc>
                <w:tcPr>
                  <w:tcW w:w="116"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CMOS 传感器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温度传感器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数模转换器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协处理器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触摸传感器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霍尔传感器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硬件加速器</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红外遥控</w:t>
                  </w:r>
                </w:p>
              </w:tc>
              <w:tc>
                <w:tcPr>
                  <w:tcW w:w="79" w:type="pct"/>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15"/>
                      <w:szCs w:val="15"/>
                      <w:u w:val="none"/>
                    </w:rPr>
                  </w:pPr>
                  <w:r>
                    <w:rPr>
                      <w:rFonts w:hint="eastAsia" w:ascii="方正楷体_GBK" w:hAnsi="方正楷体_GBK" w:eastAsia="方正楷体_GBK" w:cs="方正楷体_GBK"/>
                      <w:b/>
                      <w:i w:val="0"/>
                      <w:color w:val="FFFFFF"/>
                      <w:kern w:val="0"/>
                      <w:sz w:val="15"/>
                      <w:szCs w:val="15"/>
                      <w:u w:val="none"/>
                      <w:lang w:val="en-US" w:eastAsia="zh-CN" w:bidi="ar"/>
                    </w:rPr>
                    <w:t>传声放大器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5" w:hRule="atLeast"/>
              </w:trPr>
              <w:tc>
                <w:tcPr>
                  <w:tcW w:w="30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乐鑫科技</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ESP32</w:t>
                  </w:r>
                </w:p>
              </w:tc>
              <w:tc>
                <w:tcPr>
                  <w:tcW w:w="24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QFN48 5mm*5 mm （或6x6）</w:t>
                  </w:r>
                </w:p>
              </w:tc>
              <w:tc>
                <w:tcPr>
                  <w:tcW w:w="65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活跃状态</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240mA；睡眠状</w:t>
                  </w:r>
                  <w:r>
                    <w:rPr>
                      <w:rFonts w:hint="default" w:ascii="方正楷体_GBK" w:hAnsi="方正楷体_GBK" w:eastAsia="方正楷体_GBK" w:cs="方正楷体_GBK"/>
                      <w:i w:val="0"/>
                      <w:color w:val="000000"/>
                      <w:kern w:val="0"/>
                      <w:sz w:val="15"/>
                      <w:szCs w:val="15"/>
                      <w:u w:val="none"/>
                      <w:lang w:eastAsia="zh-CN" w:bidi="ar"/>
                    </w:rPr>
                    <w:t>态</w:t>
                  </w:r>
                  <w:r>
                    <w:rPr>
                      <w:rFonts w:hint="eastAsia" w:ascii="方正楷体_GBK" w:hAnsi="方正楷体_GBK" w:eastAsia="方正楷体_GBK" w:cs="方正楷体_GBK"/>
                      <w:i w:val="0"/>
                      <w:color w:val="000000"/>
                      <w:kern w:val="0"/>
                      <w:sz w:val="15"/>
                      <w:szCs w:val="15"/>
                      <w:u w:val="none"/>
                      <w:lang w:val="en-US" w:eastAsia="zh-CN" w:bidi="ar"/>
                    </w:rPr>
                    <w:t>30-68mA</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深度睡眠：10μA</w:t>
                  </w:r>
                </w:p>
              </w:tc>
              <w:tc>
                <w:tcPr>
                  <w:tcW w:w="170"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5档模式电源管理</w:t>
                  </w:r>
                </w:p>
              </w:tc>
              <w:tc>
                <w:tcPr>
                  <w:tcW w:w="46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1.安全启动2.Flash 加密 </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3. 5款加密硬件加速器</w:t>
                  </w:r>
                </w:p>
              </w:tc>
              <w:tc>
                <w:tcPr>
                  <w:tcW w:w="42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低功耗 Xtensa</w:t>
                  </w:r>
                  <w:r>
                    <w:rPr>
                      <w:rStyle w:val="61"/>
                      <w:sz w:val="15"/>
                      <w:szCs w:val="15"/>
                      <w:lang w:val="en-US" w:eastAsia="zh-CN" w:bidi="ar"/>
                    </w:rPr>
                    <w:t>®</w:t>
                  </w:r>
                  <w:r>
                    <w:rPr>
                      <w:rStyle w:val="46"/>
                      <w:sz w:val="15"/>
                      <w:szCs w:val="15"/>
                      <w:lang w:val="en-US" w:eastAsia="zh-CN" w:bidi="ar"/>
                    </w:rPr>
                    <w:t xml:space="preserve"> LX6 32-bit 单/双核处理器， 240 MHz </w:t>
                  </w:r>
                </w:p>
              </w:tc>
              <w:tc>
                <w:tcPr>
                  <w:tcW w:w="477"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11n, MCS7 12-14dBm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11b模式： 18.5-20.5dBm</w:t>
                  </w:r>
                </w:p>
              </w:tc>
              <w:tc>
                <w:tcPr>
                  <w:tcW w:w="408"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kern w:val="0"/>
                      <w:sz w:val="15"/>
                      <w:szCs w:val="15"/>
                      <w:u w:val="none"/>
                      <w:lang w:val="en-US" w:eastAsia="zh-CN" w:bidi="ar"/>
                    </w:rPr>
                  </w:pPr>
                  <w:r>
                    <w:rPr>
                      <w:rFonts w:hint="eastAsia" w:ascii="方正楷体_GBK" w:hAnsi="方正楷体_GBK" w:eastAsia="方正楷体_GBK" w:cs="方正楷体_GBK"/>
                      <w:i w:val="0"/>
                      <w:color w:val="000000"/>
                      <w:kern w:val="0"/>
                      <w:sz w:val="15"/>
                      <w:szCs w:val="15"/>
                      <w:u w:val="none"/>
                      <w:lang w:val="en-US" w:eastAsia="zh-CN" w:bidi="ar"/>
                    </w:rPr>
                    <w:t xml:space="preserve">11n, HT20, MCS7 : </w:t>
                  </w:r>
                </w:p>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kern w:val="0"/>
                      <w:sz w:val="15"/>
                      <w:szCs w:val="15"/>
                      <w:u w:val="none"/>
                      <w:lang w:val="en-US" w:eastAsia="zh-CN" w:bidi="ar"/>
                    </w:rPr>
                  </w:pPr>
                  <w:r>
                    <w:rPr>
                      <w:rFonts w:hint="eastAsia" w:ascii="方正楷体_GBK" w:hAnsi="方正楷体_GBK" w:eastAsia="方正楷体_GBK" w:cs="方正楷体_GBK"/>
                      <w:i w:val="0"/>
                      <w:color w:val="000000"/>
                      <w:kern w:val="0"/>
                      <w:sz w:val="15"/>
                      <w:szCs w:val="15"/>
                      <w:u w:val="none"/>
                      <w:lang w:val="en-US" w:eastAsia="zh-CN" w:bidi="ar"/>
                    </w:rPr>
                    <w:t>73 -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11n, HT40, MCS7 :</w:t>
                  </w:r>
                </w:p>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 70 - dBm</w:t>
                  </w:r>
                </w:p>
              </w:tc>
              <w:tc>
                <w:tcPr>
                  <w:tcW w:w="25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11g, 54Mbps 13dB</w:t>
                  </w:r>
                </w:p>
              </w:tc>
              <w:tc>
                <w:tcPr>
                  <w:tcW w:w="453"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448 KB ROM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520 KB SRAM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16 KB RTC SRAM</w:t>
                  </w:r>
                </w:p>
              </w:tc>
              <w:tc>
                <w:tcPr>
                  <w:tcW w:w="12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16MB</w:t>
                  </w:r>
                </w:p>
              </w:tc>
              <w:tc>
                <w:tcPr>
                  <w:tcW w:w="116"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34个</w:t>
                  </w:r>
                </w:p>
              </w:tc>
              <w:tc>
                <w:tcPr>
                  <w:tcW w:w="151"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2016</w:t>
                  </w:r>
                </w:p>
              </w:tc>
              <w:tc>
                <w:tcPr>
                  <w:tcW w:w="116"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69" w:hRule="atLeast"/>
              </w:trPr>
              <w:tc>
                <w:tcPr>
                  <w:tcW w:w="305"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ESP32-C</w:t>
                  </w:r>
                </w:p>
              </w:tc>
              <w:tc>
                <w:tcPr>
                  <w:tcW w:w="245"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QFN32 (5*5）</w:t>
                  </w:r>
                </w:p>
              </w:tc>
              <w:tc>
                <w:tcPr>
                  <w:tcW w:w="654"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极低功耗</w:t>
                  </w:r>
                </w:p>
              </w:tc>
              <w:tc>
                <w:tcPr>
                  <w:tcW w:w="170"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5档模式电源管理</w:t>
                  </w:r>
                </w:p>
              </w:tc>
              <w:tc>
                <w:tcPr>
                  <w:tcW w:w="46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default" w:ascii="方正楷体_GBK" w:hAnsi="方正楷体_GBK" w:eastAsia="方正楷体_GBK" w:cs="方正楷体_GBK"/>
                      <w:i w:val="0"/>
                      <w:color w:val="000000"/>
                      <w:kern w:val="0"/>
                      <w:sz w:val="15"/>
                      <w:szCs w:val="15"/>
                      <w:u w:val="none"/>
                      <w:lang w:eastAsia="zh-CN" w:bidi="ar"/>
                    </w:rPr>
                    <w:t>1、</w:t>
                  </w:r>
                  <w:r>
                    <w:rPr>
                      <w:rFonts w:hint="eastAsia" w:ascii="方正楷体_GBK" w:hAnsi="方正楷体_GBK" w:eastAsia="方正楷体_GBK" w:cs="方正楷体_GBK"/>
                      <w:i w:val="0"/>
                      <w:color w:val="000000"/>
                      <w:kern w:val="0"/>
                      <w:sz w:val="15"/>
                      <w:szCs w:val="15"/>
                      <w:u w:val="none"/>
                      <w:lang w:val="en-US" w:eastAsia="zh-CN" w:bidi="ar"/>
                    </w:rPr>
                    <w:t>硬件加密加速器</w:t>
                  </w:r>
                  <w:r>
                    <w:rPr>
                      <w:rFonts w:hint="default" w:ascii="方正楷体_GBK" w:hAnsi="方正楷体_GBK" w:eastAsia="方正楷体_GBK" w:cs="方正楷体_GBK"/>
                      <w:i w:val="0"/>
                      <w:color w:val="000000"/>
                      <w:kern w:val="0"/>
                      <w:sz w:val="15"/>
                      <w:szCs w:val="15"/>
                      <w:u w:val="none"/>
                      <w:lang w:eastAsia="zh-CN" w:bidi="ar"/>
                    </w:rPr>
                    <w:t>；2、</w:t>
                  </w:r>
                  <w:r>
                    <w:rPr>
                      <w:rFonts w:hint="eastAsia" w:ascii="方正楷体_GBK" w:hAnsi="方正楷体_GBK" w:eastAsia="方正楷体_GBK" w:cs="方正楷体_GBK"/>
                      <w:i w:val="0"/>
                      <w:color w:val="000000"/>
                      <w:kern w:val="0"/>
                      <w:sz w:val="15"/>
                      <w:szCs w:val="15"/>
                      <w:u w:val="none"/>
                      <w:lang w:val="en-US" w:eastAsia="zh-CN" w:bidi="ar"/>
                    </w:rPr>
                    <w:t>安全启动</w:t>
                  </w:r>
                  <w:r>
                    <w:rPr>
                      <w:rFonts w:hint="default" w:ascii="方正楷体_GBK" w:hAnsi="方正楷体_GBK" w:eastAsia="方正楷体_GBK" w:cs="方正楷体_GBK"/>
                      <w:i w:val="0"/>
                      <w:color w:val="000000"/>
                      <w:kern w:val="0"/>
                      <w:sz w:val="15"/>
                      <w:szCs w:val="15"/>
                      <w:u w:val="none"/>
                      <w:lang w:eastAsia="zh-CN" w:bidi="ar"/>
                    </w:rPr>
                    <w:t>；3、</w:t>
                  </w:r>
                  <w:r>
                    <w:rPr>
                      <w:rFonts w:hint="eastAsia" w:ascii="方正楷体_GBK" w:hAnsi="方正楷体_GBK" w:eastAsia="方正楷体_GBK" w:cs="方正楷体_GBK"/>
                      <w:i w:val="0"/>
                      <w:color w:val="000000"/>
                      <w:kern w:val="0"/>
                      <w:sz w:val="15"/>
                      <w:szCs w:val="15"/>
                      <w:u w:val="none"/>
                      <w:lang w:val="en-US" w:eastAsia="zh-CN" w:bidi="ar"/>
                    </w:rPr>
                    <w:t>真随机数发生器</w:t>
                  </w:r>
                  <w:r>
                    <w:rPr>
                      <w:rFonts w:hint="default" w:ascii="方正楷体_GBK" w:hAnsi="方正楷体_GBK" w:eastAsia="方正楷体_GBK" w:cs="方正楷体_GBK"/>
                      <w:i w:val="0"/>
                      <w:color w:val="000000"/>
                      <w:kern w:val="0"/>
                      <w:sz w:val="15"/>
                      <w:szCs w:val="15"/>
                      <w:u w:val="none"/>
                      <w:lang w:eastAsia="zh-CN" w:bidi="ar"/>
                    </w:rPr>
                    <w:t>；4、</w:t>
                  </w:r>
                  <w:r>
                    <w:rPr>
                      <w:rFonts w:hint="eastAsia" w:ascii="方正楷体_GBK" w:hAnsi="方正楷体_GBK" w:eastAsia="方正楷体_GBK" w:cs="方正楷体_GBK"/>
                      <w:i w:val="0"/>
                      <w:color w:val="000000"/>
                      <w:kern w:val="0"/>
                      <w:sz w:val="15"/>
                      <w:szCs w:val="15"/>
                      <w:u w:val="none"/>
                      <w:lang w:val="en-US" w:eastAsia="zh-CN" w:bidi="ar"/>
                    </w:rPr>
                    <w:t>访问权限管理</w:t>
                  </w:r>
                  <w:r>
                    <w:rPr>
                      <w:rFonts w:hint="default" w:ascii="方正楷体_GBK" w:hAnsi="方正楷体_GBK" w:eastAsia="方正楷体_GBK" w:cs="方正楷体_GBK"/>
                      <w:i w:val="0"/>
                      <w:color w:val="000000"/>
                      <w:kern w:val="0"/>
                      <w:sz w:val="15"/>
                      <w:szCs w:val="15"/>
                      <w:u w:val="none"/>
                      <w:lang w:eastAsia="zh-CN" w:bidi="ar"/>
                    </w:rPr>
                    <w:t>；5、</w:t>
                  </w:r>
                  <w:r>
                    <w:rPr>
                      <w:rFonts w:hint="eastAsia" w:ascii="方正楷体_GBK" w:hAnsi="方正楷体_GBK" w:eastAsia="方正楷体_GBK" w:cs="方正楷体_GBK"/>
                      <w:i w:val="0"/>
                      <w:color w:val="000000"/>
                      <w:kern w:val="0"/>
                      <w:sz w:val="15"/>
                      <w:szCs w:val="15"/>
                      <w:u w:val="none"/>
                      <w:lang w:val="en-US" w:eastAsia="zh-CN" w:bidi="ar"/>
                    </w:rPr>
                    <w:t>片外存储器加解密</w:t>
                  </w:r>
                </w:p>
              </w:tc>
              <w:tc>
                <w:tcPr>
                  <w:tcW w:w="42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RISC-V 32 位单核处理器，四级流水线架构，主</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频高达 160 MHz</w:t>
                  </w:r>
                </w:p>
              </w:tc>
              <w:tc>
                <w:tcPr>
                  <w:tcW w:w="477"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无具体参数</w:t>
                  </w:r>
                </w:p>
              </w:tc>
              <w:tc>
                <w:tcPr>
                  <w:tcW w:w="408"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无具体参数</w:t>
                  </w:r>
                </w:p>
              </w:tc>
              <w:tc>
                <w:tcPr>
                  <w:tcW w:w="25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无具体参数</w:t>
                  </w:r>
                </w:p>
              </w:tc>
              <w:tc>
                <w:tcPr>
                  <w:tcW w:w="453"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 400 KB SRAM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4KB eFuse（储存密钥及ID）</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 xml:space="preserve">384 KB ROM </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8KB SRAM</w:t>
                  </w:r>
                </w:p>
              </w:tc>
              <w:tc>
                <w:tcPr>
                  <w:tcW w:w="124"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16MB </w:t>
                  </w:r>
                </w:p>
              </w:tc>
              <w:tc>
                <w:tcPr>
                  <w:tcW w:w="116"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22个</w:t>
                  </w:r>
                </w:p>
              </w:tc>
              <w:tc>
                <w:tcPr>
                  <w:tcW w:w="151"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2020</w:t>
                  </w:r>
                </w:p>
              </w:tc>
              <w:tc>
                <w:tcPr>
                  <w:tcW w:w="116"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0" w:hRule="atLeast"/>
              </w:trPr>
              <w:tc>
                <w:tcPr>
                  <w:tcW w:w="30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乐鑫科技ESP32-S</w:t>
                  </w:r>
                </w:p>
              </w:tc>
              <w:tc>
                <w:tcPr>
                  <w:tcW w:w="24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QFN56 (7×7 mm)</w:t>
                  </w:r>
                </w:p>
              </w:tc>
              <w:tc>
                <w:tcPr>
                  <w:tcW w:w="65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kern w:val="0"/>
                      <w:sz w:val="15"/>
                      <w:szCs w:val="15"/>
                      <w:u w:val="none"/>
                      <w:lang w:val="en-US" w:eastAsia="zh-CN" w:bidi="ar"/>
                    </w:rPr>
                  </w:pPr>
                  <w:r>
                    <w:rPr>
                      <w:rFonts w:hint="eastAsia" w:ascii="方正楷体_GBK" w:hAnsi="方正楷体_GBK" w:eastAsia="方正楷体_GBK" w:cs="方正楷体_GBK"/>
                      <w:i w:val="0"/>
                      <w:color w:val="000000"/>
                      <w:kern w:val="0"/>
                      <w:sz w:val="15"/>
                      <w:szCs w:val="15"/>
                      <w:u w:val="none"/>
                      <w:lang w:val="en-US" w:eastAsia="zh-CN" w:bidi="ar"/>
                    </w:rPr>
                    <w:t>活跃状态：190mA；睡眠状态：19mA；</w:t>
                  </w:r>
                </w:p>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深度睡眠</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20μA</w:t>
                  </w:r>
                </w:p>
              </w:tc>
              <w:tc>
                <w:tcPr>
                  <w:tcW w:w="170"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5档模式电源管理</w:t>
                  </w:r>
                </w:p>
              </w:tc>
              <w:tc>
                <w:tcPr>
                  <w:tcW w:w="46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42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Xtensa</w:t>
                  </w:r>
                  <w:r>
                    <w:rPr>
                      <w:rStyle w:val="61"/>
                      <w:sz w:val="15"/>
                      <w:szCs w:val="15"/>
                      <w:lang w:val="en-US" w:eastAsia="zh-CN" w:bidi="ar"/>
                    </w:rPr>
                    <w:t>®</w:t>
                  </w:r>
                  <w:r>
                    <w:rPr>
                      <w:rStyle w:val="46"/>
                      <w:sz w:val="15"/>
                      <w:szCs w:val="15"/>
                      <w:lang w:val="en-US" w:eastAsia="zh-CN" w:bidi="ar"/>
                    </w:rPr>
                    <w:t xml:space="preserve"> 32 位 LX7 单核处理器，工作频率高达 240 MHz</w:t>
                  </w:r>
                </w:p>
              </w:tc>
              <w:tc>
                <w:tcPr>
                  <w:tcW w:w="477"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11b 11Mbps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19.5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 xml:space="preserve">11g 54Mbps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15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 xml:space="preserve">HT40, MCS7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13dBm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 xml:space="preserve">HT20 MCS7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13dBm</w:t>
                  </w:r>
                </w:p>
              </w:tc>
              <w:tc>
                <w:tcPr>
                  <w:tcW w:w="408"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11n, HT20, MCS7</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 xml:space="preserve"> 72dBm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 xml:space="preserve">11n, HT40, MCS7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69dBm</w:t>
                  </w:r>
                </w:p>
              </w:tc>
              <w:tc>
                <w:tcPr>
                  <w:tcW w:w="25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11b, 11Mbps 35dB;</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11g, 54Mbps 14dB</w:t>
                  </w:r>
                </w:p>
              </w:tc>
              <w:tc>
                <w:tcPr>
                  <w:tcW w:w="453"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320 KB SRAM</w:t>
                  </w:r>
                  <w:r>
                    <w:rPr>
                      <w:rStyle w:val="58"/>
                      <w:sz w:val="15"/>
                      <w:szCs w:val="15"/>
                      <w:lang w:val="en-US" w:eastAsia="zh-CN" w:bidi="ar"/>
                    </w:rPr>
                    <w:t>，128 KB ROM，</w:t>
                  </w:r>
                  <w:r>
                    <w:rPr>
                      <w:rStyle w:val="58"/>
                      <w:sz w:val="15"/>
                      <w:szCs w:val="15"/>
                      <w:lang w:val="en-US" w:eastAsia="zh-CN" w:bidi="ar"/>
                    </w:rPr>
                    <w:br w:type="textWrapping"/>
                  </w:r>
                  <w:r>
                    <w:rPr>
                      <w:rStyle w:val="58"/>
                      <w:sz w:val="15"/>
                      <w:szCs w:val="15"/>
                      <w:lang w:val="en-US" w:eastAsia="zh-CN" w:bidi="ar"/>
                    </w:rPr>
                    <w:t>16KB RTC SRAM</w:t>
                  </w:r>
                </w:p>
              </w:tc>
              <w:tc>
                <w:tcPr>
                  <w:tcW w:w="12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可</w:t>
                  </w:r>
                  <w:r>
                    <w:rPr>
                      <w:rStyle w:val="58"/>
                      <w:sz w:val="15"/>
                      <w:szCs w:val="15"/>
                      <w:lang w:val="en-US" w:eastAsia="zh-CN" w:bidi="ar"/>
                    </w:rPr>
                    <w:t>外接</w:t>
                  </w:r>
                </w:p>
              </w:tc>
              <w:tc>
                <w:tcPr>
                  <w:tcW w:w="116"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43个</w:t>
                  </w:r>
                </w:p>
              </w:tc>
              <w:tc>
                <w:tcPr>
                  <w:tcW w:w="151"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2019</w:t>
                  </w:r>
                </w:p>
              </w:tc>
              <w:tc>
                <w:tcPr>
                  <w:tcW w:w="116"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0" w:hRule="atLeast"/>
              </w:trPr>
              <w:tc>
                <w:tcPr>
                  <w:tcW w:w="305"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0000"/>
                      <w:sz w:val="15"/>
                      <w:szCs w:val="15"/>
                      <w:u w:val="none"/>
                    </w:rPr>
                  </w:pPr>
                  <w:r>
                    <w:rPr>
                      <w:rFonts w:hint="eastAsia" w:ascii="方正楷体_GBK" w:hAnsi="方正楷体_GBK" w:eastAsia="方正楷体_GBK" w:cs="方正楷体_GBK"/>
                      <w:b/>
                      <w:bCs/>
                      <w:i w:val="0"/>
                      <w:color w:val="FF0000"/>
                      <w:kern w:val="0"/>
                      <w:sz w:val="15"/>
                      <w:szCs w:val="15"/>
                      <w:u w:val="none"/>
                      <w:lang w:val="en-US" w:eastAsia="zh-CN" w:bidi="ar"/>
                    </w:rPr>
                    <w:t>博通集成BK7231</w:t>
                  </w:r>
                </w:p>
              </w:tc>
              <w:tc>
                <w:tcPr>
                  <w:tcW w:w="245"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QFN5x5 40pin</w:t>
                  </w:r>
                </w:p>
              </w:tc>
              <w:tc>
                <w:tcPr>
                  <w:tcW w:w="654"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射频工作： 170mA静止状态：100uA：深度睡眠：10μA</w:t>
                  </w:r>
                </w:p>
              </w:tc>
              <w:tc>
                <w:tcPr>
                  <w:tcW w:w="170"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5档模式电源管理</w:t>
                  </w:r>
                </w:p>
              </w:tc>
              <w:tc>
                <w:tcPr>
                  <w:tcW w:w="46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42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ARM968E-S MCU</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120MHz</w:t>
                  </w:r>
                </w:p>
              </w:tc>
              <w:tc>
                <w:tcPr>
                  <w:tcW w:w="477"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HT40 MCS7 </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10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HT20 MCS7</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 xml:space="preserve"> 11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 Mbps DSSS</w:t>
                  </w:r>
                  <w:r>
                    <w:rPr>
                      <w:rFonts w:hint="default" w:ascii="方正楷体_GBK" w:hAnsi="方正楷体_GBK" w:eastAsia="方正楷体_GBK" w:cs="方正楷体_GBK"/>
                      <w:i w:val="0"/>
                      <w:color w:val="000000"/>
                      <w:kern w:val="0"/>
                      <w:sz w:val="15"/>
                      <w:szCs w:val="15"/>
                      <w:u w:val="none"/>
                      <w:lang w:eastAsia="zh-CN" w:bidi="ar"/>
                    </w:rPr>
                    <w:t>：</w:t>
                  </w:r>
                  <w:r>
                    <w:rPr>
                      <w:rFonts w:hint="eastAsia" w:ascii="方正楷体_GBK" w:hAnsi="方正楷体_GBK" w:eastAsia="方正楷体_GBK" w:cs="方正楷体_GBK"/>
                      <w:i w:val="0"/>
                      <w:color w:val="000000"/>
                      <w:kern w:val="0"/>
                      <w:sz w:val="15"/>
                      <w:szCs w:val="15"/>
                      <w:u w:val="none"/>
                      <w:lang w:val="en-US" w:eastAsia="zh-CN" w:bidi="ar"/>
                    </w:rPr>
                    <w:t xml:space="preserve"> 18 dBm</w:t>
                  </w:r>
                  <w:r>
                    <w:rPr>
                      <w:rFonts w:hint="eastAsia" w:ascii="方正楷体_GBK" w:hAnsi="方正楷体_GBK" w:eastAsia="方正楷体_GBK" w:cs="方正楷体_GBK"/>
                      <w:i w:val="0"/>
                      <w:color w:val="000000"/>
                      <w:kern w:val="0"/>
                      <w:sz w:val="15"/>
                      <w:szCs w:val="15"/>
                      <w:u w:val="none"/>
                      <w:lang w:val="en-US" w:eastAsia="zh-CN" w:bidi="ar"/>
                    </w:rPr>
                    <w:br w:type="textWrapping"/>
                  </w:r>
                </w:p>
              </w:tc>
              <w:tc>
                <w:tcPr>
                  <w:tcW w:w="408"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HT40 MCS7 -69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HT20 MCS7 -71 dBm</w:t>
                  </w:r>
                </w:p>
              </w:tc>
              <w:tc>
                <w:tcPr>
                  <w:tcW w:w="252"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54 Mbps OFDM 17 dB</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 Mbps DSSS 41 dB</w:t>
                  </w:r>
                </w:p>
              </w:tc>
              <w:tc>
                <w:tcPr>
                  <w:tcW w:w="453"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256Kbyte RAM</w:t>
                  </w:r>
                </w:p>
              </w:tc>
              <w:tc>
                <w:tcPr>
                  <w:tcW w:w="124"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内置2MB </w:t>
                  </w:r>
                </w:p>
              </w:tc>
              <w:tc>
                <w:tcPr>
                  <w:tcW w:w="116"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23个</w:t>
                  </w:r>
                </w:p>
              </w:tc>
              <w:tc>
                <w:tcPr>
                  <w:tcW w:w="151" w:type="pct"/>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2017</w:t>
                  </w:r>
                </w:p>
              </w:tc>
              <w:tc>
                <w:tcPr>
                  <w:tcW w:w="116"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shd w:val="clear" w:color="auto" w:fill="F8CBAD"/>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0" w:hRule="atLeast"/>
              </w:trPr>
              <w:tc>
                <w:tcPr>
                  <w:tcW w:w="30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bCs/>
                      <w:i w:val="0"/>
                      <w:color w:val="FF0000"/>
                      <w:sz w:val="15"/>
                      <w:szCs w:val="15"/>
                      <w:u w:val="none"/>
                    </w:rPr>
                  </w:pPr>
                  <w:r>
                    <w:rPr>
                      <w:rFonts w:hint="eastAsia" w:ascii="方正楷体_GBK" w:hAnsi="方正楷体_GBK" w:eastAsia="方正楷体_GBK" w:cs="方正楷体_GBK"/>
                      <w:b/>
                      <w:bCs/>
                      <w:i w:val="0"/>
                      <w:color w:val="FF0000"/>
                      <w:kern w:val="0"/>
                      <w:sz w:val="15"/>
                      <w:szCs w:val="15"/>
                      <w:u w:val="none"/>
                      <w:lang w:val="en-US" w:eastAsia="zh-CN" w:bidi="ar"/>
                    </w:rPr>
                    <w:t>博通集成BK7231U</w:t>
                  </w:r>
                </w:p>
              </w:tc>
              <w:tc>
                <w:tcPr>
                  <w:tcW w:w="245"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QFN32_5X5</w:t>
                  </w:r>
                </w:p>
              </w:tc>
              <w:tc>
                <w:tcPr>
                  <w:tcW w:w="65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kern w:val="0"/>
                      <w:sz w:val="15"/>
                      <w:szCs w:val="15"/>
                      <w:u w:val="none"/>
                      <w:lang w:val="en-US" w:eastAsia="zh-CN" w:bidi="ar"/>
                    </w:rPr>
                  </w:pPr>
                  <w:r>
                    <w:rPr>
                      <w:rFonts w:hint="eastAsia" w:ascii="方正楷体_GBK" w:hAnsi="方正楷体_GBK" w:eastAsia="方正楷体_GBK" w:cs="方正楷体_GBK"/>
                      <w:i w:val="0"/>
                      <w:color w:val="000000"/>
                      <w:kern w:val="0"/>
                      <w:sz w:val="15"/>
                      <w:szCs w:val="15"/>
                      <w:u w:val="none"/>
                      <w:lang w:val="en-US" w:eastAsia="zh-CN" w:bidi="ar"/>
                    </w:rPr>
                    <w:t>射频工作：230mA；静止状态：68uA；</w:t>
                  </w:r>
                </w:p>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深度睡眠：7uA</w:t>
                  </w:r>
                </w:p>
              </w:tc>
              <w:tc>
                <w:tcPr>
                  <w:tcW w:w="170"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5档模式电源管理</w:t>
                  </w:r>
                </w:p>
              </w:tc>
              <w:tc>
                <w:tcPr>
                  <w:tcW w:w="46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1、真随机数生成器</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2、eFuse</w:t>
                  </w:r>
                </w:p>
              </w:tc>
              <w:tc>
                <w:tcPr>
                  <w:tcW w:w="42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 xml:space="preserve">ARM9E MCU </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120 MHz</w:t>
                  </w:r>
                </w:p>
              </w:tc>
              <w:tc>
                <w:tcPr>
                  <w:tcW w:w="477"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54 Mbps OFDM 14dBm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 Mbps DSSS 17dBm</w:t>
                  </w:r>
                </w:p>
              </w:tc>
              <w:tc>
                <w:tcPr>
                  <w:tcW w:w="408"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HT40 MCS7 -69 dBm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HT20 MCS7 -71 dBm</w:t>
                  </w:r>
                </w:p>
              </w:tc>
              <w:tc>
                <w:tcPr>
                  <w:tcW w:w="252"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54 Mbps OFDM 21 dB</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11 Mbps DSSS 31 dB</w:t>
                  </w:r>
                </w:p>
              </w:tc>
              <w:tc>
                <w:tcPr>
                  <w:tcW w:w="453"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256 KB RAM；</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32B eFuse</w:t>
                  </w:r>
                  <w:r>
                    <w:rPr>
                      <w:rFonts w:hint="eastAsia" w:ascii="方正楷体_GBK" w:hAnsi="方正楷体_GBK" w:eastAsia="方正楷体_GBK" w:cs="方正楷体_GBK"/>
                      <w:i w:val="0"/>
                      <w:color w:val="000000"/>
                      <w:kern w:val="0"/>
                      <w:sz w:val="15"/>
                      <w:szCs w:val="15"/>
                      <w:u w:val="none"/>
                      <w:lang w:val="en-US" w:eastAsia="zh-CN" w:bidi="ar"/>
                    </w:rPr>
                    <w:br w:type="textWrapping"/>
                  </w:r>
                  <w:r>
                    <w:rPr>
                      <w:rFonts w:hint="eastAsia" w:ascii="方正楷体_GBK" w:hAnsi="方正楷体_GBK" w:eastAsia="方正楷体_GBK" w:cs="方正楷体_GBK"/>
                      <w:i w:val="0"/>
                      <w:color w:val="000000"/>
                      <w:kern w:val="0"/>
                      <w:sz w:val="15"/>
                      <w:szCs w:val="15"/>
                      <w:u w:val="none"/>
                      <w:lang w:val="en-US" w:eastAsia="zh-CN" w:bidi="ar"/>
                    </w:rPr>
                    <w:t>32B RTC</w:t>
                  </w:r>
                </w:p>
              </w:tc>
              <w:tc>
                <w:tcPr>
                  <w:tcW w:w="124"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可配置</w:t>
                  </w:r>
                </w:p>
              </w:tc>
              <w:tc>
                <w:tcPr>
                  <w:tcW w:w="116"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40个</w:t>
                  </w:r>
                </w:p>
              </w:tc>
              <w:tc>
                <w:tcPr>
                  <w:tcW w:w="151"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116"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outlineLvl w:val="9"/>
                    <w:rPr>
                      <w:rFonts w:hint="eastAsia" w:ascii="方正楷体_GBK" w:hAnsi="方正楷体_GBK" w:eastAsia="方正楷体_GBK" w:cs="方正楷体_GBK"/>
                      <w:i w:val="0"/>
                      <w:color w:val="000000"/>
                      <w:sz w:val="15"/>
                      <w:szCs w:val="15"/>
                      <w:u w:val="none"/>
                    </w:rPr>
                  </w:pP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c>
                <w:tcPr>
                  <w:tcW w:w="79" w:type="pct"/>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15"/>
                      <w:szCs w:val="15"/>
                      <w:u w:val="none"/>
                    </w:rPr>
                  </w:pPr>
                  <w:r>
                    <w:rPr>
                      <w:rFonts w:hint="eastAsia" w:ascii="方正楷体_GBK" w:hAnsi="方正楷体_GBK" w:eastAsia="方正楷体_GBK" w:cs="方正楷体_GBK"/>
                      <w:i w:val="0"/>
                      <w:color w:val="000000"/>
                      <w:kern w:val="0"/>
                      <w:sz w:val="15"/>
                      <w:szCs w:val="15"/>
                      <w:u w:val="none"/>
                      <w:lang w:val="en-US" w:eastAsia="zh-CN" w:bidi="ar"/>
                    </w:rPr>
                    <w:t>√</w:t>
                  </w:r>
                </w:p>
              </w:tc>
            </w:tr>
          </w:tbl>
          <w:p>
            <w:pPr>
              <w:jc w:val="center"/>
              <w:rPr>
                <w:rFonts w:eastAsia="楷体" w:cs="Arial"/>
                <w:color w:val="000000"/>
              </w:rPr>
            </w:pPr>
          </w:p>
        </w:tc>
      </w:tr>
      <w:tr>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来源：公开资料整理</w:t>
            </w:r>
            <w:r>
              <w:rPr>
                <w:rFonts w:hint="eastAsia" w:eastAsia="楷体" w:cs="Arial"/>
                <w:color w:val="000000"/>
                <w:sz w:val="15"/>
              </w:rPr>
              <w:t>，</w:t>
            </w:r>
            <w:r>
              <w:rPr>
                <w:rFonts w:eastAsia="楷体" w:cs="Arial"/>
                <w:color w:val="000000"/>
                <w:sz w:val="15"/>
              </w:rPr>
              <w:t>中泰证券研究所</w:t>
            </w:r>
          </w:p>
        </w:tc>
      </w:tr>
    </w:tbl>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博通集成的芯片有更少的管脚，芯片产品的尺寸也更小，优势在于可以节省空间，降低成本，最终产品更小更便携；此外，由于BK7231系列使用的MCU主频较低，功耗方面比起乐鑫科技ESP32系列也更有优势，深度睡眠情况下BK7231U功耗仅7</w:t>
      </w:r>
      <w:r>
        <w:rPr>
          <w:rFonts w:hint="default" w:ascii="Arial" w:hAnsi="Arial" w:eastAsia="楷体" w:cs="Arial"/>
          <w:b w:val="0"/>
          <w:bCs w:val="0"/>
          <w:color w:val="000000"/>
          <w:szCs w:val="21"/>
        </w:rPr>
        <w:t>μ</w:t>
      </w:r>
      <w:r>
        <w:rPr>
          <w:rFonts w:hint="default" w:eastAsia="楷体" w:cs="Arial"/>
          <w:b w:val="0"/>
          <w:bCs w:val="0"/>
          <w:color w:val="000000"/>
          <w:szCs w:val="21"/>
        </w:rPr>
        <w:t>A。</w:t>
      </w: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输出功率和输出灵敏度分别代表发送无线信号的强度大小和待测物接收性能的参数，发射功率越大说明线性度越好，无线覆盖范围更大，速率越快，功率越低，传播速度越短；而灵敏度越好，有用信号越强，覆盖范围越大；可见在不同的规格下（11b、11n），乐鑫科技稍占优势，但射频器件功耗也将提升。</w:t>
      </w:r>
    </w:p>
    <w:p>
      <w:pPr>
        <w:ind w:left="3081" w:leftChars="1467" w:firstLine="600" w:firstLineChars="286"/>
        <w:rPr>
          <w:rFonts w:hint="default" w:eastAsia="楷体" w:cs="Arial"/>
          <w:b/>
          <w:bCs/>
          <w:color w:val="000000"/>
          <w:szCs w:val="21"/>
          <w:u w:val="single"/>
        </w:rPr>
      </w:pPr>
      <w:r>
        <w:rPr>
          <w:rFonts w:hint="default" w:eastAsia="楷体" w:cs="Arial"/>
          <w:b w:val="0"/>
          <w:bCs w:val="0"/>
          <w:color w:val="000000"/>
          <w:szCs w:val="21"/>
        </w:rPr>
        <w:t>在功能和集成度上，可知乐鑫科技的ESP32功能更多，集成了如触摸传感、霍尔传感、硬件加速器（加密加速器）等BK7231系列所不具备的功能，但成本也将有所提升。总体而言，ESP32系列适用于物联网终端与外界交互需求程度高，更复杂的物联网应用场景，能感知，搜集并处理大量多元化信息；而</w:t>
      </w:r>
      <w:r>
        <w:rPr>
          <w:rFonts w:hint="default" w:eastAsia="楷体" w:cs="Arial"/>
          <w:b/>
          <w:bCs/>
          <w:color w:val="000000"/>
          <w:szCs w:val="21"/>
          <w:u w:val="single"/>
        </w:rPr>
        <w:t>博通集成的BK7231系列则主打低功耗和性价比市场，适用于功能更简约、对外界交互要求程度不高、主打下沉市场的物联网终端，形成差异化竞争。</w:t>
      </w:r>
    </w:p>
    <w:p>
      <w:pPr>
        <w:ind w:left="3081" w:leftChars="1467" w:firstLine="600" w:firstLineChars="286"/>
        <w:rPr>
          <w:rFonts w:hint="default" w:eastAsia="楷体" w:cs="Arial"/>
          <w:b w:val="0"/>
          <w:bCs w:val="0"/>
          <w:color w:val="000000"/>
          <w:szCs w:val="21"/>
        </w:rPr>
      </w:pPr>
    </w:p>
    <w:p>
      <w:pPr>
        <w:pStyle w:val="35"/>
        <w:ind w:firstLine="103" w:firstLineChars="49"/>
        <w:rPr>
          <w:rFonts w:hint="default" w:eastAsia="楷体" w:cs="Arial"/>
          <w:color w:val="000000"/>
        </w:rPr>
      </w:pPr>
      <w:bookmarkStart w:id="67" w:name="_Toc369737678"/>
      <w:r>
        <w:rPr>
          <w:rFonts w:hint="default" w:eastAsia="楷体" w:cs="Arial"/>
          <w:color w:val="000000"/>
        </w:rPr>
        <w:t>博通集成：收购希腊Adveos，强化射频电路设计能力</w:t>
      </w:r>
      <w:bookmarkEnd w:id="67"/>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2020年8月6日，博通集成发布公告以600万欧元对价收购希腊专用电路IC设计公司Adveos Microelectronic Systems P.C. 100%股权，收购完成后Adveos将是公司的全资子公司。</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Adveos 于2015年8月成立，成立时间迄今已有5年。Advoes在2019年度营业收入为224.9万欧元，2019年底总资产为72.5万欧元，净资产为32.6万欧元，Adveos及其研发团队在射频电路、模拟电路、混合信号等专用集成电路设计领域有丰富经验，已成为Intel、Cisco等多家客户的芯片方案提供商。，</w:t>
      </w:r>
      <w:r>
        <w:rPr>
          <w:rFonts w:hint="default" w:eastAsia="楷体" w:cs="Arial"/>
          <w:b/>
          <w:bCs/>
          <w:color w:val="000000"/>
          <w:szCs w:val="21"/>
          <w:u w:val="single"/>
        </w:rPr>
        <w:t>主营业务是为客户在Wi-Fi等无线传输产品领域提供专业的芯片设计服务</w:t>
      </w:r>
      <w:r>
        <w:rPr>
          <w:rFonts w:hint="default" w:eastAsia="楷体" w:cs="Arial"/>
          <w:b w:val="0"/>
          <w:bCs w:val="0"/>
          <w:color w:val="000000"/>
          <w:szCs w:val="21"/>
        </w:rPr>
        <w:t>。</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bCs/>
          <w:color w:val="000000"/>
          <w:szCs w:val="21"/>
          <w:u w:val="single"/>
        </w:rPr>
      </w:pPr>
      <w:r>
        <w:rPr>
          <w:rFonts w:hint="default" w:eastAsia="楷体" w:cs="Arial"/>
          <w:b w:val="0"/>
          <w:bCs w:val="0"/>
          <w:color w:val="000000"/>
          <w:szCs w:val="21"/>
        </w:rPr>
        <w:t>而博通集成作为提供全系列无线传输芯片研发和人工智能解决方案的平台，已覆盖包括蓝牙、Wi-Fi、ETC、2.4 GHz等十余种无线通信协议和标准，在国内消费电子和工业应用无线IC等多个领域市场占有率处于领先地位。</w:t>
      </w:r>
      <w:r>
        <w:rPr>
          <w:rFonts w:hint="default" w:eastAsia="楷体" w:cs="Arial"/>
          <w:b/>
          <w:bCs/>
          <w:color w:val="000000"/>
          <w:szCs w:val="21"/>
          <w:u w:val="single"/>
        </w:rPr>
        <w:t>通过收购Adveos，可有助于博通集成进一步强化自身在智能家居、物联网及智慧交通领域的战略布局，提升自身Wi-Fi芯片等无线传输产品的市场竞争力和长期盈利能力。</w:t>
      </w: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default" w:eastAsia="楷体" w:cs="Arial"/>
          <w:b/>
          <w:bCs/>
          <w:color w:val="000000"/>
          <w:szCs w:val="21"/>
          <w:u w:val="single"/>
        </w:rPr>
      </w:pPr>
    </w:p>
    <w:p>
      <w:pPr>
        <w:ind w:left="3081" w:leftChars="1467" w:firstLine="601" w:firstLineChars="286"/>
        <w:rPr>
          <w:rFonts w:hint="eastAsia" w:eastAsia="楷体" w:cs="Arial"/>
          <w:b/>
          <w:bCs/>
          <w:color w:val="000000"/>
          <w:szCs w:val="21"/>
          <w:u w:val="single"/>
        </w:rPr>
      </w:pPr>
    </w:p>
    <w:p>
      <w:pPr>
        <w:ind w:left="3081" w:leftChars="1467" w:firstLine="600" w:firstLineChars="286"/>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33</w:t>
            </w:r>
            <w:r>
              <w:rPr>
                <w:rFonts w:eastAsia="楷体" w:cs="Arial"/>
                <w:b/>
                <w:bCs/>
                <w:i/>
                <w:color w:val="000000"/>
                <w:sz w:val="20"/>
              </w:rPr>
              <w:fldChar w:fldCharType="end"/>
            </w:r>
            <w:bookmarkStart w:id="68" w:name="_Toc423478957"/>
            <w:r>
              <w:rPr>
                <w:rFonts w:eastAsia="楷体" w:cs="Arial"/>
                <w:b/>
                <w:bCs/>
                <w:i/>
                <w:color w:val="000000"/>
                <w:sz w:val="20"/>
              </w:rPr>
              <w:t xml:space="preserve"> Adveos公司官网方案介绍</w:t>
            </w:r>
            <w:bookmarkEnd w:id="68"/>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34</w:t>
            </w:r>
            <w:r>
              <w:rPr>
                <w:rFonts w:eastAsia="楷体" w:cs="Arial"/>
                <w:b/>
                <w:bCs/>
                <w:i/>
                <w:color w:val="000000"/>
              </w:rPr>
              <w:fldChar w:fldCharType="end"/>
            </w:r>
            <w:bookmarkStart w:id="69" w:name="_Toc706425498"/>
            <w:r>
              <w:rPr>
                <w:rFonts w:eastAsia="楷体" w:cs="Arial"/>
                <w:b/>
                <w:bCs/>
                <w:i/>
                <w:color w:val="000000"/>
              </w:rPr>
              <w:t xml:space="preserve"> 涂鸦智能官网方案介绍</w:t>
            </w:r>
            <w:bookmarkEnd w:id="69"/>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both"/>
              <w:rPr>
                <w:rFonts w:eastAsia="楷体" w:cs="Arial"/>
                <w:color w:val="000000"/>
              </w:rPr>
            </w:pPr>
            <w:r>
              <w:drawing>
                <wp:inline distT="0" distB="0" distL="114300" distR="114300">
                  <wp:extent cx="3268980" cy="3233420"/>
                  <wp:effectExtent l="0" t="0" r="7620" b="17780"/>
                  <wp:docPr id="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9"/>
                          <pic:cNvPicPr>
                            <a:picLocks noChangeAspect="1"/>
                          </pic:cNvPicPr>
                        </pic:nvPicPr>
                        <pic:blipFill>
                          <a:blip r:embed="rId32"/>
                          <a:stretch>
                            <a:fillRect/>
                          </a:stretch>
                        </pic:blipFill>
                        <pic:spPr>
                          <a:xfrm>
                            <a:off x="0" y="0"/>
                            <a:ext cx="3268980" cy="3233420"/>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both"/>
              <w:rPr>
                <w:rFonts w:eastAsia="楷体" w:cs="Arial"/>
                <w:color w:val="000000"/>
              </w:rPr>
            </w:pPr>
            <w:r>
              <w:drawing>
                <wp:inline distT="0" distB="0" distL="114300" distR="114300">
                  <wp:extent cx="3187700" cy="3171825"/>
                  <wp:effectExtent l="0" t="0" r="12700" b="3175"/>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0"/>
                          <pic:cNvPicPr>
                            <a:picLocks noChangeAspect="1"/>
                          </pic:cNvPicPr>
                        </pic:nvPicPr>
                        <pic:blipFill>
                          <a:blip r:embed="rId33"/>
                          <a:stretch>
                            <a:fillRect/>
                          </a:stretch>
                        </pic:blipFill>
                        <pic:spPr>
                          <a:xfrm>
                            <a:off x="0" y="0"/>
                            <a:ext cx="3187700" cy="31718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90"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Adveos官网</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来源：公开资料整理，中泰证券研究所</w:t>
            </w:r>
          </w:p>
        </w:tc>
      </w:tr>
    </w:tbl>
    <w:p>
      <w:pPr>
        <w:ind w:left="3081" w:leftChars="1467" w:firstLine="600" w:firstLineChars="286"/>
        <w:rPr>
          <w:rFonts w:hint="default" w:eastAsia="楷体" w:cs="Arial"/>
          <w:b w:val="0"/>
          <w:bCs w:val="0"/>
          <w:color w:val="000000"/>
          <w:szCs w:val="21"/>
        </w:rPr>
      </w:pPr>
    </w:p>
    <w:p>
      <w:pPr>
        <w:pStyle w:val="35"/>
        <w:ind w:firstLine="103" w:firstLineChars="49"/>
        <w:rPr>
          <w:rFonts w:hint="default" w:eastAsia="楷体" w:cs="Arial"/>
          <w:color w:val="000000"/>
        </w:rPr>
      </w:pPr>
      <w:bookmarkStart w:id="70" w:name="_Toc1510963375"/>
      <w:r>
        <w:rPr>
          <w:rFonts w:hint="default" w:eastAsia="楷体" w:cs="Arial"/>
          <w:color w:val="000000"/>
        </w:rPr>
        <w:t>博通集成：与涂鸦智能紧密合作，Wi-Fi芯片持续放量</w:t>
      </w:r>
      <w:bookmarkEnd w:id="70"/>
    </w:p>
    <w:p>
      <w:pPr>
        <w:ind w:left="3081" w:leftChars="1467" w:firstLine="600" w:firstLineChars="286"/>
        <w:rPr>
          <w:rFonts w:hint="default" w:eastAsia="楷体" w:cs="Arial"/>
          <w:b/>
          <w:bCs/>
          <w:color w:val="000000"/>
          <w:szCs w:val="21"/>
        </w:rPr>
      </w:pPr>
      <w:r>
        <w:rPr>
          <w:rFonts w:hint="default" w:eastAsia="楷体" w:cs="Arial"/>
          <w:b w:val="0"/>
          <w:bCs w:val="0"/>
          <w:color w:val="000000"/>
          <w:szCs w:val="21"/>
        </w:rPr>
        <w:t>公司无线数传类产品主要应用于智能家居、无线键盘和鼠标、无人机飞控等领域，终端客户覆盖了包括</w:t>
      </w:r>
      <w:r>
        <w:rPr>
          <w:rFonts w:hint="default" w:eastAsia="楷体" w:cs="Arial"/>
          <w:b/>
          <w:bCs/>
          <w:color w:val="000000"/>
          <w:szCs w:val="21"/>
          <w:u w:val="single"/>
        </w:rPr>
        <w:t>涂鸦智能、大疆科技、阿里巴巴、美的、小米等</w:t>
      </w:r>
      <w:r>
        <w:rPr>
          <w:rFonts w:hint="default" w:eastAsia="楷体" w:cs="Arial"/>
          <w:b w:val="0"/>
          <w:bCs w:val="0"/>
          <w:color w:val="000000"/>
          <w:szCs w:val="21"/>
        </w:rPr>
        <w:t>知名企业。其中，涂鸦智能与公司保持深度合作关系。公司对涂鸦智能智能家居产品所需要的无线传输芯片提供一站式服务，结合智能家居物联网与垂直行业的深度融合，</w:t>
      </w:r>
      <w:r>
        <w:rPr>
          <w:rFonts w:hint="default" w:eastAsia="楷体" w:cs="Arial"/>
          <w:b/>
          <w:bCs/>
          <w:color w:val="000000"/>
          <w:szCs w:val="21"/>
        </w:rPr>
        <w:t>公司的Wi-Fi芯片等无线传输类产品将充分受益于涂鸦智能智能家居逐步放量的过程。</w:t>
      </w:r>
    </w:p>
    <w:p>
      <w:pPr>
        <w:ind w:left="3081" w:leftChars="1467" w:firstLine="601" w:firstLineChars="286"/>
        <w:rPr>
          <w:rFonts w:hint="default" w:eastAsia="楷体" w:cs="Arial"/>
          <w:b/>
          <w:bCs/>
          <w:color w:val="000000"/>
          <w:szCs w:val="21"/>
        </w:rPr>
      </w:pPr>
    </w:p>
    <w:p>
      <w:pPr>
        <w:ind w:left="3081" w:leftChars="1467" w:firstLine="601" w:firstLineChars="286"/>
        <w:rPr>
          <w:rFonts w:hint="default" w:eastAsia="楷体" w:cs="Arial"/>
          <w:b w:val="0"/>
          <w:bCs w:val="0"/>
          <w:color w:val="000000"/>
          <w:szCs w:val="21"/>
        </w:rPr>
      </w:pPr>
      <w:r>
        <w:rPr>
          <w:rFonts w:hint="default" w:eastAsia="楷体" w:cs="Arial"/>
          <w:b/>
          <w:bCs/>
          <w:color w:val="000000"/>
          <w:szCs w:val="21"/>
        </w:rPr>
        <w:t>涂鸦智能是一个全球云开发平台、AI+IoT开发者平台</w:t>
      </w:r>
      <w:r>
        <w:rPr>
          <w:rFonts w:hint="default" w:eastAsia="楷体" w:cs="Arial"/>
          <w:b w:val="0"/>
          <w:bCs w:val="0"/>
          <w:color w:val="000000"/>
          <w:szCs w:val="21"/>
        </w:rPr>
        <w:t>，连接消费者、制造品牌、OEM厂商和连锁零售商的智能化需求，为开发者提供一站式人工智能物联网的PaaS级解决方案。并且涵盖了硬件开发工具、全球云、智慧商业平台开发三方面，提供从技术到营销渠道的全面生态赋能，打造世界领先的IoT OS。2019年，涂鸦智能被CES2019评为AI+loT科技创新平台，荣获AWE2019智能创新奖，并被福布斯评选入全球Top25 loT企业榜单。</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bCs/>
          <w:color w:val="000000"/>
          <w:szCs w:val="21"/>
        </w:rPr>
      </w:pPr>
      <w:r>
        <w:rPr>
          <w:rFonts w:hint="default" w:eastAsia="楷体" w:cs="Arial"/>
          <w:b w:val="0"/>
          <w:bCs w:val="0"/>
          <w:color w:val="000000"/>
          <w:szCs w:val="21"/>
        </w:rPr>
        <w:t>截至2020年10月，涂鸦IoT开发平台累计有超过23万注册开发者，日语音 AI 交互超8100万次，创造完全中立的 “AI+IoT”平台赋能模式。</w:t>
      </w:r>
      <w:r>
        <w:rPr>
          <w:rFonts w:hint="default" w:eastAsia="楷体" w:cs="Arial"/>
          <w:b/>
          <w:bCs/>
          <w:color w:val="000000"/>
          <w:szCs w:val="21"/>
        </w:rPr>
        <w:t>Powered by Tuya赋能超 20 万款产品，超过1亿款产品投放全球市场</w:t>
      </w:r>
      <w:r>
        <w:rPr>
          <w:rFonts w:hint="default" w:eastAsia="楷体" w:cs="Arial"/>
          <w:b w:val="0"/>
          <w:bCs w:val="0"/>
          <w:color w:val="000000"/>
          <w:szCs w:val="21"/>
        </w:rPr>
        <w:t>，产品和服务覆盖超过220个国家和地区，辐射全球超10万个线上和线下销售渠道。</w:t>
      </w:r>
      <w:r>
        <w:rPr>
          <w:rFonts w:hint="default" w:eastAsia="楷体" w:cs="Arial"/>
          <w:b/>
          <w:bCs/>
          <w:color w:val="000000"/>
          <w:szCs w:val="21"/>
        </w:rPr>
        <w:t>预计伴随公司与涂鸦智能的深度合作，通过借助涂鸦平台赋能，公司Wi-Fi芯片出货量有望覆盖多个地区市场并持续放量。</w:t>
      </w:r>
    </w:p>
    <w:p>
      <w:pPr>
        <w:pStyle w:val="35"/>
        <w:ind w:left="0" w:leftChars="0" w:firstLine="0" w:firstLineChars="0"/>
        <w:rPr>
          <w:rFonts w:hint="default" w:eastAsia="楷体" w:cs="Arial"/>
          <w:color w:val="000000"/>
        </w:rPr>
      </w:pPr>
    </w:p>
    <w:p>
      <w:pPr>
        <w:tabs>
          <w:tab w:val="right" w:leader="dot" w:pos="12424"/>
        </w:tabs>
        <w:ind w:left="3058" w:leftChars="1300" w:hanging="328" w:hangingChars="117"/>
        <w:jc w:val="left"/>
        <w:outlineLvl w:val="0"/>
        <w:rPr>
          <w:rFonts w:hint="default" w:eastAsia="楷体" w:cs="Arial"/>
          <w:b/>
          <w:bCs/>
          <w:color w:val="000000"/>
          <w:sz w:val="28"/>
          <w:szCs w:val="32"/>
        </w:rPr>
      </w:pPr>
      <w:bookmarkStart w:id="71" w:name="_Toc767317850"/>
      <w:r>
        <w:rPr>
          <w:rFonts w:hint="default" w:eastAsia="楷体" w:cs="Arial"/>
          <w:b/>
          <w:bCs/>
          <w:color w:val="000000"/>
          <w:sz w:val="28"/>
          <w:szCs w:val="32"/>
        </w:rPr>
        <w:t>ETC前装常态化，收获稳定现金流</w:t>
      </w:r>
      <w:bookmarkEnd w:id="71"/>
    </w:p>
    <w:p>
      <w:pPr>
        <w:pStyle w:val="35"/>
        <w:ind w:firstLine="103" w:firstLineChars="49"/>
        <w:rPr>
          <w:rFonts w:hint="default" w:eastAsia="楷体" w:cs="Arial"/>
          <w:color w:val="000000"/>
        </w:rPr>
      </w:pPr>
      <w:bookmarkStart w:id="72" w:name="_Toc671804715"/>
      <w:r>
        <w:rPr>
          <w:rFonts w:hint="default" w:eastAsia="楷体" w:cs="Arial"/>
          <w:color w:val="000000"/>
        </w:rPr>
        <w:t>智能交通重要一环，ETC政策推进拉动行业增长</w:t>
      </w:r>
      <w:bookmarkEnd w:id="72"/>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ETC全称为Electronic Toll Collection，又指不停车收费系统，是目前世界上最先进的路桥费征收方式，车辆通过高速公路或桥梁时将自动收费。车辆挡风玻璃上贴有车载电子标签，与收费站ETC车道上的微波天线之间进行专用短程通讯进行收费确认，从而达到在车辆通过高速公路时无需停车便可缴纳公路费用或桥梁费用的目的。</w:t>
      </w:r>
    </w:p>
    <w:p>
      <w:pPr>
        <w:ind w:left="3081" w:leftChars="1467" w:firstLine="600" w:firstLineChars="286"/>
        <w:rPr>
          <w:rFonts w:hint="default"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33</w:t>
            </w:r>
            <w:r>
              <w:rPr>
                <w:rFonts w:eastAsia="楷体" w:cs="Arial"/>
                <w:b/>
                <w:bCs/>
                <w:i/>
                <w:color w:val="000000"/>
                <w:sz w:val="20"/>
              </w:rPr>
              <w:fldChar w:fldCharType="end"/>
            </w:r>
            <w:bookmarkStart w:id="73" w:name="_Toc1062692393"/>
            <w:r>
              <w:rPr>
                <w:rFonts w:eastAsia="楷体" w:cs="Arial"/>
                <w:b/>
                <w:bCs/>
                <w:i/>
                <w:color w:val="000000"/>
                <w:sz w:val="20"/>
              </w:rPr>
              <w:t xml:space="preserve"> ETC方案原理介绍</w:t>
            </w:r>
            <w:bookmarkEnd w:id="73"/>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34</w:t>
            </w:r>
            <w:r>
              <w:rPr>
                <w:rFonts w:eastAsia="楷体" w:cs="Arial"/>
                <w:b/>
                <w:bCs/>
                <w:i/>
                <w:color w:val="000000"/>
              </w:rPr>
              <w:fldChar w:fldCharType="end"/>
            </w:r>
            <w:bookmarkStart w:id="74" w:name="_Toc1829201575"/>
            <w:r>
              <w:rPr>
                <w:rFonts w:eastAsia="楷体" w:cs="Arial"/>
                <w:b/>
                <w:bCs/>
                <w:i/>
                <w:color w:val="000000"/>
              </w:rPr>
              <w:t xml:space="preserve"> ETC系统构成</w:t>
            </w:r>
            <w:bookmarkEnd w:id="74"/>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both"/>
              <w:rPr>
                <w:rFonts w:eastAsia="楷体" w:cs="Arial"/>
                <w:color w:val="000000"/>
              </w:rPr>
            </w:pPr>
            <w:r>
              <w:drawing>
                <wp:inline distT="0" distB="0" distL="114300" distR="114300">
                  <wp:extent cx="3261360" cy="2071370"/>
                  <wp:effectExtent l="0" t="0" r="15240" b="1143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5"/>
                          <pic:cNvPicPr>
                            <a:picLocks noChangeAspect="1"/>
                          </pic:cNvPicPr>
                        </pic:nvPicPr>
                        <pic:blipFill>
                          <a:blip r:embed="rId34"/>
                          <a:stretch>
                            <a:fillRect/>
                          </a:stretch>
                        </pic:blipFill>
                        <pic:spPr>
                          <a:xfrm>
                            <a:off x="0" y="0"/>
                            <a:ext cx="3261360" cy="2071370"/>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both"/>
              <w:rPr>
                <w:rFonts w:eastAsia="楷体" w:cs="Arial"/>
                <w:color w:val="000000"/>
              </w:rPr>
            </w:pPr>
            <w:r>
              <w:drawing>
                <wp:inline distT="0" distB="0" distL="114300" distR="114300">
                  <wp:extent cx="3188970" cy="1936750"/>
                  <wp:effectExtent l="0" t="0" r="11430" b="19050"/>
                  <wp:docPr id="2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6"/>
                          <pic:cNvPicPr>
                            <a:picLocks noChangeAspect="1"/>
                          </pic:cNvPicPr>
                        </pic:nvPicPr>
                        <pic:blipFill>
                          <a:blip r:embed="rId35"/>
                          <a:stretch>
                            <a:fillRect/>
                          </a:stretch>
                        </pic:blipFill>
                        <pic:spPr>
                          <a:xfrm>
                            <a:off x="0" y="0"/>
                            <a:ext cx="3188970" cy="19367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90"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公开资料整理</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来源：万集科技招股书，中泰证券研究所</w:t>
            </w:r>
          </w:p>
        </w:tc>
      </w:tr>
    </w:tbl>
    <w:p>
      <w:pPr>
        <w:rPr>
          <w:rFonts w:hint="default" w:eastAsia="楷体" w:cs="Arial"/>
          <w:b/>
          <w:bCs/>
          <w:color w:val="000000"/>
          <w:szCs w:val="21"/>
        </w:rPr>
      </w:pPr>
    </w:p>
    <w:p>
      <w:pPr>
        <w:ind w:left="3081" w:leftChars="1467" w:firstLine="601" w:firstLineChars="286"/>
        <w:rPr>
          <w:rFonts w:hint="default" w:eastAsia="楷体" w:cs="Arial"/>
          <w:b/>
          <w:bCs/>
          <w:color w:val="000000"/>
          <w:szCs w:val="21"/>
        </w:rPr>
      </w:pPr>
      <w:r>
        <w:rPr>
          <w:rFonts w:hint="default" w:eastAsia="楷体" w:cs="Arial"/>
          <w:b/>
          <w:bCs/>
          <w:color w:val="000000"/>
          <w:szCs w:val="21"/>
        </w:rPr>
        <w:t>近年来，为了加快推行ETC安装与应用，国家在2019年多次提及、发布并推进ETC普及的相关政策，地方积极响应推动，拉动ETC行业快速发展。</w:t>
      </w:r>
      <w:r>
        <w:rPr>
          <w:rFonts w:hint="default" w:eastAsia="楷体" w:cs="Arial"/>
          <w:b w:val="0"/>
          <w:bCs w:val="0"/>
          <w:color w:val="000000"/>
          <w:szCs w:val="21"/>
        </w:rPr>
        <w:t>早在2008年，ETC专用的电子收费短程通信标准已出台，到2015年，黑龙江、内蒙等四地高速公路ETC入网开通宣布实现ETC全国联网。直至2019年政府工作报告上首提</w:t>
      </w:r>
      <w:r>
        <w:rPr>
          <w:rFonts w:hint="default" w:eastAsia="楷体" w:cs="Arial"/>
          <w:b/>
          <w:bCs/>
          <w:color w:val="000000"/>
          <w:szCs w:val="21"/>
        </w:rPr>
        <w:t>两年内取消全国高速路收费站，实现不停车收费，此后发改委、交通运输部频频发布利好政策，ETC发展进入加速期。</w:t>
      </w: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96"/>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32</w:t>
            </w:r>
            <w:r>
              <w:rPr>
                <w:rFonts w:eastAsia="楷体" w:cs="Arial"/>
                <w:b/>
                <w:bCs/>
                <w:i/>
                <w:color w:val="000000"/>
              </w:rPr>
              <w:fldChar w:fldCharType="end"/>
            </w:r>
            <w:bookmarkStart w:id="75" w:name="_Toc522903712"/>
            <w:r>
              <w:rPr>
                <w:rFonts w:eastAsia="楷体" w:cs="Arial"/>
                <w:b/>
                <w:bCs/>
                <w:i/>
                <w:color w:val="000000"/>
              </w:rPr>
              <w:t xml:space="preserve"> 国内ETC发展历史进程</w:t>
            </w:r>
            <w:bookmarkEnd w:id="75"/>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图表15：</w:t>
            </w:r>
            <w:r>
              <w:rPr>
                <w:rFonts w:hint="eastAsia" w:eastAsia="楷体" w:cs="Arial"/>
                <w:b/>
                <w:bCs/>
                <w:i/>
                <w:color w:val="000000"/>
              </w:rPr>
              <w:t>主动降噪</w:t>
            </w:r>
            <w:r>
              <w:rPr>
                <w:rFonts w:eastAsia="楷体" w:cs="Arial"/>
                <w:b/>
                <w:bCs/>
                <w:i/>
                <w:color w:val="000000"/>
              </w:rPr>
              <w:t>VS</w:t>
            </w:r>
            <w:r>
              <w:rPr>
                <w:rFonts w:hint="eastAsia" w:eastAsia="楷体" w:cs="Arial"/>
                <w:b/>
                <w:bCs/>
                <w:i/>
                <w:color w:val="000000"/>
              </w:rPr>
              <w:t xml:space="preserve"> 被动降噪</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045" w:hRule="atLeast"/>
        </w:trPr>
        <w:tc>
          <w:tcPr>
            <w:tcW w:w="10881" w:type="dxa"/>
            <w:tcBorders>
              <w:top w:val="single" w:color="C00000" w:sz="8" w:space="0"/>
              <w:left w:val="nil"/>
            </w:tcBorders>
            <w:noWrap w:val="0"/>
            <w:vAlign w:val="top"/>
          </w:tcPr>
          <w:p>
            <w:pPr>
              <w:jc w:val="center"/>
              <w:rPr>
                <w:rFonts w:eastAsia="楷体" w:cs="Arial"/>
                <w:color w:val="000000"/>
              </w:rPr>
            </w:pPr>
            <w:r>
              <w:rPr>
                <w:rFonts w:eastAsia="楷体" w:cs="Arial"/>
                <w:color w:val="000000"/>
              </w:rPr>
              <w:drawing>
                <wp:inline distT="0" distB="0" distL="114300" distR="114300">
                  <wp:extent cx="6764655" cy="2130425"/>
                  <wp:effectExtent l="0" t="0" r="17145" b="3175"/>
                  <wp:docPr id="29" name="Picture 57" descr="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7" descr="etc"/>
                          <pic:cNvPicPr>
                            <a:picLocks noChangeAspect="1"/>
                          </pic:cNvPicPr>
                        </pic:nvPicPr>
                        <pic:blipFill>
                          <a:blip r:embed="rId36"/>
                          <a:stretch>
                            <a:fillRect/>
                          </a:stretch>
                        </pic:blipFill>
                        <pic:spPr>
                          <a:xfrm>
                            <a:off x="0" y="0"/>
                            <a:ext cx="6764655" cy="21304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公开资料整理</w:t>
            </w:r>
            <w:r>
              <w:rPr>
                <w:rFonts w:hint="eastAsia" w:eastAsia="楷体" w:cs="Arial"/>
                <w:color w:val="000000"/>
                <w:sz w:val="15"/>
              </w:rPr>
              <w:t>，</w:t>
            </w:r>
            <w:r>
              <w:rPr>
                <w:rFonts w:eastAsia="楷体" w:cs="Arial"/>
                <w:color w:val="000000"/>
                <w:sz w:val="15"/>
              </w:rPr>
              <w:t>中泰证券研究所</w:t>
            </w:r>
          </w:p>
        </w:tc>
      </w:tr>
    </w:tbl>
    <w:p>
      <w:pPr>
        <w:rPr>
          <w:rFonts w:eastAsia="楷体" w:cs="Arial"/>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32</w:t>
            </w:r>
            <w:r>
              <w:rPr>
                <w:rFonts w:eastAsia="楷体" w:cs="Arial"/>
                <w:b/>
                <w:bCs/>
                <w:i/>
                <w:color w:val="000000"/>
              </w:rPr>
              <w:fldChar w:fldCharType="end"/>
            </w:r>
            <w:bookmarkStart w:id="76" w:name="_Toc1478180029"/>
            <w:r>
              <w:rPr>
                <w:rFonts w:eastAsia="楷体" w:cs="Arial"/>
                <w:b/>
                <w:bCs/>
                <w:i/>
                <w:color w:val="000000"/>
              </w:rPr>
              <w:t xml:space="preserve"> ETC相关政策汇总</w:t>
            </w:r>
            <w:bookmarkEnd w:id="76"/>
          </w:p>
          <w:p>
            <w:pPr>
              <w:keepNext/>
              <w:widowControl/>
              <w:tabs>
                <w:tab w:val="right" w:leader="dot" w:pos="8644"/>
                <w:tab w:val="right" w:leader="dot" w:pos="10649"/>
              </w:tabs>
              <w:suppressAutoHyphens/>
              <w:kinsoku w:val="0"/>
              <w:spacing w:after="40" w:line="240" w:lineRule="exact"/>
              <w:rPr>
                <w:rFonts w:hint="eastAsia" w:eastAsia="楷体" w:cs="Arial"/>
                <w:b/>
                <w:bCs/>
                <w:i/>
                <w:color w:val="000000"/>
              </w:rPr>
            </w:pPr>
            <w:r>
              <w:rPr>
                <w:rFonts w:eastAsia="楷体" w:cs="Arial"/>
                <w:b/>
                <w:bCs/>
                <w:i/>
                <w:color w:val="000000"/>
              </w:rPr>
              <w:t>图表15：</w:t>
            </w:r>
            <w:r>
              <w:rPr>
                <w:rFonts w:hint="eastAsia" w:eastAsia="楷体" w:cs="Arial"/>
                <w:b/>
                <w:bCs/>
                <w:i/>
                <w:color w:val="000000"/>
              </w:rPr>
              <w:t>主动降噪</w:t>
            </w:r>
            <w:r>
              <w:rPr>
                <w:rFonts w:eastAsia="楷体" w:cs="Arial"/>
                <w:b/>
                <w:bCs/>
                <w:i/>
                <w:color w:val="000000"/>
              </w:rPr>
              <w:t>VS</w:t>
            </w:r>
            <w:r>
              <w:rPr>
                <w:rFonts w:hint="eastAsia" w:eastAsia="楷体" w:cs="Arial"/>
                <w:b/>
                <w:bCs/>
                <w:i/>
                <w:color w:val="000000"/>
              </w:rPr>
              <w:t xml:space="preserve"> 被动降噪</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045" w:hRule="atLeast"/>
        </w:trPr>
        <w:tc>
          <w:tcPr>
            <w:tcW w:w="10881" w:type="dxa"/>
            <w:tcBorders>
              <w:top w:val="single" w:color="C00000" w:sz="8" w:space="0"/>
              <w:left w:val="nil"/>
            </w:tcBorders>
            <w:noWrap w:val="0"/>
            <w:vAlign w:val="top"/>
          </w:tcPr>
          <w:tbl>
            <w:tblPr>
              <w:tblStyle w:val="22"/>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900"/>
              <w:gridCol w:w="4573"/>
              <w:gridCol w:w="1438"/>
              <w:gridCol w:w="37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22"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时间</w:t>
                  </w:r>
                </w:p>
              </w:tc>
              <w:tc>
                <w:tcPr>
                  <w:tcW w:w="2143"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政策名称</w:t>
                  </w:r>
                </w:p>
              </w:tc>
              <w:tc>
                <w:tcPr>
                  <w:tcW w:w="674"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颁布部门</w:t>
                  </w:r>
                </w:p>
              </w:tc>
              <w:tc>
                <w:tcPr>
                  <w:tcW w:w="1758"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具体内容/目标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40" w:hRule="atLeast"/>
              </w:trPr>
              <w:tc>
                <w:tcPr>
                  <w:tcW w:w="42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2014.03</w:t>
                  </w:r>
                </w:p>
              </w:tc>
              <w:tc>
                <w:tcPr>
                  <w:tcW w:w="2143"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  《关于开展全国高速公路电子不停车收费联网工作的通知》</w:t>
                  </w:r>
                </w:p>
              </w:tc>
              <w:tc>
                <w:tcPr>
                  <w:tcW w:w="674"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交通运输部</w:t>
                  </w:r>
                </w:p>
              </w:tc>
              <w:tc>
                <w:tcPr>
                  <w:tcW w:w="175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到2015年底：1、基本实现全国ETC联网；2、客车ETC使用率不低于25%；3、主线收费站ETC覆盖率达到100%；4、匝道收费站ETC覆盖率不低于90%； </w:t>
                  </w:r>
                  <w:r>
                    <w:rPr>
                      <w:rFonts w:hint="eastAsia" w:ascii="方正楷体_GBK" w:hAnsi="方正楷体_GBK" w:eastAsia="方正楷体_GBK" w:cs="方正楷体_GBK"/>
                      <w:i w:val="0"/>
                      <w:color w:val="000000"/>
                      <w:kern w:val="0"/>
                      <w:sz w:val="20"/>
                      <w:szCs w:val="20"/>
                      <w:u w:val="none"/>
                      <w:lang w:val="en-US" w:eastAsia="zh-CN" w:bidi="ar"/>
                    </w:rPr>
                    <w:br w:type="textWrapping"/>
                  </w:r>
                  <w:r>
                    <w:rPr>
                      <w:rFonts w:hint="eastAsia" w:ascii="方正楷体_GBK" w:hAnsi="方正楷体_GBK" w:eastAsia="方正楷体_GBK" w:cs="方正楷体_GBK"/>
                      <w:i w:val="0"/>
                      <w:color w:val="000000"/>
                      <w:kern w:val="0"/>
                      <w:sz w:val="20"/>
                      <w:szCs w:val="20"/>
                      <w:u w:val="none"/>
                      <w:lang w:val="en-US" w:eastAsia="zh-CN" w:bidi="ar"/>
                    </w:rPr>
                    <w:t>5、全国ETC用户数量达到2000万。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42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2019.03</w:t>
                  </w:r>
                </w:p>
              </w:tc>
              <w:tc>
                <w:tcPr>
                  <w:tcW w:w="2143"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 年政府工作报告》</w:t>
                  </w:r>
                </w:p>
              </w:tc>
              <w:tc>
                <w:tcPr>
                  <w:tcW w:w="674"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国务院</w:t>
                  </w:r>
                </w:p>
              </w:tc>
              <w:tc>
                <w:tcPr>
                  <w:tcW w:w="175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两年内基本取消全国高速公路省界收费站，实现不停车快捷收费，减少拥堵、便利群众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0" w:hRule="atLeast"/>
              </w:trPr>
              <w:tc>
                <w:tcPr>
                  <w:tcW w:w="42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2019.05</w:t>
                  </w:r>
                </w:p>
              </w:tc>
              <w:tc>
                <w:tcPr>
                  <w:tcW w:w="2143"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《关于大力推动高速公路ETC发展应用工作的通知》</w:t>
                  </w:r>
                </w:p>
              </w:tc>
              <w:tc>
                <w:tcPr>
                  <w:tcW w:w="674"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交通运输部</w:t>
                  </w:r>
                </w:p>
              </w:tc>
              <w:tc>
                <w:tcPr>
                  <w:tcW w:w="175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到2019年底，各省（区、市）汽车ETC安装率达到80％以上，通行高速公路的车辆ETC使用率达到90％以上，高速公路基本实现不停车快捷收费。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0" w:hRule="atLeast"/>
              </w:trPr>
              <w:tc>
                <w:tcPr>
                  <w:tcW w:w="42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2019.05</w:t>
                  </w:r>
                </w:p>
              </w:tc>
              <w:tc>
                <w:tcPr>
                  <w:tcW w:w="2143"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《加快推进高速公路电子不停车快捷收费应用服务实施方案》</w:t>
                  </w:r>
                </w:p>
              </w:tc>
              <w:tc>
                <w:tcPr>
                  <w:tcW w:w="674"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交通运输部</w:t>
                  </w:r>
                </w:p>
              </w:tc>
              <w:tc>
                <w:tcPr>
                  <w:tcW w:w="175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2019年10月底前，所有车道均具备ETC服务功能。2019年12月底，全国ETC用户数量突破1.8亿，高速公路收费站ETC全覆盖成为主要收费车道，高速公路不停车快捷收费率达到90%以上，</w:t>
                  </w:r>
                  <w:r>
                    <w:rPr>
                      <w:rFonts w:hint="eastAsia" w:ascii="方正楷体_GBK" w:hAnsi="方正楷体_GBK" w:eastAsia="方正楷体_GBK" w:cs="方正楷体_GBK"/>
                      <w:i w:val="0"/>
                      <w:color w:val="000000"/>
                      <w:kern w:val="0"/>
                      <w:sz w:val="20"/>
                      <w:szCs w:val="20"/>
                      <w:u w:val="none"/>
                      <w:lang w:val="en-US" w:eastAsia="zh-CN" w:bidi="ar"/>
                    </w:rPr>
                    <w:br w:type="textWrapping"/>
                  </w:r>
                  <w:r>
                    <w:rPr>
                      <w:rFonts w:hint="eastAsia" w:ascii="方正楷体_GBK" w:hAnsi="方正楷体_GBK" w:eastAsia="方正楷体_GBK" w:cs="方正楷体_GBK"/>
                      <w:i w:val="0"/>
                      <w:color w:val="000000"/>
                      <w:kern w:val="0"/>
                      <w:sz w:val="20"/>
                      <w:szCs w:val="20"/>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15" w:hRule="atLeast"/>
              </w:trPr>
              <w:tc>
                <w:tcPr>
                  <w:tcW w:w="422"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2019.05</w:t>
                  </w:r>
                </w:p>
              </w:tc>
              <w:tc>
                <w:tcPr>
                  <w:tcW w:w="2143"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《深化收费公路制度改革取消高速公路省界收费站实施方案》</w:t>
                  </w:r>
                </w:p>
              </w:tc>
              <w:tc>
                <w:tcPr>
                  <w:tcW w:w="674"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国务院</w:t>
                  </w:r>
                </w:p>
              </w:tc>
              <w:tc>
                <w:tcPr>
                  <w:tcW w:w="175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力争2019年底前基本取消全国高速公路省界收费站；2019年底前各省（区、市）高速公路入口车辆使用ETC比例达到90%以上，同时实现手机移动支付在人工收费车道全覆盖。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40" w:hRule="atLeast"/>
              </w:trPr>
              <w:tc>
                <w:tcPr>
                  <w:tcW w:w="422"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2020.02</w:t>
                  </w:r>
                </w:p>
              </w:tc>
              <w:tc>
                <w:tcPr>
                  <w:tcW w:w="2143"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《道路机动车辆产品准入审查要求》</w:t>
                  </w:r>
                </w:p>
              </w:tc>
              <w:tc>
                <w:tcPr>
                  <w:tcW w:w="674"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工业和信息化部</w:t>
                  </w:r>
                </w:p>
              </w:tc>
              <w:tc>
                <w:tcPr>
                  <w:tcW w:w="175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对于选装ETC装置的车辆，应按照GB/T 38444-2019《不停车收费系统 车载电子单元》进行相关检验检测。自 2020 年 7 月 1 日起，新申请产品准入的车型应在选装配置中增加 ETC 车载装置。</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公开政策整理</w:t>
            </w:r>
            <w:r>
              <w:rPr>
                <w:rFonts w:hint="eastAsia" w:eastAsia="楷体" w:cs="Arial"/>
                <w:color w:val="000000"/>
                <w:sz w:val="15"/>
              </w:rPr>
              <w:t>，</w:t>
            </w:r>
            <w:r>
              <w:rPr>
                <w:rFonts w:eastAsia="楷体" w:cs="Arial"/>
                <w:color w:val="000000"/>
                <w:sz w:val="15"/>
              </w:rPr>
              <w:t>中泰证券研究所</w:t>
            </w:r>
          </w:p>
        </w:tc>
      </w:tr>
    </w:tbl>
    <w:p>
      <w:pPr>
        <w:pStyle w:val="35"/>
        <w:ind w:firstLine="103" w:firstLineChars="49"/>
        <w:rPr>
          <w:rFonts w:hint="default" w:eastAsia="楷体" w:cs="Arial"/>
          <w:color w:val="000000"/>
        </w:rPr>
      </w:pPr>
      <w:bookmarkStart w:id="77" w:name="_Toc1700312726"/>
      <w:r>
        <w:rPr>
          <w:rFonts w:hint="default" w:eastAsia="楷体" w:cs="Arial"/>
          <w:color w:val="000000"/>
        </w:rPr>
        <w:t>ETC从后装走向前装：成为新车标配</w:t>
      </w:r>
      <w:bookmarkEnd w:id="77"/>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2019年上半年，交通部印发《关于大力推动高速公路ETC发展应用工作的通知》，要求大幅提升汽车ETC安装率水平，随着ETC推广力度的加大，公司积累多年的技术和产品优势快速渗透，ETC芯片出货量大幅增长。2020年，伴随大部分汽车后装ETC改造升级完成，需求有所减弱，ETC芯片出货及对应整体利润有所下滑。</w:t>
      </w:r>
    </w:p>
    <w:p>
      <w:pPr>
        <w:ind w:left="3081" w:leftChars="1467" w:firstLine="600" w:firstLineChars="286"/>
        <w:rPr>
          <w:rFonts w:hint="default" w:eastAsia="楷体" w:cs="Arial"/>
          <w:b w:val="0"/>
          <w:bCs w:val="0"/>
          <w:color w:val="000000"/>
          <w:szCs w:val="21"/>
        </w:rPr>
      </w:pPr>
    </w:p>
    <w:p>
      <w:pPr>
        <w:ind w:left="3081" w:leftChars="1467" w:firstLine="601" w:firstLineChars="286"/>
        <w:rPr>
          <w:rFonts w:hint="default" w:eastAsia="楷体" w:cs="Arial"/>
          <w:b w:val="0"/>
          <w:bCs w:val="0"/>
          <w:color w:val="000000"/>
          <w:szCs w:val="21"/>
          <w:lang w:eastAsia="zh-CN"/>
        </w:rPr>
      </w:pPr>
      <w:r>
        <w:rPr>
          <w:rFonts w:hint="default" w:eastAsia="楷体" w:cs="Arial"/>
          <w:b/>
          <w:bCs/>
          <w:color w:val="000000"/>
          <w:szCs w:val="21"/>
        </w:rPr>
        <w:t>ETC市场未来关注点将从后装走向前装，将成为具有长期稳定现金流项目，是公司稳定的基本盘之一。</w:t>
      </w:r>
      <w:r>
        <w:rPr>
          <w:rFonts w:hint="default" w:eastAsia="楷体" w:cs="Arial"/>
          <w:b w:val="0"/>
          <w:bCs w:val="0"/>
          <w:color w:val="000000"/>
          <w:szCs w:val="21"/>
        </w:rPr>
        <w:t>根据工信部政策</w:t>
      </w:r>
      <w:r>
        <w:rPr>
          <w:rFonts w:hint="eastAsia" w:eastAsia="楷体" w:cs="Arial"/>
          <w:b w:val="0"/>
          <w:bCs w:val="0"/>
          <w:color w:val="000000"/>
          <w:szCs w:val="21"/>
          <w:lang w:val="en-US" w:eastAsia="zh-CN"/>
        </w:rPr>
        <w:t>《道路机动车辆产品准入审查要求》</w:t>
      </w:r>
      <w:r>
        <w:rPr>
          <w:rFonts w:hint="default" w:eastAsia="楷体" w:cs="Arial"/>
          <w:b w:val="0"/>
          <w:bCs w:val="0"/>
          <w:color w:val="000000"/>
          <w:szCs w:val="21"/>
        </w:rPr>
        <w:t>要求，自2020年7月1日起，新申请</w:t>
      </w:r>
      <w:r>
        <w:rPr>
          <w:rFonts w:hint="eastAsia" w:eastAsia="楷体" w:cs="Arial"/>
          <w:b w:val="0"/>
          <w:bCs w:val="0"/>
          <w:color w:val="000000"/>
          <w:szCs w:val="21"/>
          <w:lang w:val="en-US" w:eastAsia="zh-CN"/>
        </w:rPr>
        <w:t>产品准入的车型应在选装配置中增加 ETC 车载装置。</w:t>
      </w:r>
      <w:r>
        <w:rPr>
          <w:rFonts w:hint="default" w:eastAsia="楷体" w:cs="Arial"/>
          <w:b w:val="0"/>
          <w:bCs w:val="0"/>
          <w:color w:val="000000"/>
          <w:szCs w:val="21"/>
          <w:lang w:eastAsia="zh-CN"/>
        </w:rPr>
        <w:t>ETC设备使用习惯已经深度渗透，我们预计公司将从每年新增汽车销量中稳定获益，按照我国近年每年汽车销量稳定2500-2800万辆，ETC前装芯片单价是后装的2-3倍价格，按20元计算，ETC芯片每年市场规模约合5-6亿元。</w:t>
      </w:r>
    </w:p>
    <w:p>
      <w:pPr>
        <w:ind w:left="3081" w:leftChars="1467" w:firstLine="600" w:firstLineChars="286"/>
        <w:rPr>
          <w:rFonts w:hint="default" w:eastAsia="楷体" w:cs="Arial"/>
          <w:b w:val="0"/>
          <w:bCs w:val="0"/>
          <w:color w:val="000000"/>
          <w:szCs w:val="21"/>
          <w:lang w:eastAsia="zh-CN"/>
        </w:rPr>
      </w:pPr>
    </w:p>
    <w:p>
      <w:pPr>
        <w:ind w:left="3081" w:leftChars="1467" w:firstLine="600" w:firstLineChars="286"/>
        <w:rPr>
          <w:rFonts w:hint="default" w:eastAsia="楷体" w:cs="Arial"/>
          <w:b w:val="0"/>
          <w:bCs w:val="0"/>
          <w:color w:val="000000"/>
          <w:szCs w:val="21"/>
          <w:lang w:eastAsia="zh-CN"/>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fixed"/>
        <w:tblCellMar>
          <w:top w:w="0" w:type="dxa"/>
          <w:left w:w="108" w:type="dxa"/>
          <w:bottom w:w="0" w:type="dxa"/>
          <w:right w:w="108" w:type="dxa"/>
        </w:tblCellMar>
      </w:tblPr>
      <w:tblGrid>
        <w:gridCol w:w="5353"/>
        <w:gridCol w:w="284"/>
        <w:gridCol w:w="5244"/>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5353" w:type="dxa"/>
            <w:tcBorders>
              <w:top w:val="single" w:color="C00000" w:sz="12" w:space="0"/>
              <w:bottom w:val="single" w:color="C00000" w:sz="8" w:space="0"/>
              <w:right w:val="nil"/>
            </w:tcBorders>
            <w:noWrap w:val="0"/>
            <w:vAlign w:val="bottom"/>
          </w:tcPr>
          <w:p>
            <w:pPr>
              <w:keepNext/>
              <w:rPr>
                <w:rFonts w:eastAsia="楷体" w:cs="Arial"/>
                <w:b/>
                <w:bCs/>
                <w:i/>
                <w:color w:val="000000"/>
                <w:sz w:val="20"/>
              </w:rPr>
            </w:pPr>
            <w:r>
              <w:rPr>
                <w:rFonts w:eastAsia="楷体" w:cs="Arial"/>
                <w:b/>
                <w:bCs/>
                <w:i/>
                <w:color w:val="000000"/>
                <w:sz w:val="20"/>
              </w:rPr>
              <w:t xml:space="preserve">图表 </w:t>
            </w:r>
            <w:r>
              <w:rPr>
                <w:rFonts w:eastAsia="楷体" w:cs="Arial"/>
                <w:b/>
                <w:bCs/>
                <w:i/>
                <w:color w:val="000000"/>
                <w:sz w:val="20"/>
              </w:rPr>
              <w:fldChar w:fldCharType="begin"/>
            </w:r>
            <w:r>
              <w:rPr>
                <w:rFonts w:eastAsia="楷体" w:cs="Arial"/>
                <w:b/>
                <w:bCs/>
                <w:i/>
                <w:color w:val="000000"/>
                <w:sz w:val="20"/>
              </w:rPr>
              <w:instrText xml:space="preserve"> SEQ 图表 \* ARABIC </w:instrText>
            </w:r>
            <w:r>
              <w:rPr>
                <w:rFonts w:eastAsia="楷体" w:cs="Arial"/>
                <w:b/>
                <w:bCs/>
                <w:i/>
                <w:color w:val="000000"/>
                <w:sz w:val="20"/>
              </w:rPr>
              <w:fldChar w:fldCharType="separate"/>
            </w:r>
            <w:r>
              <w:rPr>
                <w:rFonts w:eastAsia="楷体" w:cs="Arial"/>
                <w:b/>
                <w:bCs/>
                <w:i/>
                <w:color w:val="000000"/>
                <w:sz w:val="20"/>
              </w:rPr>
              <w:t>33</w:t>
            </w:r>
            <w:r>
              <w:rPr>
                <w:rFonts w:eastAsia="楷体" w:cs="Arial"/>
                <w:b/>
                <w:bCs/>
                <w:i/>
                <w:color w:val="000000"/>
                <w:sz w:val="20"/>
              </w:rPr>
              <w:fldChar w:fldCharType="end"/>
            </w:r>
            <w:bookmarkStart w:id="78" w:name="_Toc1056693664"/>
            <w:r>
              <w:rPr>
                <w:rFonts w:eastAsia="楷体" w:cs="Arial"/>
                <w:b/>
                <w:bCs/>
                <w:i/>
                <w:color w:val="000000"/>
                <w:sz w:val="20"/>
              </w:rPr>
              <w:t xml:space="preserve"> 公司BK5863N ETC芯片</w:t>
            </w:r>
            <w:bookmarkEnd w:id="78"/>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sz w:val="20"/>
              </w:rPr>
            </w:pPr>
          </w:p>
          <w:p>
            <w:pPr>
              <w:keepNext/>
              <w:rPr>
                <w:rFonts w:eastAsia="楷体" w:cs="Arial"/>
                <w:b/>
                <w:bCs/>
                <w:i/>
                <w:color w:val="000000"/>
              </w:rPr>
            </w:pPr>
          </w:p>
        </w:tc>
        <w:tc>
          <w:tcPr>
            <w:tcW w:w="284" w:type="dxa"/>
            <w:tcBorders>
              <w:top w:val="nil"/>
              <w:left w:val="nil"/>
              <w:bottom w:val="nil"/>
              <w:right w:val="nil"/>
            </w:tcBorders>
            <w:noWrap w:val="0"/>
            <w:vAlign w:val="top"/>
          </w:tcPr>
          <w:p>
            <w:pPr>
              <w:rPr>
                <w:rFonts w:eastAsia="楷体" w:cs="Arial"/>
                <w:b/>
                <w:bCs/>
                <w:i/>
                <w:color w:val="000000"/>
              </w:rPr>
            </w:pPr>
          </w:p>
        </w:tc>
        <w:tc>
          <w:tcPr>
            <w:tcW w:w="5244" w:type="dxa"/>
            <w:tcBorders>
              <w:top w:val="single" w:color="C00000" w:sz="12" w:space="0"/>
              <w:left w:val="nil"/>
              <w:bottom w:val="single" w:color="C00000" w:sz="8" w:space="0"/>
            </w:tcBorders>
            <w:noWrap w:val="0"/>
            <w:vAlign w:val="bottom"/>
          </w:tcPr>
          <w:p>
            <w:pPr>
              <w:pStyle w:val="8"/>
              <w:keepNext/>
              <w:rPr>
                <w:rFonts w:eastAsia="楷体" w:cs="Arial"/>
                <w:b/>
                <w:bCs/>
                <w:i/>
                <w:color w:val="4F81BD"/>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34</w:t>
            </w:r>
            <w:r>
              <w:rPr>
                <w:rFonts w:eastAsia="楷体" w:cs="Arial"/>
                <w:b/>
                <w:bCs/>
                <w:i/>
                <w:color w:val="000000"/>
              </w:rPr>
              <w:fldChar w:fldCharType="end"/>
            </w:r>
            <w:bookmarkStart w:id="79" w:name="_Toc660261227"/>
            <w:r>
              <w:rPr>
                <w:rFonts w:eastAsia="楷体" w:cs="Arial"/>
                <w:b/>
                <w:bCs/>
                <w:i/>
                <w:color w:val="000000"/>
              </w:rPr>
              <w:t xml:space="preserve"> ETC是车联网的重要应用之一</w:t>
            </w:r>
            <w:bookmarkEnd w:id="79"/>
          </w:p>
          <w:p>
            <w:pPr>
              <w:keepNext/>
              <w:rPr>
                <w:rFonts w:hint="eastAsia" w:eastAsia="楷体" w:cs="Arial"/>
                <w:b/>
                <w:bCs/>
                <w:i/>
                <w:color w:val="000000"/>
              </w:rPr>
            </w:pPr>
            <w:r>
              <w:rPr>
                <w:rFonts w:eastAsia="楷体" w:cs="Arial"/>
                <w:b/>
                <w:bCs/>
                <w:i/>
                <w:color w:val="000000"/>
                <w:sz w:val="20"/>
              </w:rPr>
              <w:t>图表5：</w:t>
            </w:r>
            <w:r>
              <w:rPr>
                <w:rFonts w:hint="eastAsia" w:eastAsia="楷体" w:cs="Arial"/>
                <w:b/>
                <w:bCs/>
                <w:i/>
                <w:color w:val="000000"/>
                <w:sz w:val="20"/>
              </w:rPr>
              <w:t>营收按产品分类</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808" w:hRule="atLeast"/>
        </w:trPr>
        <w:tc>
          <w:tcPr>
            <w:tcW w:w="5353" w:type="dxa"/>
            <w:tcBorders>
              <w:top w:val="single" w:color="C00000" w:sz="8" w:space="0"/>
              <w:right w:val="nil"/>
            </w:tcBorders>
            <w:noWrap w:val="0"/>
            <w:vAlign w:val="top"/>
          </w:tcPr>
          <w:p>
            <w:pPr>
              <w:spacing w:line="360" w:lineRule="auto"/>
              <w:jc w:val="both"/>
              <w:rPr>
                <w:rFonts w:eastAsia="楷体" w:cs="Arial"/>
                <w:color w:val="000000"/>
              </w:rPr>
            </w:pPr>
            <w:r>
              <w:drawing>
                <wp:inline distT="0" distB="0" distL="114300" distR="114300">
                  <wp:extent cx="3261360" cy="2717800"/>
                  <wp:effectExtent l="0" t="0" r="15240" b="0"/>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0"/>
                          <pic:cNvPicPr>
                            <a:picLocks noChangeAspect="1"/>
                          </pic:cNvPicPr>
                        </pic:nvPicPr>
                        <pic:blipFill>
                          <a:blip r:embed="rId37"/>
                          <a:stretch>
                            <a:fillRect/>
                          </a:stretch>
                        </pic:blipFill>
                        <pic:spPr>
                          <a:xfrm>
                            <a:off x="0" y="0"/>
                            <a:ext cx="3261360" cy="2717800"/>
                          </a:xfrm>
                          <a:prstGeom prst="rect">
                            <a:avLst/>
                          </a:prstGeom>
                          <a:noFill/>
                          <a:ln w="9525">
                            <a:noFill/>
                          </a:ln>
                        </pic:spPr>
                      </pic:pic>
                    </a:graphicData>
                  </a:graphic>
                </wp:inline>
              </w:drawing>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top w:val="single" w:color="C00000" w:sz="8" w:space="0"/>
              <w:left w:val="nil"/>
            </w:tcBorders>
            <w:noWrap w:val="0"/>
            <w:vAlign w:val="top"/>
          </w:tcPr>
          <w:p>
            <w:pPr>
              <w:jc w:val="both"/>
              <w:rPr>
                <w:rFonts w:eastAsia="楷体" w:cs="Arial"/>
                <w:color w:val="000000"/>
              </w:rPr>
            </w:pPr>
            <w:r>
              <w:drawing>
                <wp:inline distT="0" distB="0" distL="114300" distR="114300">
                  <wp:extent cx="3186430" cy="2453640"/>
                  <wp:effectExtent l="0" t="0" r="13970" b="10160"/>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1"/>
                          <pic:cNvPicPr>
                            <a:picLocks noChangeAspect="1"/>
                          </pic:cNvPicPr>
                        </pic:nvPicPr>
                        <pic:blipFill>
                          <a:blip r:embed="rId38"/>
                          <a:stretch>
                            <a:fillRect/>
                          </a:stretch>
                        </pic:blipFill>
                        <pic:spPr>
                          <a:xfrm>
                            <a:off x="0" y="0"/>
                            <a:ext cx="3186430" cy="245364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90" w:hRule="atLeast"/>
        </w:trPr>
        <w:tc>
          <w:tcPr>
            <w:tcW w:w="5353" w:type="dxa"/>
            <w:tcBorders>
              <w:righ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default" w:eastAsia="楷体" w:cs="Arial"/>
                <w:color w:val="000000"/>
                <w:sz w:val="15"/>
              </w:rPr>
              <w:t>公司官网</w:t>
            </w:r>
            <w:r>
              <w:rPr>
                <w:rFonts w:eastAsia="楷体" w:cs="Arial"/>
                <w:color w:val="000000"/>
                <w:sz w:val="15"/>
              </w:rPr>
              <w:t>，中泰证券研究所</w:t>
            </w:r>
          </w:p>
        </w:tc>
        <w:tc>
          <w:tcPr>
            <w:tcW w:w="284" w:type="dxa"/>
            <w:tcBorders>
              <w:top w:val="nil"/>
              <w:left w:val="nil"/>
              <w:bottom w:val="nil"/>
              <w:right w:val="nil"/>
            </w:tcBorders>
            <w:noWrap w:val="0"/>
            <w:vAlign w:val="top"/>
          </w:tcPr>
          <w:p>
            <w:pPr>
              <w:rPr>
                <w:rFonts w:eastAsia="楷体" w:cs="Arial"/>
                <w:color w:val="000000"/>
              </w:rPr>
            </w:pPr>
          </w:p>
        </w:tc>
        <w:tc>
          <w:tcPr>
            <w:tcW w:w="5244"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来源：公司官网，中泰证券研究所</w:t>
            </w:r>
          </w:p>
        </w:tc>
      </w:tr>
    </w:tbl>
    <w:p>
      <w:pPr>
        <w:pStyle w:val="35"/>
        <w:ind w:firstLine="103" w:firstLineChars="49"/>
        <w:rPr>
          <w:rFonts w:hint="default" w:eastAsia="楷体" w:cs="Arial"/>
          <w:color w:val="000000"/>
        </w:rPr>
      </w:pPr>
    </w:p>
    <w:p>
      <w:pPr>
        <w:pStyle w:val="35"/>
        <w:ind w:firstLine="103" w:firstLineChars="49"/>
        <w:rPr>
          <w:rFonts w:hint="default" w:eastAsia="楷体" w:cs="Arial"/>
          <w:b w:val="0"/>
          <w:bCs w:val="0"/>
          <w:color w:val="000000"/>
          <w:szCs w:val="21"/>
        </w:rPr>
      </w:pPr>
      <w:bookmarkStart w:id="80" w:name="_Toc591095253"/>
      <w:r>
        <w:rPr>
          <w:rFonts w:hint="default" w:eastAsia="楷体" w:cs="Arial"/>
          <w:color w:val="000000"/>
        </w:rPr>
        <w:t>从后装到前装，公司产品持续迭代，保持高度领先地位</w:t>
      </w:r>
      <w:bookmarkEnd w:id="80"/>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公司已完成在智能交通及物联网领域的提前布局，并凭借多年的积累，在智能交通方面，</w:t>
      </w:r>
      <w:r>
        <w:rPr>
          <w:rFonts w:hint="default" w:eastAsia="楷体" w:cs="Arial"/>
          <w:b/>
          <w:bCs/>
          <w:color w:val="000000"/>
          <w:szCs w:val="21"/>
          <w:u w:val="single"/>
        </w:rPr>
        <w:t>公司的BK5823芯片是第一款适用于我国ETC国标的全集成芯片，在国内ETC芯片市场处于领先地位，具有显著的市场先发优势。</w:t>
      </w:r>
      <w:r>
        <w:rPr>
          <w:rFonts w:hint="default" w:eastAsia="楷体" w:cs="Arial"/>
          <w:b w:val="0"/>
          <w:bCs w:val="0"/>
          <w:color w:val="000000"/>
          <w:szCs w:val="21"/>
        </w:rPr>
        <w:t>公司将依托该芯片，在未来对路径识别、防拥堵和停车场管理等应用领域进行了延伸开发。</w:t>
      </w:r>
    </w:p>
    <w:p>
      <w:pPr>
        <w:ind w:left="3081" w:leftChars="1467" w:firstLine="600" w:firstLineChars="286"/>
        <w:rPr>
          <w:rFonts w:hint="default" w:eastAsia="楷体" w:cs="Arial"/>
          <w:b w:val="0"/>
          <w:bCs w:val="0"/>
          <w:color w:val="000000"/>
          <w:szCs w:val="21"/>
        </w:rPr>
      </w:pPr>
    </w:p>
    <w:p>
      <w:pPr>
        <w:ind w:left="3081" w:leftChars="1467" w:firstLine="600" w:firstLineChars="286"/>
        <w:rPr>
          <w:rFonts w:hint="default" w:eastAsia="楷体" w:cs="Arial"/>
          <w:b w:val="0"/>
          <w:bCs w:val="0"/>
          <w:color w:val="000000"/>
          <w:szCs w:val="21"/>
        </w:rPr>
      </w:pPr>
      <w:r>
        <w:rPr>
          <w:rFonts w:hint="default" w:eastAsia="楷体" w:cs="Arial"/>
          <w:b w:val="0"/>
          <w:bCs w:val="0"/>
          <w:color w:val="000000"/>
          <w:szCs w:val="21"/>
        </w:rPr>
        <w:t>此外，公司一直在跟进ETC国标核心技术的研发，并着手设计极低功耗的被动唤醒电路。2011年公司完成了符合国标的被动唤醒电路，并在第一代ETC国标产品BK5822中使用。此后，经过不断改进完善，在2013年成功开发出超过国标标准8 dB的被动唤醒电路，自主研发5.8GHz被动唤醒电路核心技术应用在第二代5.8 GHz ETC产品BK5823上。2016年，公司最新被动唤醒电路的技术水平更进一步，超过国标14 dB，并支持连续可调节功能；同时，在配合外部器件的基础上，支持超过国标23 dB的被动唤醒模式。该技术将逐步应用于高级轿车的标签设计和路径识别卡片。</w:t>
      </w:r>
    </w:p>
    <w:p>
      <w:pPr>
        <w:rPr>
          <w:rFonts w:hint="default" w:eastAsia="楷体" w:cs="Arial"/>
          <w:b w:val="0"/>
          <w:bCs w:val="0"/>
          <w:color w:val="000000"/>
          <w:szCs w:val="21"/>
        </w:rPr>
      </w:pPr>
    </w:p>
    <w:p>
      <w:pPr>
        <w:ind w:left="3081" w:leftChars="1467" w:firstLine="600" w:firstLineChars="286"/>
        <w:rPr>
          <w:rFonts w:hint="default" w:eastAsia="楷体" w:cs="Arial"/>
          <w:b/>
          <w:bCs/>
          <w:color w:val="000000"/>
          <w:sz w:val="28"/>
          <w:szCs w:val="32"/>
        </w:rPr>
      </w:pPr>
      <w:r>
        <w:rPr>
          <w:rFonts w:hint="default" w:eastAsia="楷体" w:cs="Arial"/>
          <w:b w:val="0"/>
          <w:bCs w:val="0"/>
          <w:color w:val="000000"/>
          <w:szCs w:val="21"/>
        </w:rPr>
        <w:t>2020年，</w:t>
      </w:r>
      <w:r>
        <w:rPr>
          <w:rFonts w:hint="default" w:eastAsia="楷体" w:cs="Arial"/>
          <w:b/>
          <w:bCs/>
          <w:color w:val="000000"/>
          <w:szCs w:val="21"/>
          <w:u w:val="single"/>
        </w:rPr>
        <w:t>在ETC前装领域，公司推出ETC芯片BK5870T并实现量产，该车规级芯片产品已获得国际第三方实验室的车规测试认证，是国内首款通过此项认证的</w:t>
      </w:r>
      <w:r>
        <w:rPr>
          <w:rFonts w:hint="default" w:eastAsia="楷体" w:cs="Arial"/>
          <w:b w:val="0"/>
          <w:bCs w:val="0"/>
          <w:color w:val="000000"/>
          <w:szCs w:val="21"/>
          <w:u w:val="single"/>
        </w:rPr>
        <w:t>ETC SoC</w:t>
      </w:r>
      <w:r>
        <w:rPr>
          <w:rFonts w:hint="default" w:eastAsia="楷体" w:cs="Arial"/>
          <w:b/>
          <w:bCs/>
          <w:color w:val="000000"/>
          <w:szCs w:val="21"/>
          <w:u w:val="single"/>
        </w:rPr>
        <w:t>芯片</w:t>
      </w:r>
      <w:r>
        <w:rPr>
          <w:rFonts w:hint="default" w:eastAsia="楷体" w:cs="Arial"/>
          <w:b w:val="0"/>
          <w:bCs w:val="0"/>
          <w:color w:val="000000"/>
          <w:szCs w:val="21"/>
        </w:rPr>
        <w:t>，有望稳定受益于每年新车销售前装选配的ETC车载装置。</w:t>
      </w:r>
    </w:p>
    <w:p>
      <w:pPr>
        <w:ind w:left="3684" w:leftChars="1754" w:hanging="1"/>
        <w:rPr>
          <w:rFonts w:eastAsia="楷体" w:cs="Arial"/>
          <w:b/>
          <w:bCs/>
          <w:color w:val="000000"/>
          <w:szCs w:val="21"/>
        </w:rPr>
      </w:pPr>
    </w:p>
    <w:p>
      <w:pPr>
        <w:tabs>
          <w:tab w:val="right" w:leader="dot" w:pos="12424"/>
        </w:tabs>
        <w:ind w:left="3058" w:leftChars="1300" w:hanging="328" w:hangingChars="117"/>
        <w:jc w:val="left"/>
        <w:outlineLvl w:val="0"/>
        <w:rPr>
          <w:rFonts w:eastAsia="楷体" w:cs="Arial"/>
          <w:b/>
          <w:bCs/>
          <w:color w:val="000000"/>
          <w:sz w:val="28"/>
          <w:szCs w:val="32"/>
        </w:rPr>
      </w:pPr>
      <w:bookmarkStart w:id="81" w:name="_Toc278566149"/>
      <w:r>
        <w:rPr>
          <w:rFonts w:hint="default" w:eastAsia="楷体" w:cs="Arial"/>
          <w:b/>
          <w:bCs/>
          <w:color w:val="000000"/>
          <w:sz w:val="28"/>
          <w:szCs w:val="32"/>
        </w:rPr>
        <w:t>公司定增资金计划</w:t>
      </w:r>
      <w:bookmarkEnd w:id="81"/>
    </w:p>
    <w:p>
      <w:pPr>
        <w:pStyle w:val="35"/>
        <w:ind w:firstLine="103" w:firstLineChars="49"/>
        <w:rPr>
          <w:rFonts w:hint="eastAsia" w:eastAsia="楷体" w:cs="Arial"/>
          <w:color w:val="000000"/>
        </w:rPr>
      </w:pPr>
      <w:bookmarkStart w:id="82" w:name="_Toc346915783"/>
      <w:r>
        <w:rPr>
          <w:rFonts w:hint="eastAsia" w:eastAsia="楷体" w:cs="Arial"/>
          <w:color w:val="000000"/>
        </w:rPr>
        <w:t>募集资金总量及使用安排</w:t>
      </w:r>
      <w:bookmarkEnd w:id="82"/>
    </w:p>
    <w:p>
      <w:pPr>
        <w:ind w:left="3081" w:leftChars="1467" w:firstLine="600" w:firstLineChars="286"/>
        <w:rPr>
          <w:rFonts w:hint="eastAsia" w:eastAsia="楷体" w:cs="Arial"/>
          <w:b w:val="0"/>
          <w:bCs w:val="0"/>
          <w:color w:val="000000"/>
          <w:szCs w:val="21"/>
        </w:rPr>
      </w:pPr>
      <w:r>
        <w:rPr>
          <w:rFonts w:hint="eastAsia" w:eastAsia="楷体" w:cs="Arial"/>
          <w:b w:val="0"/>
          <w:bCs w:val="0"/>
          <w:color w:val="000000"/>
          <w:szCs w:val="21"/>
        </w:rPr>
        <w:t>2020年</w:t>
      </w:r>
      <w:r>
        <w:rPr>
          <w:rFonts w:hint="default" w:eastAsia="楷体" w:cs="Arial"/>
          <w:b w:val="0"/>
          <w:bCs w:val="0"/>
          <w:color w:val="000000"/>
          <w:szCs w:val="21"/>
        </w:rPr>
        <w:t>5</w:t>
      </w:r>
      <w:r>
        <w:rPr>
          <w:rFonts w:hint="eastAsia" w:eastAsia="楷体" w:cs="Arial"/>
          <w:b w:val="0"/>
          <w:bCs w:val="0"/>
          <w:color w:val="000000"/>
          <w:szCs w:val="21"/>
        </w:rPr>
        <w:t>月</w:t>
      </w:r>
      <w:r>
        <w:rPr>
          <w:rFonts w:hint="default" w:eastAsia="楷体" w:cs="Arial"/>
          <w:b w:val="0"/>
          <w:bCs w:val="0"/>
          <w:color w:val="000000"/>
          <w:szCs w:val="21"/>
        </w:rPr>
        <w:t>14</w:t>
      </w:r>
      <w:r>
        <w:rPr>
          <w:rFonts w:hint="eastAsia" w:eastAsia="楷体" w:cs="Arial"/>
          <w:b w:val="0"/>
          <w:bCs w:val="0"/>
          <w:color w:val="000000"/>
          <w:szCs w:val="21"/>
        </w:rPr>
        <w:t>日，公司发布非公开发行股票预案，募集资金总额不超过</w:t>
      </w:r>
      <w:r>
        <w:rPr>
          <w:rFonts w:hint="default" w:eastAsia="楷体" w:cs="Arial"/>
          <w:b w:val="0"/>
          <w:bCs w:val="0"/>
          <w:color w:val="000000"/>
          <w:szCs w:val="21"/>
        </w:rPr>
        <w:t>76,124.31</w:t>
      </w:r>
      <w:r>
        <w:rPr>
          <w:rFonts w:hint="eastAsia" w:eastAsia="楷体" w:cs="Arial"/>
          <w:b w:val="0"/>
          <w:bCs w:val="0"/>
          <w:color w:val="000000"/>
          <w:szCs w:val="21"/>
        </w:rPr>
        <w:t>万元，扣除发行费用后资金将用于：“</w:t>
      </w:r>
      <w:r>
        <w:rPr>
          <w:rFonts w:hint="default" w:eastAsia="楷体" w:cs="Arial"/>
          <w:b w:val="0"/>
          <w:bCs w:val="0"/>
          <w:color w:val="000000"/>
          <w:szCs w:val="21"/>
        </w:rPr>
        <w:t>智慧交通与智能驾驶研发及产业化项目（</w:t>
      </w:r>
      <w:r>
        <w:rPr>
          <w:rFonts w:hint="eastAsia" w:eastAsia="楷体" w:cs="Arial"/>
          <w:b w:val="0"/>
          <w:bCs w:val="0"/>
          <w:color w:val="000000"/>
          <w:szCs w:val="21"/>
        </w:rPr>
        <w:t>共投资约6.</w:t>
      </w:r>
      <w:r>
        <w:rPr>
          <w:rFonts w:hint="default" w:eastAsia="楷体" w:cs="Arial"/>
          <w:b w:val="0"/>
          <w:bCs w:val="0"/>
          <w:color w:val="000000"/>
          <w:szCs w:val="21"/>
        </w:rPr>
        <w:t>7</w:t>
      </w:r>
      <w:r>
        <w:rPr>
          <w:rFonts w:hint="eastAsia" w:eastAsia="楷体" w:cs="Arial"/>
          <w:b w:val="0"/>
          <w:bCs w:val="0"/>
          <w:color w:val="000000"/>
          <w:szCs w:val="21"/>
        </w:rPr>
        <w:t>亿元）”、“</w:t>
      </w:r>
      <w:r>
        <w:rPr>
          <w:rFonts w:hint="default" w:eastAsia="楷体" w:cs="Arial"/>
          <w:b w:val="0"/>
          <w:bCs w:val="0"/>
          <w:color w:val="000000"/>
          <w:szCs w:val="21"/>
        </w:rPr>
        <w:t>补充流动资金</w:t>
      </w:r>
      <w:r>
        <w:rPr>
          <w:rFonts w:hint="eastAsia" w:eastAsia="楷体" w:cs="Arial"/>
          <w:b w:val="0"/>
          <w:bCs w:val="0"/>
          <w:color w:val="000000"/>
          <w:szCs w:val="21"/>
        </w:rPr>
        <w:t>（</w:t>
      </w:r>
      <w:r>
        <w:rPr>
          <w:rFonts w:hint="default" w:eastAsia="楷体" w:cs="Arial"/>
          <w:b w:val="0"/>
          <w:bCs w:val="0"/>
          <w:color w:val="000000"/>
          <w:szCs w:val="21"/>
        </w:rPr>
        <w:t>1</w:t>
      </w:r>
      <w:r>
        <w:rPr>
          <w:rFonts w:hint="eastAsia" w:eastAsia="楷体" w:cs="Arial"/>
          <w:b w:val="0"/>
          <w:bCs w:val="0"/>
          <w:color w:val="000000"/>
          <w:szCs w:val="21"/>
        </w:rPr>
        <w:t>亿元）。为及时把握市场机遇，在募集资金到位前，公司可以通过自筹资金先行用于上述项目的建设，待募集资金到位后，公司将以募集资金对前期投入的资金进行置换。</w:t>
      </w:r>
    </w:p>
    <w:p>
      <w:pPr>
        <w:ind w:left="3081" w:leftChars="1467" w:firstLine="600" w:firstLineChars="286"/>
        <w:rPr>
          <w:rFonts w:hint="eastAsia" w:eastAsia="楷体" w:cs="Arial"/>
          <w:b w:val="0"/>
          <w:bCs w:val="0"/>
          <w:color w:val="000000"/>
          <w:szCs w:val="21"/>
        </w:rPr>
      </w:pPr>
    </w:p>
    <w:p>
      <w:pPr>
        <w:ind w:left="3081" w:leftChars="1467" w:firstLine="600" w:firstLineChars="286"/>
        <w:rPr>
          <w:rFonts w:hint="default" w:eastAsia="楷体" w:cs="Arial"/>
          <w:b/>
          <w:bCs/>
          <w:color w:val="000000"/>
          <w:szCs w:val="21"/>
        </w:rPr>
      </w:pPr>
      <w:r>
        <w:rPr>
          <w:rFonts w:hint="default" w:eastAsia="楷体" w:cs="Arial"/>
          <w:b w:val="0"/>
          <w:bCs w:val="0"/>
          <w:color w:val="000000"/>
          <w:szCs w:val="21"/>
        </w:rPr>
        <w:t>2011年1月12日，公司对非公开发行股票发行情况进行公告，</w:t>
      </w:r>
      <w:r>
        <w:rPr>
          <w:rFonts w:hint="default" w:eastAsia="楷体" w:cs="Arial"/>
          <w:b/>
          <w:bCs/>
          <w:color w:val="000000"/>
          <w:szCs w:val="21"/>
        </w:rPr>
        <w:t>公司最终发行价格为65元/股，发行股数11,711,432股，共募集76,124.31万元。</w:t>
      </w:r>
      <w:r>
        <w:rPr>
          <w:rFonts w:hint="default" w:eastAsia="楷体" w:cs="Arial"/>
          <w:b w:val="0"/>
          <w:bCs w:val="0"/>
          <w:color w:val="000000"/>
          <w:szCs w:val="21"/>
        </w:rPr>
        <w:t>其中主要认购对象上海致能获配🈷🈷约4亿元。上海致能实控人即武岳峰资本，为潘建岳先生所联合创立。</w:t>
      </w:r>
      <w:r>
        <w:rPr>
          <w:rFonts w:hint="default" w:eastAsia="楷体" w:cs="Arial"/>
          <w:b/>
          <w:bCs/>
          <w:color w:val="000000"/>
          <w:szCs w:val="21"/>
        </w:rPr>
        <w:t>潘建岳先生历任美国新思科技（Synopsys,Inc.）中国区总裁、亚太区总裁兼全球副总裁等职</w:t>
      </w:r>
      <w:r>
        <w:rPr>
          <w:rFonts w:hint="default" w:eastAsia="楷体" w:cs="Arial"/>
          <w:b w:val="0"/>
          <w:bCs w:val="0"/>
          <w:color w:val="000000"/>
          <w:szCs w:val="21"/>
        </w:rPr>
        <w:t>。对全球IC产业生态特别是中国和亚太的IC产业有深入的理解和人脉，对多元文化企业的管理和整合有较丰富的经验，主导投资了卓胜微电子、兆易创新等公司并取得巨大成功。</w:t>
      </w:r>
      <w:r>
        <w:rPr>
          <w:rFonts w:hint="default" w:eastAsia="楷体" w:cs="Arial"/>
          <w:b/>
          <w:bCs/>
          <w:color w:val="000000"/>
          <w:szCs w:val="21"/>
        </w:rPr>
        <w:t>此次上海致能对博通集成进行大额定增的战略投资，体现对博通集成公司价值、未来发展和战略定位的高度认同。</w:t>
      </w:r>
    </w:p>
    <w:p>
      <w:pPr>
        <w:ind w:left="3081" w:leftChars="1467" w:firstLine="601" w:firstLineChars="286"/>
        <w:rPr>
          <w:rFonts w:hint="eastAsia" w:eastAsia="楷体" w:cs="Arial"/>
          <w:b/>
          <w:bCs/>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rPr>
          <w:trHeight w:val="297" w:hRule="exact"/>
        </w:trPr>
        <w:tc>
          <w:tcPr>
            <w:tcW w:w="10881" w:type="dxa"/>
            <w:tcBorders>
              <w:top w:val="single" w:color="C00000" w:sz="12" w:space="0"/>
              <w:left w:val="nil"/>
              <w:bottom w:val="single" w:color="C00000" w:sz="8" w:space="0"/>
            </w:tcBorders>
            <w:noWrap w:val="0"/>
            <w:vAlign w:val="bottom"/>
          </w:tcPr>
          <w:p>
            <w:pPr>
              <w:pStyle w:val="8"/>
              <w:keepNext/>
              <w:jc w:val="left"/>
              <w:rPr>
                <w:rFonts w:eastAsia="楷体" w:cs="Arial"/>
                <w:b/>
                <w:bCs/>
                <w:i/>
                <w:color w:val="000000"/>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40</w:t>
            </w:r>
            <w:r>
              <w:rPr>
                <w:rFonts w:eastAsia="楷体" w:cs="Arial"/>
                <w:b/>
                <w:bCs/>
                <w:i/>
                <w:color w:val="000000"/>
              </w:rPr>
              <w:fldChar w:fldCharType="end"/>
            </w:r>
            <w:bookmarkStart w:id="83" w:name="_Toc850989776"/>
            <w:r>
              <w:rPr>
                <w:rFonts w:eastAsia="楷体" w:cs="Arial"/>
                <w:b/>
                <w:bCs/>
                <w:i/>
                <w:color w:val="000000"/>
              </w:rPr>
              <w:t xml:space="preserve"> 公司定增募投项目金额及预计投资进度</w:t>
            </w:r>
            <w:bookmarkEnd w:id="83"/>
          </w:p>
          <w:p>
            <w:pPr>
              <w:jc w:val="left"/>
              <w:rPr>
                <w:rFonts w:hint="eastAsia" w:eastAsia="楷体" w:cs="Arial"/>
                <w:b/>
                <w:bCs/>
                <w:i/>
                <w:color w:val="000000"/>
              </w:rPr>
            </w:pPr>
            <w:r>
              <w:rPr>
                <w:rFonts w:eastAsia="楷体" w:cs="Arial"/>
                <w:b/>
                <w:bCs/>
                <w:i/>
                <w:color w:val="000000"/>
              </w:rPr>
              <w:t>图表19：</w:t>
            </w:r>
            <w:r>
              <w:rPr>
                <w:rFonts w:hint="eastAsia" w:eastAsia="楷体" w:cs="Arial"/>
                <w:b/>
                <w:bCs/>
                <w:i/>
                <w:color w:val="000000"/>
              </w:rPr>
              <w:t>智能音箱</w:t>
            </w:r>
          </w:p>
          <w:p>
            <w:pPr>
              <w:keepNext/>
              <w:widowControl/>
              <w:tabs>
                <w:tab w:val="right" w:leader="dot" w:pos="8644"/>
                <w:tab w:val="right" w:leader="dot" w:pos="10649"/>
              </w:tabs>
              <w:suppressAutoHyphens/>
              <w:kinsoku w:val="0"/>
              <w:spacing w:after="40" w:line="240" w:lineRule="exact"/>
              <w:jc w:val="center"/>
              <w:rPr>
                <w:rFonts w:hint="eastAsia" w:eastAsia="楷体" w:cs="Arial"/>
                <w:b/>
                <w:bCs/>
                <w:i/>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3634" w:hRule="atLeast"/>
        </w:trPr>
        <w:tc>
          <w:tcPr>
            <w:tcW w:w="10881" w:type="dxa"/>
            <w:tcBorders>
              <w:top w:val="single" w:color="C00000" w:sz="8" w:space="0"/>
              <w:left w:val="nil"/>
            </w:tcBorders>
            <w:noWrap w:val="0"/>
            <w:vAlign w:val="top"/>
          </w:tcPr>
          <w:tbl>
            <w:tblPr>
              <w:tblStyle w:val="22"/>
              <w:tblW w:w="106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766"/>
              <w:gridCol w:w="4747"/>
              <w:gridCol w:w="2214"/>
              <w:gridCol w:w="2934"/>
            </w:tblGrid>
            <w:tr>
              <w:trPr>
                <w:trHeight w:val="467" w:hRule="atLeast"/>
              </w:trPr>
              <w:tc>
                <w:tcPr>
                  <w:tcW w:w="359" w:type="pct"/>
                  <w:vMerge w:val="restart"/>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keepNext w:val="0"/>
                    <w:keepLines w:val="0"/>
                    <w:widowControl/>
                    <w:suppressLineNumbers w:val="0"/>
                    <w:jc w:val="center"/>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序号</w:t>
                  </w:r>
                </w:p>
              </w:tc>
              <w:tc>
                <w:tcPr>
                  <w:tcW w:w="2226" w:type="pct"/>
                  <w:vMerge w:val="restart"/>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keepNext w:val="0"/>
                    <w:keepLines w:val="0"/>
                    <w:widowControl/>
                    <w:suppressLineNumbers w:val="0"/>
                    <w:jc w:val="center"/>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项目名称</w:t>
                  </w:r>
                </w:p>
              </w:tc>
              <w:tc>
                <w:tcPr>
                  <w:tcW w:w="1038" w:type="pct"/>
                  <w:vMerge w:val="restart"/>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keepNext w:val="0"/>
                    <w:keepLines w:val="0"/>
                    <w:widowControl/>
                    <w:suppressLineNumbers w:val="0"/>
                    <w:jc w:val="center"/>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项目投资金额</w:t>
                  </w:r>
                </w:p>
              </w:tc>
              <w:tc>
                <w:tcPr>
                  <w:tcW w:w="1376" w:type="pct"/>
                  <w:vMerge w:val="restart"/>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keepNext w:val="0"/>
                    <w:keepLines w:val="0"/>
                    <w:widowControl/>
                    <w:suppressLineNumbers w:val="0"/>
                    <w:jc w:val="center"/>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募集资金使用金额</w:t>
                  </w:r>
                </w:p>
              </w:tc>
            </w:tr>
            <w:tr>
              <w:trPr>
                <w:trHeight w:val="497" w:hRule="atLeast"/>
              </w:trPr>
              <w:tc>
                <w:tcPr>
                  <w:tcW w:w="359" w:type="pct"/>
                  <w:vMerge w:val="continue"/>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jc w:val="center"/>
                    <w:rPr>
                      <w:rFonts w:hint="eastAsia" w:ascii="方正楷体_GBK" w:hAnsi="方正楷体_GBK" w:eastAsia="方正楷体_GBK" w:cs="方正楷体_GBK"/>
                      <w:color w:val="393939"/>
                      <w:sz w:val="20"/>
                      <w:szCs w:val="20"/>
                    </w:rPr>
                  </w:pPr>
                </w:p>
              </w:tc>
              <w:tc>
                <w:tcPr>
                  <w:tcW w:w="2226" w:type="pct"/>
                  <w:vMerge w:val="continue"/>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jc w:val="center"/>
                    <w:rPr>
                      <w:rFonts w:hint="eastAsia" w:ascii="方正楷体_GBK" w:hAnsi="方正楷体_GBK" w:eastAsia="方正楷体_GBK" w:cs="方正楷体_GBK"/>
                      <w:color w:val="393939"/>
                      <w:sz w:val="20"/>
                      <w:szCs w:val="20"/>
                    </w:rPr>
                  </w:pPr>
                </w:p>
              </w:tc>
              <w:tc>
                <w:tcPr>
                  <w:tcW w:w="1038" w:type="pct"/>
                  <w:vMerge w:val="continue"/>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jc w:val="center"/>
                    <w:rPr>
                      <w:rFonts w:hint="eastAsia" w:ascii="方正楷体_GBK" w:hAnsi="方正楷体_GBK" w:eastAsia="方正楷体_GBK" w:cs="方正楷体_GBK"/>
                      <w:color w:val="393939"/>
                      <w:sz w:val="20"/>
                      <w:szCs w:val="20"/>
                    </w:rPr>
                  </w:pPr>
                </w:p>
              </w:tc>
              <w:tc>
                <w:tcPr>
                  <w:tcW w:w="1376" w:type="pct"/>
                  <w:vMerge w:val="continue"/>
                  <w:tcBorders>
                    <w:top w:val="single" w:color="A7A7A7" w:sz="8" w:space="0"/>
                    <w:left w:val="single" w:color="A7A7A7" w:sz="8" w:space="0"/>
                    <w:bottom w:val="single" w:color="A7A7A7" w:sz="8" w:space="0"/>
                    <w:right w:val="single" w:color="A7A7A7" w:sz="8" w:space="0"/>
                  </w:tcBorders>
                  <w:shd w:val="clear" w:color="auto" w:fill="C00000"/>
                  <w:noWrap w:val="0"/>
                  <w:vAlign w:val="center"/>
                </w:tcPr>
                <w:p>
                  <w:pPr>
                    <w:jc w:val="center"/>
                    <w:rPr>
                      <w:rFonts w:hint="eastAsia" w:ascii="方正楷体_GBK" w:hAnsi="方正楷体_GBK" w:eastAsia="方正楷体_GBK" w:cs="方正楷体_GBK"/>
                      <w:color w:val="393939"/>
                      <w:sz w:val="20"/>
                      <w:szCs w:val="20"/>
                    </w:rPr>
                  </w:pPr>
                </w:p>
              </w:tc>
            </w:tr>
            <w:tr>
              <w:trPr>
                <w:trHeight w:val="644" w:hRule="atLeast"/>
              </w:trPr>
              <w:tc>
                <w:tcPr>
                  <w:tcW w:w="359" w:type="pct"/>
                  <w:tcBorders>
                    <w:top w:val="single" w:color="A7A7A7" w:sz="8" w:space="0"/>
                    <w:left w:val="single" w:color="A7A7A7" w:sz="8" w:space="0"/>
                    <w:bottom w:val="single" w:color="A7A7A7" w:sz="8" w:space="0"/>
                    <w:right w:val="single" w:color="A7A7A7" w:sz="8" w:space="0"/>
                  </w:tcBorders>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1</w:t>
                  </w:r>
                </w:p>
              </w:tc>
              <w:tc>
                <w:tcPr>
                  <w:tcW w:w="2226" w:type="pct"/>
                  <w:tcBorders>
                    <w:top w:val="single" w:color="A7A7A7" w:sz="8" w:space="0"/>
                    <w:left w:val="single" w:color="A7A7A7" w:sz="8" w:space="0"/>
                    <w:bottom w:val="single" w:color="A7A7A7" w:sz="8" w:space="0"/>
                    <w:right w:val="single" w:color="A7A7A7" w:sz="8" w:space="0"/>
                  </w:tcBorders>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智慧交通与智能驾驶研发及产业化项目</w:t>
                  </w:r>
                </w:p>
              </w:tc>
              <w:tc>
                <w:tcPr>
                  <w:tcW w:w="1038" w:type="pct"/>
                  <w:tcBorders>
                    <w:top w:val="single" w:color="A7A7A7" w:sz="8" w:space="0"/>
                    <w:left w:val="single" w:color="A7A7A7" w:sz="8" w:space="0"/>
                    <w:bottom w:val="single" w:color="A7A7A7" w:sz="8" w:space="0"/>
                    <w:right w:val="single" w:color="A7A7A7" w:sz="8" w:space="0"/>
                  </w:tcBorders>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67,332.56</w:t>
                  </w:r>
                </w:p>
              </w:tc>
              <w:tc>
                <w:tcPr>
                  <w:tcW w:w="1376" w:type="pct"/>
                  <w:tcBorders>
                    <w:top w:val="single" w:color="A7A7A7" w:sz="8" w:space="0"/>
                    <w:left w:val="single" w:color="A7A7A7" w:sz="8" w:space="0"/>
                    <w:bottom w:val="single" w:color="A7A7A7" w:sz="8" w:space="0"/>
                    <w:right w:val="single" w:color="A7A7A7" w:sz="8" w:space="0"/>
                  </w:tcBorders>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66,124.31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3" w:hRule="atLeast"/>
              </w:trPr>
              <w:tc>
                <w:tcPr>
                  <w:tcW w:w="359"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2</w:t>
                  </w:r>
                </w:p>
              </w:tc>
              <w:tc>
                <w:tcPr>
                  <w:tcW w:w="2226"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补充流动资金</w:t>
                  </w:r>
                </w:p>
              </w:tc>
              <w:tc>
                <w:tcPr>
                  <w:tcW w:w="1038"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10,000.00</w:t>
                  </w:r>
                </w:p>
              </w:tc>
              <w:tc>
                <w:tcPr>
                  <w:tcW w:w="1376"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b w:val="0"/>
                      <w:i w:val="0"/>
                      <w:color w:val="000000"/>
                      <w:kern w:val="0"/>
                      <w:sz w:val="20"/>
                      <w:szCs w:val="20"/>
                      <w:u w:val="none"/>
                      <w:lang w:val="en-US" w:eastAsia="zh-CN" w:bidi="ar"/>
                    </w:rPr>
                  </w:pPr>
                  <w:r>
                    <w:rPr>
                      <w:rFonts w:hint="default" w:ascii="方正楷体_GBK" w:hAnsi="方正楷体_GBK" w:eastAsia="方正楷体_GBK" w:cs="方正楷体_GBK"/>
                      <w:b w:val="0"/>
                      <w:i w:val="0"/>
                      <w:color w:val="000000"/>
                      <w:kern w:val="0"/>
                      <w:sz w:val="20"/>
                      <w:szCs w:val="20"/>
                      <w:u w:val="none"/>
                      <w:lang w:val="en-US" w:eastAsia="zh-CN" w:bidi="ar"/>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0" w:hRule="atLeast"/>
              </w:trPr>
              <w:tc>
                <w:tcPr>
                  <w:tcW w:w="2585" w:type="pct"/>
                  <w:gridSpan w:val="2"/>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color w:val="393939"/>
                      <w:sz w:val="20"/>
                      <w:szCs w:val="20"/>
                    </w:rPr>
                  </w:pPr>
                  <w:r>
                    <w:rPr>
                      <w:rFonts w:hint="eastAsia" w:ascii="方正楷体_GBK" w:hAnsi="方正楷体_GBK" w:eastAsia="方正楷体_GBK" w:cs="方正楷体_GBK"/>
                      <w:b w:val="0"/>
                      <w:i w:val="0"/>
                      <w:color w:val="000000"/>
                      <w:kern w:val="0"/>
                      <w:sz w:val="20"/>
                      <w:szCs w:val="20"/>
                      <w:u w:val="none"/>
                      <w:lang w:val="en-US" w:eastAsia="zh-CN" w:bidi="ar"/>
                    </w:rPr>
                    <w:t>合 计</w:t>
                  </w:r>
                </w:p>
              </w:tc>
              <w:tc>
                <w:tcPr>
                  <w:tcW w:w="1038"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color w:val="393939"/>
                      <w:sz w:val="20"/>
                      <w:szCs w:val="20"/>
                    </w:rPr>
                  </w:pPr>
                  <w:r>
                    <w:rPr>
                      <w:rFonts w:hint="default" w:ascii="方正楷体_GBK" w:hAnsi="方正楷体_GBK" w:eastAsia="方正楷体_GBK" w:cs="方正楷体_GBK"/>
                      <w:b w:val="0"/>
                      <w:i w:val="0"/>
                      <w:color w:val="000000"/>
                      <w:kern w:val="0"/>
                      <w:sz w:val="20"/>
                      <w:szCs w:val="20"/>
                      <w:u w:val="none"/>
                      <w:lang w:eastAsia="zh-CN" w:bidi="ar"/>
                    </w:rPr>
                    <w:t>7</w:t>
                  </w:r>
                  <w:r>
                    <w:rPr>
                      <w:rFonts w:hint="default" w:ascii="方正楷体_GBK" w:hAnsi="方正楷体_GBK" w:eastAsia="方正楷体_GBK" w:cs="方正楷体_GBK"/>
                      <w:b w:val="0"/>
                      <w:i w:val="0"/>
                      <w:color w:val="000000"/>
                      <w:kern w:val="0"/>
                      <w:sz w:val="20"/>
                      <w:szCs w:val="20"/>
                      <w:u w:val="none"/>
                      <w:lang w:val="en-US" w:eastAsia="zh-CN" w:bidi="ar"/>
                    </w:rPr>
                    <w:t>7,332.56</w:t>
                  </w:r>
                </w:p>
              </w:tc>
              <w:tc>
                <w:tcPr>
                  <w:tcW w:w="1376" w:type="pct"/>
                  <w:tcBorders>
                    <w:top w:val="single" w:color="A7A7A7" w:sz="8" w:space="0"/>
                    <w:left w:val="single" w:color="A7A7A7" w:sz="8" w:space="0"/>
                    <w:bottom w:val="single" w:color="A7A7A7" w:sz="8" w:space="0"/>
                    <w:right w:val="single" w:color="A7A7A7" w:sz="8" w:space="0"/>
                  </w:tcBorders>
                  <w:shd w:val="clear" w:color="auto" w:fill="F4B084"/>
                  <w:noWrap w:val="0"/>
                  <w:vAlign w:val="center"/>
                </w:tcPr>
                <w:p>
                  <w:pPr>
                    <w:keepNext w:val="0"/>
                    <w:keepLines w:val="0"/>
                    <w:widowControl/>
                    <w:suppressLineNumbers w:val="0"/>
                    <w:spacing w:before="0" w:beforeAutospacing="0" w:after="0" w:afterAutospacing="0" w:line="440" w:lineRule="atLeast"/>
                    <w:ind w:left="0" w:leftChars="0" w:right="0" w:rightChars="0" w:firstLine="0" w:firstLineChars="0"/>
                    <w:jc w:val="left"/>
                    <w:rPr>
                      <w:rFonts w:hint="eastAsia" w:ascii="方正楷体_GBK" w:hAnsi="方正楷体_GBK" w:eastAsia="方正楷体_GBK" w:cs="方正楷体_GBK"/>
                      <w:color w:val="393939"/>
                      <w:sz w:val="20"/>
                      <w:szCs w:val="20"/>
                    </w:rPr>
                  </w:pPr>
                  <w:r>
                    <w:rPr>
                      <w:rFonts w:hint="default" w:ascii="方正楷体_GBK" w:hAnsi="方正楷体_GBK" w:eastAsia="方正楷体_GBK" w:cs="方正楷体_GBK"/>
                      <w:b w:val="0"/>
                      <w:i w:val="0"/>
                      <w:color w:val="000000"/>
                      <w:kern w:val="0"/>
                      <w:sz w:val="20"/>
                      <w:szCs w:val="20"/>
                      <w:u w:val="none"/>
                      <w:lang w:eastAsia="zh-CN" w:bidi="ar"/>
                    </w:rPr>
                    <w:t>7</w:t>
                  </w:r>
                  <w:r>
                    <w:rPr>
                      <w:rFonts w:hint="default" w:ascii="方正楷体_GBK" w:hAnsi="方正楷体_GBK" w:eastAsia="方正楷体_GBK" w:cs="方正楷体_GBK"/>
                      <w:b w:val="0"/>
                      <w:i w:val="0"/>
                      <w:color w:val="000000"/>
                      <w:kern w:val="0"/>
                      <w:sz w:val="20"/>
                      <w:szCs w:val="20"/>
                      <w:u w:val="none"/>
                      <w:lang w:val="en-US" w:eastAsia="zh-CN" w:bidi="ar"/>
                    </w:rPr>
                    <w:t>6,124.31</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来源：公司公告整理</w:t>
            </w:r>
            <w:r>
              <w:rPr>
                <w:rFonts w:hint="eastAsia" w:eastAsia="楷体" w:cs="Arial"/>
                <w:color w:val="000000"/>
                <w:sz w:val="15"/>
              </w:rPr>
              <w:t>，</w:t>
            </w:r>
            <w:r>
              <w:rPr>
                <w:rFonts w:eastAsia="楷体" w:cs="Arial"/>
                <w:color w:val="000000"/>
                <w:sz w:val="15"/>
              </w:rPr>
              <w:t>中泰证券研究所</w:t>
            </w:r>
          </w:p>
        </w:tc>
      </w:tr>
    </w:tbl>
    <w:p>
      <w:pPr>
        <w:rPr>
          <w:rFonts w:hint="eastAsia" w:eastAsia="楷体" w:cs="Arial"/>
          <w:b w:val="0"/>
          <w:bCs w:val="0"/>
          <w:color w:val="000000"/>
          <w:szCs w:val="21"/>
        </w:rPr>
      </w:pPr>
    </w:p>
    <w:p>
      <w:pPr>
        <w:pStyle w:val="35"/>
        <w:ind w:firstLine="103" w:firstLineChars="49"/>
        <w:rPr>
          <w:rFonts w:hint="eastAsia" w:eastAsia="楷体" w:cs="Arial"/>
          <w:b w:val="0"/>
          <w:bCs w:val="0"/>
          <w:color w:val="000000"/>
          <w:szCs w:val="21"/>
        </w:rPr>
      </w:pPr>
      <w:bookmarkStart w:id="84" w:name="_Toc195463276"/>
      <w:r>
        <w:rPr>
          <w:rFonts w:hint="eastAsia" w:eastAsia="楷体" w:cs="Arial"/>
          <w:color w:val="000000"/>
        </w:rPr>
        <w:t>募集资金项目目的及与主营业务关系</w:t>
      </w:r>
      <w:bookmarkEnd w:id="84"/>
    </w:p>
    <w:p>
      <w:pPr>
        <w:ind w:left="3081" w:leftChars="1467" w:firstLine="601" w:firstLineChars="286"/>
        <w:rPr>
          <w:rFonts w:hint="eastAsia" w:eastAsia="楷体" w:cs="Arial"/>
          <w:b/>
          <w:bCs/>
          <w:color w:val="000000"/>
          <w:szCs w:val="21"/>
          <w:u w:val="none"/>
        </w:rPr>
      </w:pPr>
      <w:r>
        <w:rPr>
          <w:rFonts w:hint="eastAsia" w:eastAsia="楷体" w:cs="Arial"/>
          <w:b/>
          <w:bCs/>
          <w:color w:val="000000"/>
          <w:szCs w:val="21"/>
          <w:u w:val="none"/>
        </w:rPr>
        <w:t>发行目的：</w:t>
      </w:r>
      <w:r>
        <w:rPr>
          <w:rFonts w:hint="default" w:eastAsia="楷体" w:cs="Arial"/>
          <w:b/>
          <w:bCs/>
          <w:color w:val="000000"/>
          <w:szCs w:val="21"/>
          <w:u w:val="none"/>
        </w:rPr>
        <w:t>优化产品结构、抢占智慧交通先发优势</w:t>
      </w:r>
      <w:r>
        <w:rPr>
          <w:rFonts w:hint="eastAsia" w:eastAsia="楷体" w:cs="Arial"/>
          <w:b/>
          <w:bCs/>
          <w:color w:val="000000"/>
          <w:szCs w:val="21"/>
          <w:u w:val="none"/>
        </w:rPr>
        <w:t>。</w:t>
      </w:r>
    </w:p>
    <w:p>
      <w:pPr>
        <w:ind w:left="3081" w:leftChars="1467" w:firstLine="600" w:firstLineChars="286"/>
        <w:rPr>
          <w:rFonts w:hint="eastAsia" w:eastAsia="楷体" w:cs="Arial"/>
          <w:b w:val="0"/>
          <w:bCs w:val="0"/>
          <w:color w:val="000000"/>
          <w:szCs w:val="21"/>
        </w:rPr>
      </w:pPr>
      <w:r>
        <w:rPr>
          <w:rFonts w:hint="eastAsia" w:eastAsia="楷体" w:cs="Arial"/>
          <w:b w:val="0"/>
          <w:bCs w:val="0"/>
          <w:color w:val="000000"/>
          <w:szCs w:val="21"/>
        </w:rPr>
        <w:t>智能网联汽车（车联网）是汽车、电子、信息通信、道路交通运输等行业深度融合的新型产业，可以实现智能交通管理、智能动态信息服务和车辆智能化控制的一体化服务，是国家战略发展方向，也是全球创新热点和世界各国之间未来发展竞争的制高点。作为车联网产业的关键技术，无线通讯技术具有广泛的应用场景，未来将具有广阔的市场发展空间。</w:t>
      </w:r>
    </w:p>
    <w:p>
      <w:pPr>
        <w:ind w:left="3081" w:leftChars="1467" w:firstLine="600" w:firstLineChars="286"/>
        <w:rPr>
          <w:rFonts w:hint="eastAsia" w:eastAsia="楷体" w:cs="Arial"/>
          <w:b/>
          <w:bCs/>
          <w:color w:val="000000"/>
          <w:szCs w:val="21"/>
        </w:rPr>
      </w:pPr>
      <w:r>
        <w:rPr>
          <w:rFonts w:hint="eastAsia" w:eastAsia="楷体" w:cs="Arial"/>
          <w:b w:val="0"/>
          <w:bCs w:val="0"/>
          <w:color w:val="000000"/>
          <w:szCs w:val="21"/>
        </w:rPr>
        <w:t>自成立以来，公司凭借雄厚的研发实力和对下游市场需求的敏锐判断，完成了无线通讯芯片</w:t>
      </w:r>
      <w:r>
        <w:rPr>
          <w:rFonts w:hint="default" w:eastAsia="楷体" w:cs="Arial"/>
          <w:b w:val="0"/>
          <w:bCs w:val="0"/>
          <w:color w:val="000000"/>
          <w:szCs w:val="21"/>
        </w:rPr>
        <w:t>对多个下游场景的覆盖。</w:t>
      </w:r>
      <w:r>
        <w:rPr>
          <w:rFonts w:hint="eastAsia" w:eastAsia="楷体" w:cs="Arial"/>
          <w:b w:val="0"/>
          <w:bCs w:val="0"/>
          <w:color w:val="000000"/>
          <w:szCs w:val="21"/>
        </w:rPr>
        <w:t>公司本次</w:t>
      </w:r>
      <w:r>
        <w:rPr>
          <w:rFonts w:hint="default" w:eastAsia="楷体" w:cs="Arial"/>
          <w:b w:val="0"/>
          <w:bCs w:val="0"/>
          <w:color w:val="000000"/>
          <w:szCs w:val="21"/>
        </w:rPr>
        <w:t>非公开发行</w:t>
      </w:r>
      <w:r>
        <w:rPr>
          <w:rFonts w:hint="eastAsia" w:eastAsia="楷体" w:cs="Arial"/>
          <w:b w:val="0"/>
          <w:bCs w:val="0"/>
          <w:color w:val="000000"/>
          <w:szCs w:val="21"/>
        </w:rPr>
        <w:t>聚焦无线通讯芯片在智慧交通、智能驾驶领域的应用和布局，旨在基于现有技术积累和市场资源的基础上，抓住市场发展机遇，通过产品种类的拓展与丰富，推动公司业务的快速发展。</w:t>
      </w:r>
      <w:r>
        <w:rPr>
          <w:rFonts w:hint="eastAsia" w:eastAsia="楷体" w:cs="Arial"/>
          <w:b/>
          <w:bCs/>
          <w:color w:val="000000"/>
          <w:szCs w:val="21"/>
        </w:rPr>
        <w:t>本次非公开发行将有助于公司及时把握智能网联汽车快速发展的历史性机遇，抢先实现车规级芯片的国产化，打破国际品牌的技术和市场垄断，建立技术和资金壁垒，进一步提升公司的核心竞争力。</w:t>
      </w:r>
    </w:p>
    <w:p>
      <w:pPr>
        <w:ind w:left="3081" w:leftChars="1467" w:firstLine="601" w:firstLineChars="286"/>
        <w:rPr>
          <w:rFonts w:hint="eastAsia" w:eastAsia="楷体" w:cs="Arial"/>
          <w:b/>
          <w:bCs/>
          <w:color w:val="000000"/>
          <w:szCs w:val="21"/>
        </w:rPr>
      </w:pPr>
    </w:p>
    <w:p>
      <w:pPr>
        <w:ind w:left="3081" w:leftChars="1467" w:firstLine="601" w:firstLineChars="286"/>
        <w:rPr>
          <w:rFonts w:hint="eastAsia" w:eastAsia="楷体" w:cs="Arial"/>
          <w:b/>
          <w:bCs/>
          <w:color w:val="000000"/>
          <w:szCs w:val="21"/>
        </w:rPr>
      </w:pPr>
      <w:r>
        <w:rPr>
          <w:rFonts w:hint="eastAsia" w:eastAsia="楷体" w:cs="Arial"/>
          <w:b/>
          <w:bCs/>
          <w:color w:val="000000"/>
          <w:szCs w:val="21"/>
        </w:rPr>
        <w:t>智慧交通与智能驾驶研发及产业化项目：</w:t>
      </w:r>
    </w:p>
    <w:p>
      <w:pPr>
        <w:ind w:left="3081" w:leftChars="1467" w:firstLine="600" w:firstLineChars="286"/>
        <w:rPr>
          <w:rFonts w:hint="eastAsia" w:eastAsia="楷体" w:cs="Arial"/>
          <w:b w:val="0"/>
          <w:bCs w:val="0"/>
          <w:color w:val="000000"/>
          <w:szCs w:val="21"/>
        </w:rPr>
      </w:pPr>
      <w:r>
        <w:rPr>
          <w:rFonts w:hint="eastAsia" w:eastAsia="楷体" w:cs="Arial"/>
          <w:b w:val="0"/>
          <w:bCs w:val="0"/>
          <w:color w:val="000000"/>
          <w:szCs w:val="21"/>
        </w:rPr>
        <w:t>本项目是在公司现有无线通信产品技术布局的基础上，加快推进在智慧交通、智能驾驶领域的业务布局，开展实现</w:t>
      </w:r>
      <w:r>
        <w:rPr>
          <w:rFonts w:hint="eastAsia" w:eastAsia="楷体" w:cs="Arial"/>
          <w:b/>
          <w:bCs/>
          <w:color w:val="000000"/>
          <w:szCs w:val="21"/>
        </w:rPr>
        <w:t>车路协同的ETC前装芯片、车规级高精度全球定位芯片</w:t>
      </w:r>
      <w:r>
        <w:rPr>
          <w:rFonts w:hint="eastAsia" w:eastAsia="楷体" w:cs="Arial"/>
          <w:b w:val="0"/>
          <w:bCs w:val="0"/>
          <w:color w:val="000000"/>
          <w:szCs w:val="21"/>
        </w:rPr>
        <w:t>和</w:t>
      </w:r>
      <w:r>
        <w:rPr>
          <w:rFonts w:hint="eastAsia" w:eastAsia="楷体" w:cs="Arial"/>
          <w:b/>
          <w:bCs/>
          <w:color w:val="000000"/>
          <w:szCs w:val="21"/>
        </w:rPr>
        <w:t>毫米波雷达芯片</w:t>
      </w:r>
      <w:r>
        <w:rPr>
          <w:rFonts w:hint="eastAsia" w:eastAsia="楷体" w:cs="Arial"/>
          <w:b w:val="0"/>
          <w:bCs w:val="0"/>
          <w:color w:val="000000"/>
          <w:szCs w:val="21"/>
        </w:rPr>
        <w:t>整体解决方案的研发。</w:t>
      </w:r>
    </w:p>
    <w:p>
      <w:pPr>
        <w:ind w:left="3081" w:leftChars="1467" w:firstLine="601" w:firstLineChars="286"/>
        <w:rPr>
          <w:rFonts w:hint="default" w:eastAsia="楷体" w:cs="Arial"/>
          <w:b/>
          <w:bCs/>
          <w:color w:val="000000"/>
          <w:szCs w:val="21"/>
        </w:rPr>
      </w:pPr>
    </w:p>
    <w:p>
      <w:pPr>
        <w:ind w:left="3081" w:leftChars="1467" w:firstLine="601" w:firstLineChars="286"/>
        <w:rPr>
          <w:rFonts w:hint="default" w:eastAsia="楷体" w:cs="Arial"/>
          <w:b w:val="0"/>
          <w:bCs w:val="0"/>
          <w:color w:val="000000"/>
          <w:szCs w:val="21"/>
        </w:rPr>
      </w:pPr>
      <w:r>
        <w:rPr>
          <w:rFonts w:hint="default" w:eastAsia="楷体" w:cs="Arial"/>
          <w:b/>
          <w:bCs/>
          <w:color w:val="000000"/>
          <w:szCs w:val="21"/>
        </w:rPr>
        <w:t>ETC前装芯片</w:t>
      </w:r>
      <w:r>
        <w:rPr>
          <w:rFonts w:hint="default" w:eastAsia="楷体" w:cs="Arial"/>
          <w:b w:val="0"/>
          <w:bCs w:val="0"/>
          <w:color w:val="000000"/>
          <w:szCs w:val="21"/>
        </w:rPr>
        <w:t>：在传统的ETC后装应用领域，电池供电的续航问题制约了ETC使用频次和应用功能的拓展。本项目通过基于ETC前装芯片研发，满足汽车前装安全性、稳定性；实现更多的功能整合，推动车路协同的功能应用，从而进一步提升公司ETC产品的技术领先性和市场竞争力。</w:t>
      </w:r>
    </w:p>
    <w:p>
      <w:pPr>
        <w:ind w:left="3081" w:leftChars="1467" w:firstLine="601" w:firstLineChars="286"/>
        <w:rPr>
          <w:rFonts w:hint="eastAsia" w:eastAsia="楷体" w:cs="Arial"/>
          <w:b/>
          <w:bCs/>
          <w:color w:val="000000"/>
          <w:szCs w:val="21"/>
        </w:rPr>
      </w:pPr>
    </w:p>
    <w:p>
      <w:pPr>
        <w:ind w:left="3081" w:leftChars="1467" w:firstLine="601" w:firstLineChars="286"/>
        <w:rPr>
          <w:rFonts w:hint="eastAsia" w:eastAsia="楷体" w:cs="Arial"/>
          <w:b w:val="0"/>
          <w:bCs w:val="0"/>
          <w:color w:val="000000"/>
          <w:szCs w:val="21"/>
        </w:rPr>
      </w:pPr>
      <w:r>
        <w:rPr>
          <w:rFonts w:hint="eastAsia" w:eastAsia="楷体" w:cs="Arial"/>
          <w:b/>
          <w:bCs/>
          <w:color w:val="000000"/>
          <w:szCs w:val="21"/>
        </w:rPr>
        <w:t>车规级高精度全球定位芯片</w:t>
      </w:r>
      <w:r>
        <w:rPr>
          <w:rFonts w:hint="default" w:eastAsia="楷体" w:cs="Arial"/>
          <w:b/>
          <w:bCs/>
          <w:color w:val="000000"/>
          <w:szCs w:val="21"/>
        </w:rPr>
        <w:t>：</w:t>
      </w:r>
      <w:r>
        <w:rPr>
          <w:rFonts w:hint="eastAsia" w:eastAsia="楷体" w:cs="Arial"/>
          <w:b w:val="0"/>
          <w:bCs w:val="0"/>
          <w:color w:val="000000"/>
          <w:szCs w:val="21"/>
        </w:rPr>
        <w:t>公司</w:t>
      </w:r>
      <w:r>
        <w:rPr>
          <w:rFonts w:hint="default" w:eastAsia="楷体" w:cs="Arial"/>
          <w:b w:val="0"/>
          <w:bCs w:val="0"/>
          <w:color w:val="000000"/>
          <w:szCs w:val="21"/>
        </w:rPr>
        <w:t>在</w:t>
      </w:r>
      <w:r>
        <w:rPr>
          <w:rFonts w:hint="eastAsia" w:eastAsia="楷体" w:cs="Arial"/>
          <w:b w:val="0"/>
          <w:bCs w:val="0"/>
          <w:color w:val="000000"/>
          <w:szCs w:val="21"/>
        </w:rPr>
        <w:t>现有卫星定位产品的基础上进行升级研发，目前公司卫星定位产品可支持GPS/北斗/GLONASS三模接收，且已成熟应用于消费级和工业级领域。本项目拟开发的车规级高精度全球定位芯片，不仅能够有效满足智能驾驶厘米级高精度定位的要求，还将针对北斗通信协议的发展进行产品升级，以更好地实现对GPS/北斗/GLONASS卫星定位系统的支持。</w:t>
      </w:r>
    </w:p>
    <w:p>
      <w:pPr>
        <w:ind w:left="3081" w:leftChars="1467" w:firstLine="601" w:firstLineChars="286"/>
        <w:rPr>
          <w:rFonts w:hint="eastAsia" w:eastAsia="楷体" w:cs="Arial"/>
          <w:b w:val="0"/>
          <w:bCs w:val="0"/>
          <w:color w:val="000000"/>
          <w:szCs w:val="21"/>
        </w:rPr>
      </w:pPr>
      <w:r>
        <w:rPr>
          <w:rFonts w:hint="eastAsia" w:eastAsia="楷体" w:cs="Arial"/>
          <w:b/>
          <w:bCs/>
          <w:color w:val="000000"/>
          <w:szCs w:val="21"/>
        </w:rPr>
        <w:t>毫米波雷达芯片</w:t>
      </w:r>
      <w:r>
        <w:rPr>
          <w:rFonts w:hint="default" w:eastAsia="楷体" w:cs="Arial"/>
          <w:b/>
          <w:bCs/>
          <w:color w:val="000000"/>
          <w:szCs w:val="21"/>
        </w:rPr>
        <w:t>：</w:t>
      </w:r>
      <w:r>
        <w:rPr>
          <w:rFonts w:hint="eastAsia" w:eastAsia="楷体" w:cs="Arial"/>
          <w:b w:val="0"/>
          <w:bCs w:val="0"/>
          <w:color w:val="000000"/>
          <w:szCs w:val="21"/>
        </w:rPr>
        <w:t>公司</w:t>
      </w:r>
      <w:r>
        <w:rPr>
          <w:rFonts w:hint="default" w:eastAsia="楷体" w:cs="Arial"/>
          <w:b w:val="0"/>
          <w:bCs w:val="0"/>
          <w:color w:val="000000"/>
          <w:szCs w:val="21"/>
        </w:rPr>
        <w:t>在</w:t>
      </w:r>
      <w:r>
        <w:rPr>
          <w:rFonts w:hint="eastAsia" w:eastAsia="楷体" w:cs="Arial"/>
          <w:b w:val="0"/>
          <w:bCs w:val="0"/>
          <w:color w:val="000000"/>
          <w:szCs w:val="21"/>
        </w:rPr>
        <w:t>现有高频产品研发经验和技术基础上开展的新产品研发</w:t>
      </w:r>
      <w:r>
        <w:rPr>
          <w:rFonts w:hint="default" w:eastAsia="楷体" w:cs="Arial"/>
          <w:b w:val="0"/>
          <w:bCs w:val="0"/>
          <w:color w:val="000000"/>
          <w:szCs w:val="21"/>
        </w:rPr>
        <w:t>。</w:t>
      </w:r>
      <w:r>
        <w:rPr>
          <w:rFonts w:hint="eastAsia" w:eastAsia="楷体" w:cs="Arial"/>
          <w:b w:val="0"/>
          <w:bCs w:val="0"/>
          <w:color w:val="000000"/>
          <w:szCs w:val="21"/>
        </w:rPr>
        <w:t>目前市场主流使用的车载毫米波雷达按照频段主要分为24GHz和77GHz两种，目前，以博世、大陆、Hella和德尔福为代表的国外一级供应商垄断了绝大多数的市场份额，国内公司目前主要量产的是24GHz产品。未来77GHz频段凭借高距离分辨率和测距精度，以及高的速度分辨率和精度等优势在汽车领域将替代24GHz成为主流。公司通过77GHz毫米波雷达芯片整体解决方案的研发，将抓住国内智能汽车快速发展的机遇，进一步建立公司在智能汽车领域的市场地位，推动公司业务的持续快速发展。</w:t>
      </w:r>
    </w:p>
    <w:p>
      <w:pPr>
        <w:ind w:left="3081" w:leftChars="1467" w:firstLine="600" w:firstLineChars="286"/>
        <w:rPr>
          <w:rFonts w:hint="eastAsia" w:eastAsia="楷体" w:cs="Arial"/>
          <w:b w:val="0"/>
          <w:bCs w:val="0"/>
          <w:color w:val="000000"/>
          <w:szCs w:val="21"/>
        </w:rPr>
      </w:pPr>
    </w:p>
    <w:p>
      <w:pPr>
        <w:ind w:left="3081" w:leftChars="1467" w:firstLine="600" w:firstLineChars="286"/>
        <w:rPr>
          <w:rFonts w:hint="eastAsia" w:eastAsia="楷体" w:cs="Arial"/>
          <w:b w:val="0"/>
          <w:bCs w:val="0"/>
          <w:color w:val="000000"/>
          <w:szCs w:val="21"/>
        </w:rPr>
      </w:pPr>
      <w:r>
        <w:rPr>
          <w:rFonts w:hint="eastAsia" w:eastAsia="楷体" w:cs="Arial"/>
          <w:b w:val="0"/>
          <w:bCs w:val="0"/>
          <w:color w:val="000000"/>
          <w:szCs w:val="21"/>
        </w:rPr>
        <w:t>此外，随着5G的到来和物联网的快速发展，计算能力的建设正在步入“边云协同”时代，</w:t>
      </w:r>
      <w:r>
        <w:rPr>
          <w:rFonts w:hint="eastAsia" w:eastAsia="楷体" w:cs="Arial"/>
          <w:b/>
          <w:bCs/>
          <w:color w:val="000000"/>
          <w:szCs w:val="21"/>
        </w:rPr>
        <w:t>本项目涵盖了新一代人工智能芯片的研发</w:t>
      </w:r>
      <w:r>
        <w:rPr>
          <w:rFonts w:hint="eastAsia" w:eastAsia="楷体" w:cs="Arial"/>
          <w:b w:val="0"/>
          <w:bCs w:val="0"/>
          <w:color w:val="000000"/>
          <w:szCs w:val="21"/>
        </w:rPr>
        <w:t>，基于边缘计算方案，为智慧交通、智能驾驶应用场景提供高效的硬件算力支持。相关产品涉及智能驾驶及车规应用，本项目将进行持续研发投入，购置研发设备，建设实测基地，保障产品研发的顺利实施。</w:t>
      </w:r>
    </w:p>
    <w:p>
      <w:pPr>
        <w:ind w:left="3081" w:leftChars="1467" w:firstLine="600" w:firstLineChars="286"/>
        <w:rPr>
          <w:rFonts w:hint="eastAsia" w:eastAsia="楷体" w:cs="Arial"/>
          <w:b w:val="0"/>
          <w:bCs w:val="0"/>
          <w:color w:val="000000"/>
          <w:szCs w:val="21"/>
        </w:rPr>
      </w:pPr>
    </w:p>
    <w:p>
      <w:pPr>
        <w:ind w:left="3081" w:leftChars="1467" w:firstLine="600" w:firstLineChars="286"/>
        <w:rPr>
          <w:rFonts w:hint="eastAsia" w:eastAsia="楷体" w:cs="Arial"/>
          <w:b w:val="0"/>
          <w:bCs w:val="0"/>
          <w:color w:val="000000"/>
          <w:szCs w:val="21"/>
        </w:rPr>
      </w:pPr>
    </w:p>
    <w:p>
      <w:pPr>
        <w:ind w:left="3081" w:leftChars="1467" w:firstLine="600" w:firstLineChars="286"/>
        <w:rPr>
          <w:rFonts w:hint="eastAsia" w:eastAsia="楷体" w:cs="Arial"/>
          <w:b w:val="0"/>
          <w:bCs w:val="0"/>
          <w:color w:val="000000"/>
          <w:szCs w:val="21"/>
        </w:rPr>
      </w:pPr>
    </w:p>
    <w:p>
      <w:pPr>
        <w:tabs>
          <w:tab w:val="right" w:leader="dot" w:pos="12424"/>
        </w:tabs>
        <w:ind w:left="3058" w:leftChars="1300" w:hanging="328" w:hangingChars="117"/>
        <w:jc w:val="left"/>
        <w:outlineLvl w:val="0"/>
        <w:rPr>
          <w:rFonts w:eastAsia="楷体" w:cs="Arial"/>
          <w:b/>
          <w:bCs/>
          <w:color w:val="000000"/>
          <w:sz w:val="28"/>
          <w:szCs w:val="32"/>
          <w:lang w:val="en-US"/>
        </w:rPr>
      </w:pPr>
      <w:bookmarkStart w:id="85" w:name="_Toc1648783469"/>
      <w:r>
        <w:rPr>
          <w:rFonts w:hint="default" w:eastAsia="楷体" w:cs="Arial"/>
          <w:b/>
          <w:bCs/>
          <w:color w:val="000000"/>
          <w:sz w:val="28"/>
          <w:szCs w:val="32"/>
        </w:rPr>
        <w:t>公司盈利预测</w:t>
      </w:r>
      <w:bookmarkEnd w:id="85"/>
    </w:p>
    <w:p>
      <w:pPr>
        <w:pStyle w:val="35"/>
        <w:ind w:firstLine="103" w:firstLineChars="49"/>
        <w:rPr>
          <w:rFonts w:hint="eastAsia" w:eastAsia="楷体" w:cs="Arial"/>
          <w:color w:val="000000"/>
        </w:rPr>
      </w:pPr>
      <w:bookmarkStart w:id="86" w:name="_Toc2122266242"/>
      <w:r>
        <w:rPr>
          <w:rFonts w:hint="default" w:eastAsia="楷体" w:cs="Arial"/>
          <w:color w:val="000000"/>
        </w:rPr>
        <w:t>公司营收拆分</w:t>
      </w:r>
      <w:bookmarkEnd w:id="86"/>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jc w:val="lef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41</w:t>
            </w:r>
            <w:r>
              <w:rPr>
                <w:rFonts w:eastAsia="楷体" w:cs="Arial"/>
                <w:b/>
                <w:bCs/>
                <w:i/>
                <w:color w:val="000000"/>
              </w:rPr>
              <w:fldChar w:fldCharType="end"/>
            </w:r>
            <w:bookmarkStart w:id="87" w:name="_Toc1862917360"/>
            <w:r>
              <w:rPr>
                <w:rFonts w:eastAsia="楷体" w:cs="Arial"/>
                <w:b/>
                <w:bCs/>
                <w:i/>
                <w:color w:val="000000"/>
              </w:rPr>
              <w:t xml:space="preserve"> 公司营收预测拆分</w:t>
            </w:r>
            <w:bookmarkEnd w:id="87"/>
          </w:p>
          <w:p>
            <w:pPr>
              <w:jc w:val="left"/>
              <w:rPr>
                <w:rFonts w:hint="eastAsia" w:eastAsia="楷体" w:cs="Arial"/>
                <w:b/>
                <w:bCs/>
                <w:i/>
                <w:color w:val="000000"/>
              </w:rPr>
            </w:pPr>
            <w:r>
              <w:rPr>
                <w:rFonts w:eastAsia="楷体" w:cs="Arial"/>
                <w:b/>
                <w:bCs/>
                <w:i/>
                <w:color w:val="000000"/>
              </w:rPr>
              <w:t>图表19：</w:t>
            </w:r>
            <w:r>
              <w:rPr>
                <w:rFonts w:hint="eastAsia" w:eastAsia="楷体" w:cs="Arial"/>
                <w:b/>
                <w:bCs/>
                <w:i/>
                <w:color w:val="000000"/>
              </w:rPr>
              <w:t>智能音箱</w:t>
            </w:r>
          </w:p>
          <w:p>
            <w:pPr>
              <w:keepNext/>
              <w:widowControl/>
              <w:tabs>
                <w:tab w:val="right" w:leader="dot" w:pos="8644"/>
                <w:tab w:val="right" w:leader="dot" w:pos="10649"/>
              </w:tabs>
              <w:suppressAutoHyphens/>
              <w:kinsoku w:val="0"/>
              <w:spacing w:after="40" w:line="240" w:lineRule="exact"/>
              <w:jc w:val="center"/>
              <w:rPr>
                <w:rFonts w:hint="eastAsia" w:eastAsia="楷体" w:cs="Arial"/>
                <w:b/>
                <w:bCs/>
                <w:i/>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1817" w:hRule="atLeast"/>
        </w:trPr>
        <w:tc>
          <w:tcPr>
            <w:tcW w:w="10881" w:type="dxa"/>
            <w:tcBorders>
              <w:top w:val="single" w:color="C00000" w:sz="8" w:space="0"/>
              <w:left w:val="nil"/>
            </w:tcBorders>
            <w:noWrap w:val="0"/>
            <w:vAlign w:val="top"/>
          </w:tcPr>
          <w:tbl>
            <w:tblPr>
              <w:tblStyle w:val="22"/>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441"/>
              <w:gridCol w:w="1524"/>
              <w:gridCol w:w="1602"/>
              <w:gridCol w:w="1524"/>
              <w:gridCol w:w="1524"/>
              <w:gridCol w:w="1524"/>
              <w:gridCol w:w="15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top w:val="single" w:color="A7A7A7" w:sz="12" w:space="0"/>
                    <w:left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项目</w:t>
                  </w:r>
                </w:p>
              </w:tc>
              <w:tc>
                <w:tcPr>
                  <w:tcW w:w="714"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b/>
                      <w:i w:val="0"/>
                      <w:color w:val="FFFFFF"/>
                      <w:sz w:val="20"/>
                      <w:szCs w:val="20"/>
                      <w:u w:val="none"/>
                    </w:rPr>
                  </w:pPr>
                </w:p>
              </w:tc>
              <w:tc>
                <w:tcPr>
                  <w:tcW w:w="751"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2018</w:t>
                  </w:r>
                </w:p>
              </w:tc>
              <w:tc>
                <w:tcPr>
                  <w:tcW w:w="714"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2019</w:t>
                  </w:r>
                </w:p>
              </w:tc>
              <w:tc>
                <w:tcPr>
                  <w:tcW w:w="714"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2020E</w:t>
                  </w:r>
                </w:p>
              </w:tc>
              <w:tc>
                <w:tcPr>
                  <w:tcW w:w="714"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2021E</w:t>
                  </w:r>
                </w:p>
              </w:tc>
              <w:tc>
                <w:tcPr>
                  <w:tcW w:w="714" w:type="pct"/>
                  <w:tcBorders>
                    <w:top w:val="single" w:color="A7A7A7" w:sz="12" w:space="0"/>
                    <w:bottom w:val="single" w:color="A7A7A7" w:sz="12" w:space="0"/>
                    <w:right w:val="single" w:color="A7A7A7" w:sz="12"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2022E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无线通讯</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营收</w:t>
                  </w:r>
                </w:p>
              </w:tc>
              <w:tc>
                <w:tcPr>
                  <w:tcW w:w="751"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22236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87323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47000</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74000</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92000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增长率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293%</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-46%</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57%</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40%</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40%</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33%</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38%</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营收所占比例</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41%</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74%</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59%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59%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8916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34825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15510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28120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36800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无线音频</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营收</w:t>
                  </w:r>
                </w:p>
              </w:tc>
              <w:tc>
                <w:tcPr>
                  <w:tcW w:w="751"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32377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30139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33000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52000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67600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增长率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1%</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-7%</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58%</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39%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26%</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21%</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26%</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营收所占比例</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59%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26%</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41%</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41%</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12549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7758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6930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13520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393939"/>
                      <w:sz w:val="20"/>
                      <w:szCs w:val="20"/>
                      <w:u w:val="none"/>
                    </w:rPr>
                  </w:pPr>
                  <w:r>
                    <w:rPr>
                      <w:rFonts w:hint="eastAsia" w:ascii="方正楷体_GBK" w:hAnsi="方正楷体_GBK" w:eastAsia="方正楷体_GBK" w:cs="方正楷体_GBK"/>
                      <w:i w:val="0"/>
                      <w:color w:val="393939"/>
                      <w:kern w:val="0"/>
                      <w:sz w:val="20"/>
                      <w:szCs w:val="20"/>
                      <w:u w:val="none"/>
                      <w:lang w:val="en-US" w:eastAsia="zh-CN" w:bidi="ar"/>
                    </w:rPr>
                    <w:t xml:space="preserve">20956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总和</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营收</w:t>
                  </w:r>
                </w:p>
              </w:tc>
              <w:tc>
                <w:tcPr>
                  <w:tcW w:w="751"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54612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117462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80000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126000 </w:t>
                  </w:r>
                </w:p>
              </w:tc>
              <w:tc>
                <w:tcPr>
                  <w:tcW w:w="714" w:type="pct"/>
                  <w:tcBorders>
                    <w:bottom w:val="single" w:color="A7A7A7" w:sz="12" w:space="0"/>
                    <w:right w:val="single" w:color="A7A7A7" w:sz="12" w:space="0"/>
                  </w:tcBorders>
                  <w:shd w:val="clear" w:color="auto" w:fill="F4B084"/>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159600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增长率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-7%</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115%</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-32%</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58%</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21466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42582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22440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41640 </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57756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676" w:type="pct"/>
                  <w:tcBorders>
                    <w:left w:val="single" w:color="A7A7A7" w:sz="12" w:space="0"/>
                    <w:bottom w:val="single" w:color="A7A7A7" w:sz="12" w:space="0"/>
                    <w:right w:val="single" w:color="A7A7A7" w:sz="12" w:space="0"/>
                  </w:tcBorders>
                  <w:noWrap w:val="0"/>
                  <w:vAlign w:val="center"/>
                </w:tcPr>
                <w:p>
                  <w:pPr>
                    <w:keepNext w:val="0"/>
                    <w:keepLines w:val="0"/>
                    <w:pageBreakBefore w:val="0"/>
                    <w:widowControl/>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outlineLvl w:val="9"/>
                    <w:rPr>
                      <w:rFonts w:hint="eastAsia" w:ascii="方正楷体_GBK" w:hAnsi="方正楷体_GBK" w:eastAsia="方正楷体_GBK" w:cs="方正楷体_GBK"/>
                      <w:i w:val="0"/>
                      <w:color w:val="393939"/>
                      <w:sz w:val="20"/>
                      <w:szCs w:val="20"/>
                      <w:u w:val="none"/>
                    </w:rPr>
                  </w:pP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毛利率</w:t>
                  </w:r>
                </w:p>
              </w:tc>
              <w:tc>
                <w:tcPr>
                  <w:tcW w:w="751"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39%</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36%</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28%</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33%</w:t>
                  </w:r>
                </w:p>
              </w:tc>
              <w:tc>
                <w:tcPr>
                  <w:tcW w:w="714" w:type="pct"/>
                  <w:tcBorders>
                    <w:bottom w:val="single" w:color="A7A7A7" w:sz="12" w:space="0"/>
                    <w:right w:val="single" w:color="A7A7A7" w:sz="12"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36%</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来源：Wind, 中泰证券研究所</w:t>
            </w:r>
          </w:p>
        </w:tc>
      </w:tr>
    </w:tbl>
    <w:p>
      <w:pPr>
        <w:ind w:left="3685" w:leftChars="1755"/>
        <w:rPr>
          <w:rFonts w:eastAsia="楷体" w:cs="Arial"/>
          <w:b/>
          <w:bCs/>
          <w:color w:val="000000"/>
          <w:szCs w:val="21"/>
        </w:rPr>
      </w:pPr>
    </w:p>
    <w:p>
      <w:pPr>
        <w:pStyle w:val="35"/>
        <w:ind w:firstLine="103" w:firstLineChars="49"/>
        <w:rPr>
          <w:rFonts w:hint="default" w:eastAsia="楷体" w:cs="Arial"/>
          <w:color w:val="000000"/>
        </w:rPr>
      </w:pPr>
      <w:bookmarkStart w:id="88" w:name="_Toc1372836271"/>
      <w:r>
        <w:rPr>
          <w:rFonts w:hint="default" w:eastAsia="楷体" w:cs="Arial"/>
          <w:color w:val="000000"/>
        </w:rPr>
        <w:t>盈利预测</w:t>
      </w:r>
      <w:bookmarkEnd w:id="88"/>
    </w:p>
    <w:p>
      <w:pPr>
        <w:ind w:left="3685" w:leftChars="1755"/>
        <w:rPr>
          <w:rFonts w:hint="eastAsia" w:eastAsia="楷体" w:cs="Arial"/>
          <w:b w:val="0"/>
          <w:bCs w:val="0"/>
          <w:color w:val="000000"/>
          <w:szCs w:val="21"/>
        </w:rPr>
      </w:pPr>
      <w:r>
        <w:rPr>
          <w:rFonts w:hint="eastAsia" w:eastAsia="楷体" w:cs="Arial"/>
          <w:b w:val="0"/>
          <w:bCs w:val="0"/>
          <w:color w:val="000000"/>
          <w:szCs w:val="21"/>
        </w:rPr>
        <w:t>我们预计公司 2020-2022年的营业收入分别为</w:t>
      </w:r>
      <w:r>
        <w:rPr>
          <w:rFonts w:hint="default" w:eastAsia="楷体" w:cs="Arial"/>
          <w:b w:val="0"/>
          <w:bCs w:val="0"/>
          <w:color w:val="000000"/>
          <w:szCs w:val="21"/>
        </w:rPr>
        <w:t>8</w:t>
      </w:r>
      <w:r>
        <w:rPr>
          <w:rFonts w:hint="eastAsia" w:eastAsia="楷体" w:cs="Arial"/>
          <w:b w:val="0"/>
          <w:bCs w:val="0"/>
          <w:color w:val="000000"/>
          <w:szCs w:val="21"/>
        </w:rPr>
        <w:t>.0、</w:t>
      </w:r>
      <w:r>
        <w:rPr>
          <w:rFonts w:hint="default" w:eastAsia="楷体" w:cs="Arial"/>
          <w:b w:val="0"/>
          <w:bCs w:val="0"/>
          <w:color w:val="000000"/>
          <w:szCs w:val="21"/>
        </w:rPr>
        <w:t>12.6</w:t>
      </w:r>
      <w:r>
        <w:rPr>
          <w:rFonts w:hint="eastAsia" w:eastAsia="楷体" w:cs="Arial"/>
          <w:b w:val="0"/>
          <w:bCs w:val="0"/>
          <w:color w:val="000000"/>
          <w:szCs w:val="21"/>
        </w:rPr>
        <w:t>、</w:t>
      </w:r>
      <w:r>
        <w:rPr>
          <w:rFonts w:hint="default" w:eastAsia="楷体" w:cs="Arial"/>
          <w:b w:val="0"/>
          <w:bCs w:val="0"/>
          <w:color w:val="000000"/>
          <w:szCs w:val="21"/>
        </w:rPr>
        <w:t>15.9</w:t>
      </w:r>
      <w:r>
        <w:rPr>
          <w:rFonts w:hint="eastAsia" w:eastAsia="楷体" w:cs="Arial"/>
          <w:b w:val="0"/>
          <w:bCs w:val="0"/>
          <w:color w:val="000000"/>
          <w:szCs w:val="21"/>
        </w:rPr>
        <w:t xml:space="preserve"> 亿元，同比增速分别为 </w:t>
      </w:r>
      <w:r>
        <w:rPr>
          <w:rFonts w:hint="default" w:eastAsia="楷体" w:cs="Arial"/>
          <w:b w:val="0"/>
          <w:bCs w:val="0"/>
          <w:color w:val="000000"/>
          <w:szCs w:val="21"/>
        </w:rPr>
        <w:t>-32</w:t>
      </w:r>
      <w:r>
        <w:rPr>
          <w:rFonts w:hint="eastAsia" w:eastAsia="楷体" w:cs="Arial"/>
          <w:b w:val="0"/>
          <w:bCs w:val="0"/>
          <w:color w:val="000000"/>
          <w:szCs w:val="21"/>
        </w:rPr>
        <w:t>%、</w:t>
      </w:r>
      <w:r>
        <w:rPr>
          <w:rFonts w:hint="default" w:eastAsia="楷体" w:cs="Arial"/>
          <w:b w:val="0"/>
          <w:bCs w:val="0"/>
          <w:color w:val="000000"/>
          <w:szCs w:val="21"/>
        </w:rPr>
        <w:t>58</w:t>
      </w:r>
      <w:r>
        <w:rPr>
          <w:rFonts w:hint="eastAsia" w:eastAsia="楷体" w:cs="Arial"/>
          <w:b w:val="0"/>
          <w:bCs w:val="0"/>
          <w:color w:val="000000"/>
          <w:szCs w:val="21"/>
        </w:rPr>
        <w:t>%、</w:t>
      </w:r>
      <w:r>
        <w:rPr>
          <w:rFonts w:hint="default" w:eastAsia="楷体" w:cs="Arial"/>
          <w:b w:val="0"/>
          <w:bCs w:val="0"/>
          <w:color w:val="000000"/>
          <w:szCs w:val="21"/>
        </w:rPr>
        <w:t>27</w:t>
      </w:r>
      <w:r>
        <w:rPr>
          <w:rFonts w:hint="eastAsia" w:eastAsia="楷体" w:cs="Arial"/>
          <w:b w:val="0"/>
          <w:bCs w:val="0"/>
          <w:color w:val="000000"/>
          <w:szCs w:val="21"/>
        </w:rPr>
        <w:t>%；2020</w:t>
      </w:r>
      <w:r>
        <w:rPr>
          <w:rFonts w:hint="default" w:eastAsia="楷体" w:cs="Arial"/>
          <w:b w:val="0"/>
          <w:bCs w:val="0"/>
          <w:color w:val="000000"/>
          <w:szCs w:val="21"/>
        </w:rPr>
        <w:t>年的综合毛利率由于公司的战略价格定位、市场开拓和ETC芯片需求量减少，2020年公司综合毛利率预计为28%。2021-</w:t>
      </w:r>
      <w:r>
        <w:rPr>
          <w:rFonts w:hint="eastAsia" w:eastAsia="楷体" w:cs="Arial"/>
          <w:b w:val="0"/>
          <w:bCs w:val="0"/>
          <w:color w:val="000000"/>
          <w:szCs w:val="21"/>
        </w:rPr>
        <w:t>2022年的</w:t>
      </w:r>
      <w:r>
        <w:rPr>
          <w:rFonts w:hint="default" w:eastAsia="楷体" w:cs="Arial"/>
          <w:b w:val="0"/>
          <w:bCs w:val="0"/>
          <w:color w:val="000000"/>
          <w:szCs w:val="21"/>
        </w:rPr>
        <w:t>公司</w:t>
      </w:r>
      <w:r>
        <w:rPr>
          <w:rFonts w:hint="eastAsia" w:eastAsia="楷体" w:cs="Arial"/>
          <w:b w:val="0"/>
          <w:bCs w:val="0"/>
          <w:color w:val="000000"/>
          <w:szCs w:val="21"/>
        </w:rPr>
        <w:t>综合毛利率</w:t>
      </w:r>
      <w:r>
        <w:rPr>
          <w:rFonts w:hint="default" w:eastAsia="楷体" w:cs="Arial"/>
          <w:b w:val="0"/>
          <w:bCs w:val="0"/>
          <w:color w:val="000000"/>
          <w:szCs w:val="21"/>
        </w:rPr>
        <w:t>将</w:t>
      </w:r>
      <w:r>
        <w:rPr>
          <w:rFonts w:hint="eastAsia" w:eastAsia="楷体" w:cs="Arial"/>
          <w:b w:val="0"/>
          <w:bCs w:val="0"/>
          <w:color w:val="000000"/>
          <w:szCs w:val="21"/>
        </w:rPr>
        <w:t>受益于</w:t>
      </w:r>
      <w:r>
        <w:rPr>
          <w:rFonts w:hint="default" w:eastAsia="楷体" w:cs="Arial"/>
          <w:b w:val="0"/>
          <w:bCs w:val="0"/>
          <w:color w:val="000000"/>
          <w:szCs w:val="21"/>
        </w:rPr>
        <w:t>公司中高端TWS SoC芯片BK3288和智能家居带动BK7231系列放量而</w:t>
      </w:r>
      <w:r>
        <w:rPr>
          <w:rFonts w:hint="eastAsia" w:eastAsia="楷体" w:cs="Arial"/>
          <w:b w:val="0"/>
          <w:bCs w:val="0"/>
          <w:color w:val="000000"/>
          <w:szCs w:val="21"/>
        </w:rPr>
        <w:t>有所提高，分别为</w:t>
      </w:r>
      <w:r>
        <w:rPr>
          <w:rFonts w:hint="default" w:eastAsia="楷体" w:cs="Arial"/>
          <w:b w:val="0"/>
          <w:bCs w:val="0"/>
          <w:color w:val="000000"/>
          <w:szCs w:val="21"/>
        </w:rPr>
        <w:t>33%</w:t>
      </w:r>
      <w:r>
        <w:rPr>
          <w:rFonts w:hint="eastAsia" w:eastAsia="楷体" w:cs="Arial"/>
          <w:b w:val="0"/>
          <w:bCs w:val="0"/>
          <w:color w:val="000000"/>
          <w:szCs w:val="21"/>
        </w:rPr>
        <w:t>、</w:t>
      </w:r>
      <w:r>
        <w:rPr>
          <w:rFonts w:hint="default" w:eastAsia="楷体" w:cs="Arial"/>
          <w:b w:val="0"/>
          <w:bCs w:val="0"/>
          <w:color w:val="000000"/>
          <w:szCs w:val="21"/>
        </w:rPr>
        <w:t>36</w:t>
      </w:r>
      <w:r>
        <w:rPr>
          <w:rFonts w:hint="eastAsia" w:eastAsia="楷体" w:cs="Arial"/>
          <w:b w:val="0"/>
          <w:bCs w:val="0"/>
          <w:color w:val="000000"/>
          <w:szCs w:val="21"/>
        </w:rPr>
        <w:t xml:space="preserve">.0%。我们预计公司 2020-2022 年的归母净利润分别为 </w:t>
      </w:r>
      <w:r>
        <w:rPr>
          <w:rFonts w:hint="default" w:eastAsia="楷体" w:cs="Arial"/>
          <w:b w:val="0"/>
          <w:bCs w:val="0"/>
          <w:color w:val="000000"/>
          <w:szCs w:val="21"/>
        </w:rPr>
        <w:t>0.84</w:t>
      </w:r>
      <w:r>
        <w:rPr>
          <w:rFonts w:hint="eastAsia" w:eastAsia="楷体" w:cs="Arial"/>
          <w:b w:val="0"/>
          <w:bCs w:val="0"/>
          <w:color w:val="000000"/>
          <w:szCs w:val="21"/>
        </w:rPr>
        <w:t>、</w:t>
      </w:r>
      <w:r>
        <w:rPr>
          <w:rFonts w:hint="default" w:eastAsia="楷体" w:cs="Arial"/>
          <w:b w:val="0"/>
          <w:bCs w:val="0"/>
          <w:color w:val="000000"/>
          <w:szCs w:val="21"/>
        </w:rPr>
        <w:t>2.44</w:t>
      </w:r>
      <w:r>
        <w:rPr>
          <w:rFonts w:hint="eastAsia" w:eastAsia="楷体" w:cs="Arial"/>
          <w:b w:val="0"/>
          <w:bCs w:val="0"/>
          <w:color w:val="000000"/>
          <w:szCs w:val="21"/>
        </w:rPr>
        <w:t>、</w:t>
      </w:r>
      <w:r>
        <w:rPr>
          <w:rFonts w:hint="default" w:eastAsia="楷体" w:cs="Arial"/>
          <w:b w:val="0"/>
          <w:bCs w:val="0"/>
          <w:color w:val="000000"/>
          <w:szCs w:val="21"/>
        </w:rPr>
        <w:t>3.72</w:t>
      </w:r>
      <w:r>
        <w:rPr>
          <w:rFonts w:hint="eastAsia" w:eastAsia="楷体" w:cs="Arial"/>
          <w:b w:val="0"/>
          <w:bCs w:val="0"/>
          <w:color w:val="000000"/>
          <w:szCs w:val="21"/>
        </w:rPr>
        <w:t xml:space="preserve"> 亿元，同比增速分别为 </w:t>
      </w:r>
      <w:r>
        <w:rPr>
          <w:rFonts w:hint="default" w:eastAsia="楷体" w:cs="Arial"/>
          <w:b w:val="0"/>
          <w:bCs w:val="0"/>
          <w:color w:val="000000"/>
          <w:szCs w:val="21"/>
        </w:rPr>
        <w:t>-67%、190</w:t>
      </w:r>
      <w:r>
        <w:rPr>
          <w:rFonts w:hint="eastAsia" w:eastAsia="楷体" w:cs="Arial"/>
          <w:b w:val="0"/>
          <w:bCs w:val="0"/>
          <w:color w:val="000000"/>
          <w:szCs w:val="21"/>
        </w:rPr>
        <w:t xml:space="preserve">%、 </w:t>
      </w:r>
      <w:r>
        <w:rPr>
          <w:rFonts w:hint="default" w:eastAsia="楷体" w:cs="Arial"/>
          <w:b w:val="0"/>
          <w:bCs w:val="0"/>
          <w:color w:val="000000"/>
          <w:szCs w:val="21"/>
        </w:rPr>
        <w:t>52</w:t>
      </w:r>
      <w:r>
        <w:rPr>
          <w:rFonts w:hint="eastAsia" w:eastAsia="楷体" w:cs="Arial"/>
          <w:b w:val="0"/>
          <w:bCs w:val="0"/>
          <w:color w:val="000000"/>
          <w:szCs w:val="21"/>
        </w:rPr>
        <w:t>%，对应 EPS 分别为</w:t>
      </w:r>
      <w:r>
        <w:rPr>
          <w:rFonts w:hint="default" w:eastAsia="楷体" w:cs="Arial"/>
          <w:b w:val="0"/>
          <w:bCs w:val="0"/>
          <w:color w:val="000000"/>
          <w:szCs w:val="21"/>
        </w:rPr>
        <w:t>0.61</w:t>
      </w:r>
      <w:r>
        <w:rPr>
          <w:rFonts w:hint="eastAsia" w:eastAsia="楷体" w:cs="Arial"/>
          <w:b w:val="0"/>
          <w:bCs w:val="0"/>
          <w:color w:val="000000"/>
          <w:szCs w:val="21"/>
        </w:rPr>
        <w:t>、</w:t>
      </w:r>
      <w:r>
        <w:rPr>
          <w:rFonts w:hint="default" w:eastAsia="楷体" w:cs="Arial"/>
          <w:b w:val="0"/>
          <w:bCs w:val="0"/>
          <w:color w:val="000000"/>
          <w:szCs w:val="21"/>
        </w:rPr>
        <w:t>1.62</w:t>
      </w:r>
      <w:r>
        <w:rPr>
          <w:rFonts w:hint="eastAsia" w:eastAsia="楷体" w:cs="Arial"/>
          <w:b w:val="0"/>
          <w:bCs w:val="0"/>
          <w:color w:val="000000"/>
          <w:szCs w:val="21"/>
        </w:rPr>
        <w:t>、</w:t>
      </w:r>
      <w:r>
        <w:rPr>
          <w:rFonts w:hint="default" w:eastAsia="楷体" w:cs="Arial"/>
          <w:b w:val="0"/>
          <w:bCs w:val="0"/>
          <w:color w:val="000000"/>
          <w:szCs w:val="21"/>
        </w:rPr>
        <w:t>2.47</w:t>
      </w:r>
      <w:r>
        <w:rPr>
          <w:rFonts w:hint="eastAsia" w:eastAsia="楷体" w:cs="Arial"/>
          <w:b w:val="0"/>
          <w:bCs w:val="0"/>
          <w:color w:val="000000"/>
          <w:szCs w:val="21"/>
        </w:rPr>
        <w:t>元。</w:t>
      </w:r>
    </w:p>
    <w:p>
      <w:pPr>
        <w:ind w:left="3685" w:leftChars="1755"/>
        <w:rPr>
          <w:rFonts w:hint="eastAsia" w:eastAsia="楷体" w:cs="Arial"/>
          <w:b w:val="0"/>
          <w:bCs w:val="0"/>
          <w:color w:val="000000"/>
          <w:szCs w:val="21"/>
        </w:rPr>
      </w:pPr>
    </w:p>
    <w:p>
      <w:pPr>
        <w:ind w:left="3685" w:leftChars="1755"/>
        <w:rPr>
          <w:rFonts w:hint="eastAsia" w:eastAsia="楷体" w:cs="Arial"/>
          <w:b w:val="0"/>
          <w:bCs w:val="0"/>
          <w:color w:val="000000"/>
          <w:szCs w:val="21"/>
        </w:rPr>
      </w:pPr>
    </w:p>
    <w:p>
      <w:pPr>
        <w:ind w:left="3685" w:leftChars="1755"/>
        <w:rPr>
          <w:rFonts w:hint="eastAsia" w:eastAsia="楷体" w:cs="Arial"/>
          <w:b w:val="0"/>
          <w:bCs w:val="0"/>
          <w:color w:val="000000"/>
          <w:szCs w:val="21"/>
        </w:rPr>
      </w:pPr>
    </w:p>
    <w:p>
      <w:pPr>
        <w:ind w:left="3685" w:leftChars="1755"/>
        <w:rPr>
          <w:rFonts w:hint="eastAsia" w:eastAsia="楷体" w:cs="Arial"/>
          <w:b w:val="0"/>
          <w:bCs w:val="0"/>
          <w:color w:val="000000"/>
          <w:szCs w:val="21"/>
        </w:rPr>
      </w:pPr>
    </w:p>
    <w:p>
      <w:pPr>
        <w:ind w:left="3685" w:leftChars="1755"/>
        <w:rPr>
          <w:rFonts w:hint="eastAsia" w:eastAsia="楷体" w:cs="Arial"/>
          <w:b w:val="0"/>
          <w:bCs w:val="0"/>
          <w:color w:val="000000"/>
          <w:szCs w:val="21"/>
        </w:rPr>
      </w:pPr>
    </w:p>
    <w:p>
      <w:pPr>
        <w:ind w:left="3685" w:leftChars="1755"/>
        <w:rPr>
          <w:rFonts w:hint="eastAsia" w:eastAsia="楷体" w:cs="Arial"/>
          <w:b w:val="0"/>
          <w:bCs w:val="0"/>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rPr>
          <w:trHeight w:val="297" w:hRule="exact"/>
        </w:trPr>
        <w:tc>
          <w:tcPr>
            <w:tcW w:w="10881" w:type="dxa"/>
            <w:tcBorders>
              <w:top w:val="single" w:color="C00000" w:sz="12" w:space="0"/>
              <w:left w:val="nil"/>
              <w:bottom w:val="single" w:color="C00000" w:sz="8" w:space="0"/>
            </w:tcBorders>
            <w:noWrap w:val="0"/>
            <w:vAlign w:val="bottom"/>
          </w:tcPr>
          <w:p>
            <w:pPr>
              <w:pStyle w:val="8"/>
              <w:keepNext/>
              <w:jc w:val="left"/>
              <w:rPr>
                <w:rFonts w:eastAsia="楷体" w:cs="Arial"/>
                <w:b/>
                <w:bCs/>
                <w:i/>
                <w:color w:val="000000"/>
                <w:lang w:val="en-US"/>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42</w:t>
            </w:r>
            <w:r>
              <w:rPr>
                <w:rFonts w:eastAsia="楷体" w:cs="Arial"/>
                <w:b/>
                <w:bCs/>
                <w:i/>
                <w:color w:val="000000"/>
              </w:rPr>
              <w:fldChar w:fldCharType="end"/>
            </w:r>
            <w:bookmarkStart w:id="89" w:name="_Toc59928877"/>
            <w:r>
              <w:rPr>
                <w:rFonts w:eastAsia="楷体" w:cs="Arial"/>
                <w:b/>
                <w:bCs/>
                <w:i/>
                <w:color w:val="000000"/>
              </w:rPr>
              <w:t xml:space="preserve"> 公司盈利预测</w:t>
            </w:r>
            <w:bookmarkEnd w:id="89"/>
            <w:r>
              <w:rPr>
                <w:rFonts w:eastAsia="楷体" w:cs="Arial"/>
                <w:b/>
                <w:bCs/>
                <w:i/>
                <w:color w:val="000000"/>
              </w:rPr>
              <w:t xml:space="preserve"> （单位：万元）</w:t>
            </w:r>
          </w:p>
          <w:p>
            <w:pPr>
              <w:jc w:val="left"/>
              <w:rPr>
                <w:rFonts w:hint="eastAsia" w:eastAsia="楷体" w:cs="Arial"/>
                <w:b/>
                <w:bCs/>
                <w:i/>
                <w:color w:val="000000"/>
              </w:rPr>
            </w:pPr>
            <w:r>
              <w:rPr>
                <w:rFonts w:eastAsia="楷体" w:cs="Arial"/>
                <w:b/>
                <w:bCs/>
                <w:i/>
                <w:color w:val="000000"/>
              </w:rPr>
              <w:t>图表19：</w:t>
            </w:r>
            <w:r>
              <w:rPr>
                <w:rFonts w:hint="eastAsia" w:eastAsia="楷体" w:cs="Arial"/>
                <w:b/>
                <w:bCs/>
                <w:i/>
                <w:color w:val="000000"/>
              </w:rPr>
              <w:t>智能音箱</w:t>
            </w:r>
          </w:p>
          <w:p>
            <w:pPr>
              <w:keepNext/>
              <w:widowControl/>
              <w:tabs>
                <w:tab w:val="right" w:leader="dot" w:pos="8644"/>
                <w:tab w:val="right" w:leader="dot" w:pos="10649"/>
              </w:tabs>
              <w:suppressAutoHyphens/>
              <w:kinsoku w:val="0"/>
              <w:spacing w:after="40" w:line="240" w:lineRule="exact"/>
              <w:jc w:val="center"/>
              <w:rPr>
                <w:rFonts w:hint="eastAsia" w:eastAsia="楷体" w:cs="Arial"/>
                <w:b/>
                <w:bCs/>
                <w:i/>
                <w:color w:val="000000"/>
              </w:rPr>
            </w:pPr>
          </w:p>
        </w:tc>
      </w:tr>
      <w:tr>
        <w:trPr>
          <w:trHeight w:val="1817" w:hRule="atLeast"/>
        </w:trPr>
        <w:tc>
          <w:tcPr>
            <w:tcW w:w="10881" w:type="dxa"/>
            <w:tcBorders>
              <w:top w:val="single" w:color="C00000" w:sz="8" w:space="0"/>
              <w:left w:val="nil"/>
            </w:tcBorders>
            <w:noWrap w:val="0"/>
            <w:vAlign w:val="top"/>
          </w:tcPr>
          <w:tbl>
            <w:tblPr>
              <w:tblStyle w:val="2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3157"/>
              <w:gridCol w:w="1851"/>
              <w:gridCol w:w="1197"/>
              <w:gridCol w:w="1197"/>
              <w:gridCol w:w="1556"/>
              <w:gridCol w:w="17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利润表</w:t>
                  </w:r>
                </w:p>
              </w:tc>
              <w:tc>
                <w:tcPr>
                  <w:tcW w:w="867"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2018A</w:t>
                  </w:r>
                </w:p>
              </w:tc>
              <w:tc>
                <w:tcPr>
                  <w:tcW w:w="561"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2019A</w:t>
                  </w:r>
                </w:p>
              </w:tc>
              <w:tc>
                <w:tcPr>
                  <w:tcW w:w="561"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2020E</w:t>
                  </w:r>
                </w:p>
              </w:tc>
              <w:tc>
                <w:tcPr>
                  <w:tcW w:w="729"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2021E</w:t>
                  </w:r>
                </w:p>
              </w:tc>
              <w:tc>
                <w:tcPr>
                  <w:tcW w:w="798" w:type="pct"/>
                  <w:tcBorders>
                    <w:top w:val="single" w:color="000000" w:sz="4" w:space="0"/>
                    <w:left w:val="single" w:color="000000" w:sz="4" w:space="0"/>
                    <w:bottom w:val="single" w:color="000000" w:sz="4" w:space="0"/>
                    <w:right w:val="single" w:color="000000" w:sz="4" w:space="0"/>
                  </w:tcBorders>
                  <w:shd w:val="clear" w:color="auto" w:fill="C00000"/>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FFFFFF"/>
                      <w:sz w:val="20"/>
                      <w:szCs w:val="20"/>
                      <w:u w:val="none"/>
                    </w:rPr>
                  </w:pPr>
                  <w:r>
                    <w:rPr>
                      <w:rFonts w:hint="eastAsia" w:ascii="方正楷体_GBK" w:hAnsi="方正楷体_GBK" w:eastAsia="方正楷体_GBK" w:cs="方正楷体_GBK"/>
                      <w:b/>
                      <w:i w:val="0"/>
                      <w:color w:val="FFFFFF"/>
                      <w:kern w:val="0"/>
                      <w:sz w:val="20"/>
                      <w:szCs w:val="20"/>
                      <w:u w:val="none"/>
                      <w:lang w:val="en-US" w:eastAsia="zh-CN" w:bidi="ar"/>
                    </w:rPr>
                    <w:t>2022E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营业总收入</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54612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117462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80000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126000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159600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增速</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115%</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-32%</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44%</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毛利率</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39%</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36%</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28%</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33%</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营业成本</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33146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74880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57560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84360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101844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毛利</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21466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42582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22440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41640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57756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营业税金及附加</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11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21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36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销售费用</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1162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1985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1760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2772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3511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管理费用</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1057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2809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1600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2520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3192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研发费用</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7768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9905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9600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15120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19152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财务费用</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-1250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-682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-300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加：其他收益</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1173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615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300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资产减值损失</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629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-1733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-1200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-300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-300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信用减值损失</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-652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250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250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 公允价值变动收益</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投资收益</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100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902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700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800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900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营业利润</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13360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27672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8894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25758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39219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营业外收支</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-123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利润总额</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13365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27549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8844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25708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39169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所得税费用</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974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2312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442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1285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1958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净利润</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12391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25237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8402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24423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37210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归属于母公司所有者的净利润</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12391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25237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8402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24423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37210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少数股东损益</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股本</w:t>
                  </w:r>
                </w:p>
              </w:tc>
              <w:tc>
                <w:tcPr>
                  <w:tcW w:w="867"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13871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13871 </w:t>
                  </w:r>
                </w:p>
              </w:tc>
              <w:tc>
                <w:tcPr>
                  <w:tcW w:w="561"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13871 </w:t>
                  </w:r>
                </w:p>
              </w:tc>
              <w:tc>
                <w:tcPr>
                  <w:tcW w:w="729"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15042 </w:t>
                  </w:r>
                </w:p>
              </w:tc>
              <w:tc>
                <w:tcPr>
                  <w:tcW w:w="798" w:type="pct"/>
                  <w:tcBorders>
                    <w:top w:val="single" w:color="000000" w:sz="4" w:space="0"/>
                    <w:left w:val="single" w:color="000000" w:sz="4" w:space="0"/>
                    <w:bottom w:val="single" w:color="000000" w:sz="4" w:space="0"/>
                    <w:right w:val="single" w:color="000000" w:sz="4" w:space="0"/>
                  </w:tcBorders>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i w:val="0"/>
                      <w:color w:val="000000"/>
                      <w:sz w:val="20"/>
                      <w:szCs w:val="20"/>
                      <w:u w:val="none"/>
                    </w:rPr>
                  </w:pPr>
                  <w:r>
                    <w:rPr>
                      <w:rFonts w:hint="eastAsia" w:ascii="方正楷体_GBK" w:hAnsi="方正楷体_GBK" w:eastAsia="方正楷体_GBK" w:cs="方正楷体_GBK"/>
                      <w:i w:val="0"/>
                      <w:color w:val="000000"/>
                      <w:kern w:val="0"/>
                      <w:sz w:val="20"/>
                      <w:szCs w:val="20"/>
                      <w:u w:val="none"/>
                      <w:lang w:val="en-US" w:eastAsia="zh-CN" w:bidi="ar"/>
                    </w:rPr>
                    <w:t xml:space="preserve">15042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5" w:hRule="atLeast"/>
              </w:trPr>
              <w:tc>
                <w:tcPr>
                  <w:tcW w:w="147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EPS（元）</w:t>
                  </w:r>
                </w:p>
              </w:tc>
              <w:tc>
                <w:tcPr>
                  <w:tcW w:w="867"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0.89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1.82 </w:t>
                  </w:r>
                </w:p>
              </w:tc>
              <w:tc>
                <w:tcPr>
                  <w:tcW w:w="561"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0.61 </w:t>
                  </w:r>
                </w:p>
              </w:tc>
              <w:tc>
                <w:tcPr>
                  <w:tcW w:w="729"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1.62 </w:t>
                  </w:r>
                </w:p>
              </w:tc>
              <w:tc>
                <w:tcPr>
                  <w:tcW w:w="798" w:type="pct"/>
                  <w:tcBorders>
                    <w:top w:val="single" w:color="000000" w:sz="4" w:space="0"/>
                    <w:left w:val="single" w:color="000000" w:sz="4" w:space="0"/>
                    <w:bottom w:val="single" w:color="000000" w:sz="4" w:space="0"/>
                    <w:right w:val="single" w:color="000000" w:sz="4" w:space="0"/>
                  </w:tcBorders>
                  <w:shd w:val="clear" w:color="auto" w:fill="F8CBAD"/>
                  <w:noWrap w:val="0"/>
                  <w:vAlign w:val="center"/>
                </w:tcPr>
                <w:p>
                  <w:pPr>
                    <w:keepNext w:val="0"/>
                    <w:keepLines w:val="0"/>
                    <w:pageBreakBefore w:val="0"/>
                    <w:widowControl/>
                    <w:suppressLineNumbers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left"/>
                    <w:textAlignment w:val="center"/>
                    <w:outlineLvl w:val="9"/>
                    <w:rPr>
                      <w:rFonts w:hint="eastAsia" w:ascii="方正楷体_GBK" w:hAnsi="方正楷体_GBK" w:eastAsia="方正楷体_GBK" w:cs="方正楷体_GBK"/>
                      <w:b/>
                      <w:i w:val="0"/>
                      <w:color w:val="000000"/>
                      <w:sz w:val="20"/>
                      <w:szCs w:val="20"/>
                      <w:u w:val="none"/>
                    </w:rPr>
                  </w:pPr>
                  <w:r>
                    <w:rPr>
                      <w:rFonts w:hint="eastAsia" w:ascii="方正楷体_GBK" w:hAnsi="方正楷体_GBK" w:eastAsia="方正楷体_GBK" w:cs="方正楷体_GBK"/>
                      <w:b/>
                      <w:i w:val="0"/>
                      <w:color w:val="000000"/>
                      <w:kern w:val="0"/>
                      <w:sz w:val="20"/>
                      <w:szCs w:val="20"/>
                      <w:u w:val="none"/>
                      <w:lang w:val="en-US" w:eastAsia="zh-CN" w:bidi="ar"/>
                    </w:rPr>
                    <w:t xml:space="preserve">2.47 </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来源：Wind, 中泰证券研究所</w:t>
            </w:r>
          </w:p>
        </w:tc>
      </w:tr>
    </w:tbl>
    <w:p>
      <w:pPr>
        <w:rPr>
          <w:rFonts w:eastAsia="楷体" w:cs="Arial"/>
          <w:color w:val="000000"/>
          <w:szCs w:val="21"/>
        </w:rPr>
      </w:pPr>
    </w:p>
    <w:p>
      <w:pPr>
        <w:pStyle w:val="35"/>
        <w:ind w:firstLine="103" w:firstLineChars="49"/>
        <w:rPr>
          <w:rFonts w:hint="default" w:eastAsia="楷体" w:cs="Arial"/>
          <w:color w:val="000000"/>
        </w:rPr>
      </w:pPr>
      <w:bookmarkStart w:id="90" w:name="_Toc694903329"/>
      <w:r>
        <w:rPr>
          <w:rFonts w:hint="default" w:eastAsia="楷体" w:cs="Arial"/>
          <w:color w:val="000000"/>
        </w:rPr>
        <w:t>公司估值比较</w:t>
      </w:r>
      <w:bookmarkEnd w:id="90"/>
    </w:p>
    <w:p>
      <w:pPr>
        <w:ind w:left="3685" w:leftChars="1755"/>
        <w:rPr>
          <w:rFonts w:hint="default" w:eastAsia="楷体" w:cs="Arial"/>
          <w:b w:val="0"/>
          <w:bCs w:val="0"/>
          <w:color w:val="000000"/>
          <w:szCs w:val="21"/>
        </w:rPr>
      </w:pPr>
      <w:r>
        <w:rPr>
          <w:rFonts w:hint="eastAsia" w:eastAsia="楷体" w:cs="Arial"/>
          <w:b w:val="0"/>
          <w:bCs w:val="0"/>
          <w:color w:val="000000"/>
          <w:szCs w:val="21"/>
        </w:rPr>
        <w:t xml:space="preserve">我们预计公司 2020-2022 年的归母净利润分别为 </w:t>
      </w:r>
      <w:r>
        <w:rPr>
          <w:rFonts w:hint="default" w:eastAsia="楷体" w:cs="Arial"/>
          <w:b w:val="0"/>
          <w:bCs w:val="0"/>
          <w:color w:val="000000"/>
          <w:szCs w:val="21"/>
        </w:rPr>
        <w:t>0.84</w:t>
      </w:r>
      <w:r>
        <w:rPr>
          <w:rFonts w:hint="eastAsia" w:eastAsia="楷体" w:cs="Arial"/>
          <w:b w:val="0"/>
          <w:bCs w:val="0"/>
          <w:color w:val="000000"/>
          <w:szCs w:val="21"/>
        </w:rPr>
        <w:t>、</w:t>
      </w:r>
      <w:r>
        <w:rPr>
          <w:rFonts w:hint="default" w:eastAsia="楷体" w:cs="Arial"/>
          <w:b w:val="0"/>
          <w:bCs w:val="0"/>
          <w:color w:val="000000"/>
          <w:szCs w:val="21"/>
        </w:rPr>
        <w:t>2.44</w:t>
      </w:r>
      <w:r>
        <w:rPr>
          <w:rFonts w:hint="eastAsia" w:eastAsia="楷体" w:cs="Arial"/>
          <w:b w:val="0"/>
          <w:bCs w:val="0"/>
          <w:color w:val="000000"/>
          <w:szCs w:val="21"/>
        </w:rPr>
        <w:t>、</w:t>
      </w:r>
      <w:r>
        <w:rPr>
          <w:rFonts w:hint="default" w:eastAsia="楷体" w:cs="Arial"/>
          <w:b w:val="0"/>
          <w:bCs w:val="0"/>
          <w:color w:val="000000"/>
          <w:szCs w:val="21"/>
        </w:rPr>
        <w:t>3.72</w:t>
      </w:r>
      <w:r>
        <w:rPr>
          <w:rFonts w:hint="eastAsia" w:eastAsia="楷体" w:cs="Arial"/>
          <w:b w:val="0"/>
          <w:bCs w:val="0"/>
          <w:color w:val="000000"/>
          <w:szCs w:val="21"/>
        </w:rPr>
        <w:t xml:space="preserve"> 亿元，同比增速分别为 </w:t>
      </w:r>
      <w:r>
        <w:rPr>
          <w:rFonts w:hint="default" w:eastAsia="楷体" w:cs="Arial"/>
          <w:b w:val="0"/>
          <w:bCs w:val="0"/>
          <w:color w:val="000000"/>
          <w:szCs w:val="21"/>
        </w:rPr>
        <w:t>-67%、190</w:t>
      </w:r>
      <w:r>
        <w:rPr>
          <w:rFonts w:hint="eastAsia" w:eastAsia="楷体" w:cs="Arial"/>
          <w:b w:val="0"/>
          <w:bCs w:val="0"/>
          <w:color w:val="000000"/>
          <w:szCs w:val="21"/>
        </w:rPr>
        <w:t xml:space="preserve">%、 </w:t>
      </w:r>
      <w:r>
        <w:rPr>
          <w:rFonts w:hint="default" w:eastAsia="楷体" w:cs="Arial"/>
          <w:b w:val="0"/>
          <w:bCs w:val="0"/>
          <w:color w:val="000000"/>
          <w:szCs w:val="21"/>
        </w:rPr>
        <w:t>52</w:t>
      </w:r>
      <w:r>
        <w:rPr>
          <w:rFonts w:hint="eastAsia" w:eastAsia="楷体" w:cs="Arial"/>
          <w:b w:val="0"/>
          <w:bCs w:val="0"/>
          <w:color w:val="000000"/>
          <w:szCs w:val="21"/>
        </w:rPr>
        <w:t>%，对应 EPS 分别为</w:t>
      </w:r>
      <w:r>
        <w:rPr>
          <w:rFonts w:hint="default" w:eastAsia="楷体" w:cs="Arial"/>
          <w:b w:val="0"/>
          <w:bCs w:val="0"/>
          <w:color w:val="000000"/>
          <w:szCs w:val="21"/>
        </w:rPr>
        <w:t>0.61</w:t>
      </w:r>
      <w:r>
        <w:rPr>
          <w:rFonts w:hint="eastAsia" w:eastAsia="楷体" w:cs="Arial"/>
          <w:b w:val="0"/>
          <w:bCs w:val="0"/>
          <w:color w:val="000000"/>
          <w:szCs w:val="21"/>
        </w:rPr>
        <w:t>、</w:t>
      </w:r>
      <w:r>
        <w:rPr>
          <w:rFonts w:hint="default" w:eastAsia="楷体" w:cs="Arial"/>
          <w:b w:val="0"/>
          <w:bCs w:val="0"/>
          <w:color w:val="000000"/>
          <w:szCs w:val="21"/>
        </w:rPr>
        <w:t>1.62</w:t>
      </w:r>
      <w:r>
        <w:rPr>
          <w:rFonts w:hint="eastAsia" w:eastAsia="楷体" w:cs="Arial"/>
          <w:b w:val="0"/>
          <w:bCs w:val="0"/>
          <w:color w:val="000000"/>
          <w:szCs w:val="21"/>
        </w:rPr>
        <w:t>、</w:t>
      </w:r>
      <w:r>
        <w:rPr>
          <w:rFonts w:hint="default" w:eastAsia="楷体" w:cs="Arial"/>
          <w:b w:val="0"/>
          <w:bCs w:val="0"/>
          <w:color w:val="000000"/>
          <w:szCs w:val="21"/>
        </w:rPr>
        <w:t>2.47</w:t>
      </w:r>
      <w:r>
        <w:rPr>
          <w:rFonts w:hint="eastAsia" w:eastAsia="楷体" w:cs="Arial"/>
          <w:b w:val="0"/>
          <w:bCs w:val="0"/>
          <w:color w:val="000000"/>
          <w:szCs w:val="21"/>
        </w:rPr>
        <w:t>元。</w:t>
      </w:r>
      <w:r>
        <w:rPr>
          <w:rFonts w:hint="default" w:eastAsia="楷体" w:cs="Arial"/>
          <w:b w:val="0"/>
          <w:bCs w:val="0"/>
          <w:color w:val="000000"/>
          <w:szCs w:val="21"/>
        </w:rPr>
        <w:t>当前股价对应PE为128、48、32倍。</w:t>
      </w:r>
    </w:p>
    <w:p>
      <w:pPr>
        <w:ind w:left="3685" w:leftChars="1755"/>
        <w:rPr>
          <w:rFonts w:hint="default" w:eastAsia="楷体" w:cs="Arial"/>
          <w:b w:val="0"/>
          <w:bCs w:val="0"/>
          <w:color w:val="000000"/>
          <w:szCs w:val="21"/>
        </w:rPr>
      </w:pPr>
    </w:p>
    <w:p>
      <w:pPr>
        <w:ind w:left="3685" w:leftChars="1755"/>
        <w:rPr>
          <w:rFonts w:hint="default" w:eastAsia="楷体" w:cs="Arial"/>
          <w:b w:val="0"/>
          <w:bCs w:val="0"/>
          <w:color w:val="000000"/>
          <w:szCs w:val="21"/>
        </w:rPr>
      </w:pPr>
      <w:r>
        <w:rPr>
          <w:rFonts w:hint="default" w:eastAsia="楷体" w:cs="Arial"/>
          <w:b w:val="0"/>
          <w:bCs w:val="0"/>
          <w:color w:val="000000"/>
          <w:szCs w:val="21"/>
        </w:rPr>
        <w:t>鉴于公司目前处于高研发费用和低价格策略开拓市场阶段，我们使用同行业市销率P/S和市盈率P/E比较进行估值，可比公司为专注于Wi-Fi芯片的乐鑫科技、MCU芯片设计销售的中颖电子和信号链和电源管理模拟芯片的圣邦股份进行比较。</w:t>
      </w:r>
    </w:p>
    <w:p>
      <w:pPr>
        <w:ind w:left="3685" w:leftChars="1755"/>
        <w:rPr>
          <w:rFonts w:hint="default" w:eastAsia="楷体" w:cs="Arial"/>
          <w:b w:val="0"/>
          <w:bCs w:val="0"/>
          <w:color w:val="000000"/>
          <w:szCs w:val="21"/>
        </w:rPr>
      </w:pPr>
      <w:r>
        <w:rPr>
          <w:rFonts w:hint="default" w:eastAsia="楷体" w:cs="Arial"/>
          <w:b w:val="0"/>
          <w:bCs w:val="0"/>
          <w:color w:val="000000"/>
          <w:szCs w:val="21"/>
        </w:rPr>
        <w:t>结果表示博通集成对比可比公司处于较为低估的状态，市场尚未意识到博通集成2021年新品发布业绩反转的预期。考虑到公司作为Wi-Fi芯片行业龙头，且未来TWS和智能家居均具有较高的成长属性，我们给予买入评级。</w:t>
      </w:r>
    </w:p>
    <w:p>
      <w:pPr>
        <w:autoSpaceDE w:val="0"/>
        <w:autoSpaceDN w:val="0"/>
        <w:adjustRightInd w:val="0"/>
        <w:ind w:firstLine="420" w:firstLineChars="0"/>
        <w:rPr>
          <w:rFonts w:hint="eastAsia" w:eastAsia="楷体" w:cs="Arial"/>
          <w:b/>
          <w:bCs/>
          <w:color w:val="000000"/>
          <w:szCs w:val="21"/>
        </w:rPr>
      </w:pPr>
    </w:p>
    <w:tbl>
      <w:tblPr>
        <w:tblStyle w:val="22"/>
        <w:tblpPr w:leftFromText="180" w:rightFromText="180" w:vertAnchor="text" w:tblpX="-258" w:tblpY="1"/>
        <w:tblOverlap w:val="never"/>
        <w:tblW w:w="10881" w:type="dxa"/>
        <w:tblInd w:w="0" w:type="dxa"/>
        <w:tblBorders>
          <w:top w:val="none" w:color="auto" w:sz="0" w:space="0"/>
          <w:left w:val="none" w:color="auto" w:sz="0" w:space="0"/>
          <w:bottom w:val="none" w:color="auto" w:sz="0" w:space="0"/>
          <w:right w:val="none" w:color="auto" w:sz="0" w:space="0"/>
          <w:insideH w:val="single" w:color="C00000" w:sz="8" w:space="0"/>
          <w:insideV w:val="single" w:color="C00000" w:sz="8" w:space="0"/>
        </w:tblBorders>
        <w:tblLayout w:type="autofit"/>
        <w:tblCellMar>
          <w:top w:w="0" w:type="dxa"/>
          <w:left w:w="108" w:type="dxa"/>
          <w:bottom w:w="0" w:type="dxa"/>
          <w:right w:w="108" w:type="dxa"/>
        </w:tblCellMar>
      </w:tblPr>
      <w:tblGrid>
        <w:gridCol w:w="10881"/>
      </w:tblGrid>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97" w:hRule="exact"/>
        </w:trPr>
        <w:tc>
          <w:tcPr>
            <w:tcW w:w="10881" w:type="dxa"/>
            <w:tcBorders>
              <w:top w:val="single" w:color="C00000" w:sz="12" w:space="0"/>
              <w:left w:val="nil"/>
              <w:bottom w:val="single" w:color="C00000" w:sz="8" w:space="0"/>
            </w:tcBorders>
            <w:noWrap w:val="0"/>
            <w:vAlign w:val="bottom"/>
          </w:tcPr>
          <w:p>
            <w:pPr>
              <w:pStyle w:val="8"/>
              <w:keepNext/>
              <w:rPr>
                <w:rFonts w:eastAsia="楷体" w:cs="Arial"/>
                <w:b/>
                <w:bCs/>
                <w:i/>
                <w:color w:val="000000"/>
              </w:rPr>
            </w:pPr>
            <w:r>
              <w:rPr>
                <w:rFonts w:eastAsia="楷体" w:cs="Arial"/>
                <w:b/>
                <w:bCs/>
                <w:i/>
                <w:color w:val="000000"/>
              </w:rPr>
              <w:t xml:space="preserve">图表 </w:t>
            </w:r>
            <w:r>
              <w:rPr>
                <w:rFonts w:eastAsia="楷体" w:cs="Arial"/>
                <w:b/>
                <w:bCs/>
                <w:i/>
                <w:color w:val="000000"/>
              </w:rPr>
              <w:fldChar w:fldCharType="begin"/>
            </w:r>
            <w:r>
              <w:rPr>
                <w:rFonts w:eastAsia="楷体" w:cs="Arial"/>
                <w:b/>
                <w:bCs/>
                <w:i/>
                <w:color w:val="000000"/>
              </w:rPr>
              <w:instrText xml:space="preserve"> SEQ 图表 \* ARABIC </w:instrText>
            </w:r>
            <w:r>
              <w:rPr>
                <w:rFonts w:eastAsia="楷体" w:cs="Arial"/>
                <w:b/>
                <w:bCs/>
                <w:i/>
                <w:color w:val="000000"/>
              </w:rPr>
              <w:fldChar w:fldCharType="separate"/>
            </w:r>
            <w:r>
              <w:rPr>
                <w:rFonts w:eastAsia="楷体" w:cs="Arial"/>
                <w:b/>
                <w:bCs/>
                <w:i/>
                <w:color w:val="000000"/>
              </w:rPr>
              <w:t>43</w:t>
            </w:r>
            <w:r>
              <w:rPr>
                <w:rFonts w:eastAsia="楷体" w:cs="Arial"/>
                <w:b/>
                <w:bCs/>
                <w:i/>
                <w:color w:val="000000"/>
              </w:rPr>
              <w:fldChar w:fldCharType="end"/>
            </w:r>
            <w:bookmarkStart w:id="91" w:name="_Toc1989608956"/>
            <w:r>
              <w:rPr>
                <w:rFonts w:eastAsia="楷体" w:cs="Arial"/>
                <w:b/>
                <w:bCs/>
                <w:i/>
                <w:color w:val="000000"/>
              </w:rPr>
              <w:t xml:space="preserve"> 主要可比企业估值</w:t>
            </w:r>
            <w:bookmarkEnd w:id="91"/>
          </w:p>
          <w:p>
            <w:pPr>
              <w:rPr>
                <w:rFonts w:hint="eastAsia" w:eastAsia="楷体" w:cs="Arial"/>
                <w:b/>
                <w:bCs/>
                <w:i/>
                <w:color w:val="000000"/>
              </w:rPr>
            </w:pPr>
            <w:r>
              <w:rPr>
                <w:rFonts w:eastAsia="楷体" w:cs="Arial"/>
                <w:b/>
                <w:bCs/>
                <w:i/>
                <w:color w:val="000000"/>
              </w:rPr>
              <w:t>图表28：Type-C</w:t>
            </w:r>
            <w:r>
              <w:rPr>
                <w:rFonts w:hint="eastAsia" w:eastAsia="楷体" w:cs="Arial"/>
                <w:b/>
                <w:bCs/>
                <w:i/>
                <w:color w:val="000000"/>
              </w:rPr>
              <w:t>音频芯片竞争厂商</w:t>
            </w: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2383" w:hRule="atLeast"/>
        </w:trPr>
        <w:tc>
          <w:tcPr>
            <w:tcW w:w="10881" w:type="dxa"/>
            <w:tcBorders>
              <w:top w:val="single" w:color="C00000" w:sz="8" w:space="0"/>
              <w:left w:val="nil"/>
            </w:tcBorders>
            <w:noWrap w:val="0"/>
            <w:vAlign w:val="top"/>
          </w:tcPr>
          <w:tbl>
            <w:tblPr>
              <w:tblStyle w:val="22"/>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988"/>
              <w:gridCol w:w="962"/>
              <w:gridCol w:w="1043"/>
              <w:gridCol w:w="979"/>
              <w:gridCol w:w="1131"/>
              <w:gridCol w:w="979"/>
              <w:gridCol w:w="979"/>
              <w:gridCol w:w="785"/>
              <w:gridCol w:w="856"/>
              <w:gridCol w:w="977"/>
              <w:gridCol w:w="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5" w:hRule="atLeast"/>
              </w:trPr>
              <w:tc>
                <w:tcPr>
                  <w:tcW w:w="463" w:type="pct"/>
                  <w:shd w:val="clear" w:color="auto" w:fill="C00000"/>
                  <w:noWrap w:val="0"/>
                  <w:vAlign w:val="center"/>
                </w:tcPr>
                <w:p>
                  <w:pPr>
                    <w:keepNext w:val="0"/>
                    <w:keepLines w:val="0"/>
                    <w:widowControl/>
                    <w:suppressLineNumbers w:val="0"/>
                    <w:jc w:val="left"/>
                    <w:textAlignment w:val="center"/>
                    <w:rPr>
                      <w:rFonts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证券代码</w:t>
                  </w:r>
                </w:p>
              </w:tc>
              <w:tc>
                <w:tcPr>
                  <w:tcW w:w="451"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公司简称</w:t>
                  </w:r>
                </w:p>
              </w:tc>
              <w:tc>
                <w:tcPr>
                  <w:tcW w:w="48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总市值（亿元）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2019年总营收（百万元）</w:t>
                  </w:r>
                </w:p>
              </w:tc>
              <w:tc>
                <w:tcPr>
                  <w:tcW w:w="530"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2020年总营收（百万元）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2021年总营收（百万元）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2022年总营收（百万元）</w:t>
                  </w:r>
                </w:p>
              </w:tc>
              <w:tc>
                <w:tcPr>
                  <w:tcW w:w="368"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2019P/S</w:t>
                  </w:r>
                </w:p>
              </w:tc>
              <w:tc>
                <w:tcPr>
                  <w:tcW w:w="401"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2020P/S</w:t>
                  </w:r>
                </w:p>
              </w:tc>
              <w:tc>
                <w:tcPr>
                  <w:tcW w:w="458"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2021P/S</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2022P/S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688018.S</w:t>
                  </w:r>
                  <w:r>
                    <w:rPr>
                      <w:rFonts w:ascii="font-weight : 400" w:hAnsi="font-weight : 400" w:eastAsia="font-weight : 400" w:cs="font-weight : 400"/>
                      <w:i w:val="0"/>
                      <w:color w:val="000000"/>
                      <w:kern w:val="0"/>
                      <w:sz w:val="16"/>
                      <w:szCs w:val="16"/>
                      <w:u w:val="none"/>
                      <w:lang w:val="en-US" w:eastAsia="zh-CN" w:bidi="ar"/>
                    </w:rPr>
                    <w:t>H</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乐鑫科技</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108.49</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757.43</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856.05</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1272.79</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1819.77</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14.3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12.7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8.5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300327.SZ</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中颖电子</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103.62</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834.15</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1019.84</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1289.67</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1644.09</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12.4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10.2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8.0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300661.SZ</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圣邦股份</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527.52</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792.49</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1168.84</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1636.98</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2206.3</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66.6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45.1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32.2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23.9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平均</w:t>
                  </w:r>
                </w:p>
              </w:tc>
              <w:tc>
                <w:tcPr>
                  <w:tcW w:w="451" w:type="pct"/>
                  <w:noWrap w:val="0"/>
                  <w:vAlign w:val="center"/>
                </w:tcPr>
                <w:p>
                  <w:pPr>
                    <w:jc w:val="both"/>
                    <w:rPr>
                      <w:rFonts w:hint="default" w:ascii="Calibri" w:hAnsi="Calibri" w:cs="Calibri"/>
                      <w:i w:val="0"/>
                      <w:color w:val="000000"/>
                      <w:sz w:val="16"/>
                      <w:szCs w:val="16"/>
                      <w:u w:val="none"/>
                    </w:rPr>
                  </w:pP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246.5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794.7 </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1014.9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1399.8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1890.1 </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31.1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22.7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16.3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603068.SH</w:t>
                  </w:r>
                </w:p>
              </w:tc>
              <w:tc>
                <w:tcPr>
                  <w:tcW w:w="451"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博通集成</w:t>
                  </w:r>
                </w:p>
              </w:tc>
              <w:tc>
                <w:tcPr>
                  <w:tcW w:w="489"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117.62</w:t>
                  </w:r>
                </w:p>
              </w:tc>
              <w:tc>
                <w:tcPr>
                  <w:tcW w:w="459"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1174.62</w:t>
                  </w:r>
                </w:p>
              </w:tc>
              <w:tc>
                <w:tcPr>
                  <w:tcW w:w="530"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800</w:t>
                  </w:r>
                </w:p>
              </w:tc>
              <w:tc>
                <w:tcPr>
                  <w:tcW w:w="459"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1260</w:t>
                  </w:r>
                </w:p>
              </w:tc>
              <w:tc>
                <w:tcPr>
                  <w:tcW w:w="459"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1596</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10.0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14.7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9.3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7.4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jc w:val="both"/>
                    <w:rPr>
                      <w:rFonts w:hint="default" w:ascii="Calibri" w:hAnsi="Calibri" w:cs="Calibri"/>
                      <w:i w:val="0"/>
                      <w:color w:val="000000"/>
                      <w:sz w:val="16"/>
                      <w:szCs w:val="16"/>
                      <w:u w:val="none"/>
                    </w:rPr>
                  </w:pPr>
                </w:p>
              </w:tc>
              <w:tc>
                <w:tcPr>
                  <w:tcW w:w="451" w:type="pct"/>
                  <w:noWrap w:val="0"/>
                  <w:vAlign w:val="center"/>
                </w:tcPr>
                <w:p>
                  <w:pPr>
                    <w:jc w:val="both"/>
                    <w:rPr>
                      <w:rFonts w:hint="default" w:ascii="Calibri" w:hAnsi="Calibri" w:cs="Calibri"/>
                      <w:i w:val="0"/>
                      <w:color w:val="000000"/>
                      <w:sz w:val="16"/>
                      <w:szCs w:val="16"/>
                      <w:u w:val="none"/>
                    </w:rPr>
                  </w:pPr>
                </w:p>
              </w:tc>
              <w:tc>
                <w:tcPr>
                  <w:tcW w:w="489" w:type="pct"/>
                  <w:noWrap w:val="0"/>
                  <w:vAlign w:val="center"/>
                </w:tcPr>
                <w:p>
                  <w:pPr>
                    <w:jc w:val="both"/>
                    <w:rPr>
                      <w:rFonts w:hint="default" w:ascii="Calibri" w:hAnsi="Calibri" w:cs="Calibri"/>
                      <w:i w:val="0"/>
                      <w:color w:val="000000"/>
                      <w:sz w:val="16"/>
                      <w:szCs w:val="16"/>
                      <w:u w:val="none"/>
                    </w:rPr>
                  </w:pPr>
                </w:p>
              </w:tc>
              <w:tc>
                <w:tcPr>
                  <w:tcW w:w="459" w:type="pct"/>
                  <w:noWrap w:val="0"/>
                  <w:vAlign w:val="center"/>
                </w:tcPr>
                <w:p>
                  <w:pPr>
                    <w:jc w:val="both"/>
                    <w:rPr>
                      <w:rFonts w:hint="default" w:ascii="Calibri" w:hAnsi="Calibri" w:cs="Calibri"/>
                      <w:i w:val="0"/>
                      <w:color w:val="000000"/>
                      <w:sz w:val="16"/>
                      <w:szCs w:val="16"/>
                      <w:u w:val="none"/>
                    </w:rPr>
                  </w:pPr>
                </w:p>
              </w:tc>
              <w:tc>
                <w:tcPr>
                  <w:tcW w:w="530" w:type="pct"/>
                  <w:noWrap w:val="0"/>
                  <w:vAlign w:val="center"/>
                </w:tcPr>
                <w:p>
                  <w:pPr>
                    <w:jc w:val="both"/>
                    <w:rPr>
                      <w:rFonts w:hint="default" w:ascii="Calibri" w:hAnsi="Calibri" w:cs="Calibri"/>
                      <w:i w:val="0"/>
                      <w:color w:val="000000"/>
                      <w:sz w:val="16"/>
                      <w:szCs w:val="16"/>
                      <w:u w:val="none"/>
                    </w:rPr>
                  </w:pPr>
                </w:p>
              </w:tc>
              <w:tc>
                <w:tcPr>
                  <w:tcW w:w="459" w:type="pct"/>
                  <w:noWrap w:val="0"/>
                  <w:vAlign w:val="center"/>
                </w:tcPr>
                <w:p>
                  <w:pPr>
                    <w:jc w:val="both"/>
                    <w:rPr>
                      <w:rFonts w:hint="default" w:ascii="Calibri" w:hAnsi="Calibri" w:cs="Calibri"/>
                      <w:i w:val="0"/>
                      <w:color w:val="000000"/>
                      <w:sz w:val="16"/>
                      <w:szCs w:val="16"/>
                      <w:u w:val="none"/>
                    </w:rPr>
                  </w:pPr>
                </w:p>
              </w:tc>
              <w:tc>
                <w:tcPr>
                  <w:tcW w:w="459" w:type="pct"/>
                  <w:noWrap w:val="0"/>
                  <w:vAlign w:val="center"/>
                </w:tcPr>
                <w:p>
                  <w:pPr>
                    <w:jc w:val="both"/>
                    <w:rPr>
                      <w:rFonts w:hint="default" w:ascii="Calibri" w:hAnsi="Calibri" w:cs="Calibri"/>
                      <w:i w:val="0"/>
                      <w:color w:val="000000"/>
                      <w:sz w:val="16"/>
                      <w:szCs w:val="16"/>
                      <w:u w:val="none"/>
                    </w:rPr>
                  </w:pPr>
                </w:p>
              </w:tc>
              <w:tc>
                <w:tcPr>
                  <w:tcW w:w="368" w:type="pct"/>
                  <w:noWrap w:val="0"/>
                  <w:vAlign w:val="center"/>
                </w:tcPr>
                <w:p>
                  <w:pPr>
                    <w:jc w:val="both"/>
                    <w:rPr>
                      <w:rFonts w:hint="default" w:ascii="Calibri" w:hAnsi="Calibri" w:cs="Calibri"/>
                      <w:i w:val="0"/>
                      <w:color w:val="000000"/>
                      <w:sz w:val="16"/>
                      <w:szCs w:val="16"/>
                      <w:u w:val="none"/>
                    </w:rPr>
                  </w:pPr>
                </w:p>
              </w:tc>
              <w:tc>
                <w:tcPr>
                  <w:tcW w:w="401" w:type="pct"/>
                  <w:noWrap w:val="0"/>
                  <w:vAlign w:val="center"/>
                </w:tcPr>
                <w:p>
                  <w:pPr>
                    <w:jc w:val="both"/>
                    <w:rPr>
                      <w:rFonts w:hint="default" w:ascii="Calibri" w:hAnsi="Calibri" w:cs="Calibri"/>
                      <w:i w:val="0"/>
                      <w:color w:val="000000"/>
                      <w:sz w:val="16"/>
                      <w:szCs w:val="16"/>
                      <w:u w:val="none"/>
                    </w:rPr>
                  </w:pPr>
                </w:p>
              </w:tc>
              <w:tc>
                <w:tcPr>
                  <w:tcW w:w="458" w:type="pct"/>
                  <w:noWrap w:val="0"/>
                  <w:vAlign w:val="center"/>
                </w:tcPr>
                <w:p>
                  <w:pPr>
                    <w:jc w:val="both"/>
                    <w:rPr>
                      <w:rFonts w:hint="default" w:ascii="Calibri" w:hAnsi="Calibri" w:cs="Calibri"/>
                      <w:i w:val="0"/>
                      <w:color w:val="000000"/>
                      <w:sz w:val="16"/>
                      <w:szCs w:val="16"/>
                      <w:u w:val="none"/>
                    </w:rPr>
                  </w:pPr>
                </w:p>
              </w:tc>
              <w:tc>
                <w:tcPr>
                  <w:tcW w:w="459" w:type="pct"/>
                  <w:noWrap w:val="0"/>
                  <w:vAlign w:val="center"/>
                </w:tcPr>
                <w:p>
                  <w:pPr>
                    <w:jc w:val="both"/>
                    <w:rPr>
                      <w:rFonts w:hint="default" w:ascii="Calibri" w:hAnsi="Calibri" w:cs="Calibri"/>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5" w:hRule="atLeast"/>
              </w:trPr>
              <w:tc>
                <w:tcPr>
                  <w:tcW w:w="463"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证券代码</w:t>
                  </w:r>
                </w:p>
              </w:tc>
              <w:tc>
                <w:tcPr>
                  <w:tcW w:w="451"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公司简称</w:t>
                  </w:r>
                </w:p>
              </w:tc>
              <w:tc>
                <w:tcPr>
                  <w:tcW w:w="48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总市值（亿元）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2019年净利润（百万元）</w:t>
                  </w:r>
                </w:p>
              </w:tc>
              <w:tc>
                <w:tcPr>
                  <w:tcW w:w="530"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2020年净利润（百万元）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2021年净利润（百万元）</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2022年净利润（百万元）</w:t>
                  </w:r>
                </w:p>
              </w:tc>
              <w:tc>
                <w:tcPr>
                  <w:tcW w:w="368"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2019P/E</w:t>
                  </w:r>
                </w:p>
              </w:tc>
              <w:tc>
                <w:tcPr>
                  <w:tcW w:w="401"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2020P/E</w:t>
                  </w:r>
                </w:p>
              </w:tc>
              <w:tc>
                <w:tcPr>
                  <w:tcW w:w="458"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2021P/E</w:t>
                  </w:r>
                </w:p>
              </w:tc>
              <w:tc>
                <w:tcPr>
                  <w:tcW w:w="459" w:type="pct"/>
                  <w:shd w:val="clear" w:color="auto" w:fill="C00000"/>
                  <w:noWrap w:val="0"/>
                  <w:vAlign w:val="center"/>
                </w:tcPr>
                <w:p>
                  <w:pPr>
                    <w:keepNext w:val="0"/>
                    <w:keepLines w:val="0"/>
                    <w:widowControl/>
                    <w:suppressLineNumbers w:val="0"/>
                    <w:jc w:val="left"/>
                    <w:textAlignment w:val="center"/>
                    <w:rPr>
                      <w:rFonts w:hint="eastAsia" w:ascii="方正楷体_GBK" w:hAnsi="方正楷体_GBK" w:eastAsia="方正楷体_GBK" w:cs="方正楷体_GBK"/>
                      <w:b/>
                      <w:i w:val="0"/>
                      <w:color w:val="FFFFFF"/>
                      <w:sz w:val="16"/>
                      <w:szCs w:val="16"/>
                      <w:u w:val="none"/>
                    </w:rPr>
                  </w:pPr>
                  <w:r>
                    <w:rPr>
                      <w:rFonts w:hint="eastAsia" w:ascii="方正楷体_GBK" w:hAnsi="方正楷体_GBK" w:eastAsia="方正楷体_GBK" w:cs="方正楷体_GBK"/>
                      <w:b/>
                      <w:i w:val="0"/>
                      <w:color w:val="FFFFFF"/>
                      <w:kern w:val="0"/>
                      <w:sz w:val="16"/>
                      <w:szCs w:val="16"/>
                      <w:u w:val="none"/>
                      <w:lang w:val="en-US" w:eastAsia="zh-CN" w:bidi="ar"/>
                    </w:rPr>
                    <w:t>2022P/E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688018.S</w:t>
                  </w:r>
                  <w:r>
                    <w:rPr>
                      <w:rFonts w:ascii="font-weight : 400" w:hAnsi="font-weight : 400" w:eastAsia="font-weight : 400" w:cs="font-weight : 400"/>
                      <w:i w:val="0"/>
                      <w:color w:val="000000"/>
                      <w:kern w:val="0"/>
                      <w:sz w:val="16"/>
                      <w:szCs w:val="16"/>
                      <w:u w:val="none"/>
                      <w:lang w:val="en-US" w:eastAsia="zh-CN" w:bidi="ar"/>
                    </w:rPr>
                    <w:t>H</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乐鑫科技</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108.49</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158.51</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156.28</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248.08</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358.64</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68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69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44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300327.SZ</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中颖电子</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103.62</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189.33</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213.19</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281.22</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357.51</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55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49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37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300661.SZ</w:t>
                  </w:r>
                </w:p>
              </w:tc>
              <w:tc>
                <w:tcPr>
                  <w:tcW w:w="45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圣邦股份</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527.52</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176.03</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281.68</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401.89</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545.71</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300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187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131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平均</w:t>
                  </w:r>
                </w:p>
              </w:tc>
              <w:tc>
                <w:tcPr>
                  <w:tcW w:w="451" w:type="pct"/>
                  <w:noWrap w:val="0"/>
                  <w:vAlign w:val="center"/>
                </w:tcPr>
                <w:p>
                  <w:pPr>
                    <w:jc w:val="both"/>
                    <w:rPr>
                      <w:rFonts w:hint="default" w:ascii="Calibri" w:hAnsi="Calibri" w:cs="Calibri"/>
                      <w:i w:val="0"/>
                      <w:color w:val="000000"/>
                      <w:sz w:val="16"/>
                      <w:szCs w:val="16"/>
                      <w:u w:val="none"/>
                    </w:rPr>
                  </w:pP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246.5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174.6 </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217.1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310.4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420.6 </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14</w:t>
                  </w:r>
                  <w:r>
                    <w:rPr>
                      <w:rFonts w:hint="default" w:ascii="Calibri" w:hAnsi="Calibri" w:eastAsia="SimSun" w:cs="Calibri"/>
                      <w:i w:val="0"/>
                      <w:color w:val="000000"/>
                      <w:kern w:val="0"/>
                      <w:sz w:val="16"/>
                      <w:szCs w:val="16"/>
                      <w:u w:val="none"/>
                      <w:lang w:eastAsia="zh-CN" w:bidi="ar"/>
                    </w:rPr>
                    <w:t>1</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10</w:t>
                  </w:r>
                  <w:r>
                    <w:rPr>
                      <w:rFonts w:hint="default" w:ascii="Calibri" w:hAnsi="Calibri" w:eastAsia="SimSun" w:cs="Calibri"/>
                      <w:i w:val="0"/>
                      <w:color w:val="000000"/>
                      <w:kern w:val="0"/>
                      <w:sz w:val="16"/>
                      <w:szCs w:val="16"/>
                      <w:u w:val="none"/>
                      <w:lang w:eastAsia="zh-CN" w:bidi="ar"/>
                    </w:rPr>
                    <w:t>2</w:t>
                  </w:r>
                  <w:r>
                    <w:rPr>
                      <w:rFonts w:hint="default" w:ascii="Calibri" w:hAnsi="Calibri" w:eastAsia="SimSun" w:cs="Calibri"/>
                      <w:i w:val="0"/>
                      <w:color w:val="000000"/>
                      <w:kern w:val="0"/>
                      <w:sz w:val="16"/>
                      <w:szCs w:val="16"/>
                      <w:u w:val="none"/>
                      <w:lang w:val="en-US" w:eastAsia="zh-CN" w:bidi="ar"/>
                    </w:rPr>
                    <w:t xml:space="preserve">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7</w:t>
                  </w:r>
                  <w:r>
                    <w:rPr>
                      <w:rFonts w:hint="default" w:ascii="Calibri" w:hAnsi="Calibri" w:eastAsia="SimSun" w:cs="Calibri"/>
                      <w:i w:val="0"/>
                      <w:color w:val="000000"/>
                      <w:kern w:val="0"/>
                      <w:sz w:val="16"/>
                      <w:szCs w:val="16"/>
                      <w:u w:val="none"/>
                      <w:lang w:eastAsia="zh-CN" w:bidi="ar"/>
                    </w:rPr>
                    <w:t>1</w:t>
                  </w:r>
                  <w:r>
                    <w:rPr>
                      <w:rFonts w:hint="default" w:ascii="Calibri" w:hAnsi="Calibri" w:eastAsia="SimSun" w:cs="Calibri"/>
                      <w:i w:val="0"/>
                      <w:color w:val="000000"/>
                      <w:kern w:val="0"/>
                      <w:sz w:val="16"/>
                      <w:szCs w:val="16"/>
                      <w:u w:val="none"/>
                      <w:lang w:val="en-US" w:eastAsia="zh-CN" w:bidi="ar"/>
                    </w:rPr>
                    <w:t xml:space="preserve">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463"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603068.SH</w:t>
                  </w:r>
                </w:p>
              </w:tc>
              <w:tc>
                <w:tcPr>
                  <w:tcW w:w="451" w:type="pct"/>
                  <w:noWrap w:val="0"/>
                  <w:vAlign w:val="center"/>
                </w:tcPr>
                <w:p>
                  <w:pPr>
                    <w:keepNext w:val="0"/>
                    <w:keepLines w:val="0"/>
                    <w:widowControl/>
                    <w:suppressLineNumbers w:val="0"/>
                    <w:jc w:val="both"/>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博通集成</w:t>
                  </w:r>
                </w:p>
              </w:tc>
              <w:tc>
                <w:tcPr>
                  <w:tcW w:w="48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117.6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252.4 </w:t>
                  </w:r>
                </w:p>
              </w:tc>
              <w:tc>
                <w:tcPr>
                  <w:tcW w:w="530"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84.0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244.2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372.1 </w:t>
                  </w:r>
                </w:p>
              </w:tc>
              <w:tc>
                <w:tcPr>
                  <w:tcW w:w="36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47 </w:t>
                  </w:r>
                </w:p>
              </w:tc>
              <w:tc>
                <w:tcPr>
                  <w:tcW w:w="401"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140 </w:t>
                  </w:r>
                </w:p>
              </w:tc>
              <w:tc>
                <w:tcPr>
                  <w:tcW w:w="458"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48 </w:t>
                  </w:r>
                </w:p>
              </w:tc>
              <w:tc>
                <w:tcPr>
                  <w:tcW w:w="459" w:type="pct"/>
                  <w:noWrap w:val="0"/>
                  <w:vAlign w:val="center"/>
                </w:tcPr>
                <w:p>
                  <w:pPr>
                    <w:keepNext w:val="0"/>
                    <w:keepLines w:val="0"/>
                    <w:widowControl/>
                    <w:suppressLineNumbers w:val="0"/>
                    <w:jc w:val="left"/>
                    <w:textAlignment w:val="center"/>
                    <w:rPr>
                      <w:rFonts w:hint="default" w:ascii="Calibri" w:hAnsi="Calibri" w:cs="Calibri"/>
                      <w:i w:val="0"/>
                      <w:color w:val="000000"/>
                      <w:sz w:val="16"/>
                      <w:szCs w:val="16"/>
                      <w:u w:val="none"/>
                    </w:rPr>
                  </w:pPr>
                  <w:r>
                    <w:rPr>
                      <w:rFonts w:hint="default" w:ascii="Calibri" w:hAnsi="Calibri" w:eastAsia="SimSun" w:cs="Calibri"/>
                      <w:i w:val="0"/>
                      <w:color w:val="000000"/>
                      <w:kern w:val="0"/>
                      <w:sz w:val="16"/>
                      <w:szCs w:val="16"/>
                      <w:u w:val="none"/>
                      <w:lang w:val="en-US" w:eastAsia="zh-CN" w:bidi="ar"/>
                    </w:rPr>
                    <w:t xml:space="preserve">32 </w:t>
                  </w:r>
                </w:p>
              </w:tc>
            </w:tr>
          </w:tbl>
          <w:p>
            <w:pPr>
              <w:jc w:val="center"/>
              <w:rPr>
                <w:rFonts w:eastAsia="楷体" w:cs="Arial"/>
                <w:color w:val="000000"/>
              </w:rPr>
            </w:pPr>
          </w:p>
        </w:tc>
      </w:tr>
      <w:tr>
        <w:tblPrEx>
          <w:tblBorders>
            <w:top w:val="none" w:color="auto" w:sz="0" w:space="0"/>
            <w:left w:val="none" w:color="auto" w:sz="0" w:space="0"/>
            <w:bottom w:val="none" w:color="auto" w:sz="0" w:space="0"/>
            <w:right w:val="none" w:color="auto" w:sz="0" w:space="0"/>
            <w:insideH w:val="single" w:color="C00000" w:sz="8" w:space="0"/>
            <w:insideV w:val="single" w:color="C00000" w:sz="8" w:space="0"/>
          </w:tblBorders>
        </w:tblPrEx>
        <w:trPr>
          <w:trHeight w:val="478" w:hRule="atLeast"/>
        </w:trPr>
        <w:tc>
          <w:tcPr>
            <w:tcW w:w="10881" w:type="dxa"/>
            <w:tcBorders>
              <w:left w:val="nil"/>
            </w:tcBorders>
            <w:noWrap w:val="0"/>
            <w:vAlign w:val="top"/>
          </w:tcPr>
          <w:p>
            <w:pPr>
              <w:tabs>
                <w:tab w:val="right" w:pos="11743"/>
              </w:tabs>
              <w:spacing w:before="40" w:after="160"/>
              <w:jc w:val="left"/>
              <w:rPr>
                <w:rFonts w:eastAsia="楷体" w:cs="Arial"/>
                <w:color w:val="000000"/>
                <w:sz w:val="15"/>
              </w:rPr>
            </w:pPr>
            <w:r>
              <w:rPr>
                <w:rFonts w:eastAsia="楷体" w:cs="Arial"/>
                <w:color w:val="000000"/>
                <w:sz w:val="15"/>
              </w:rPr>
              <w:t>来源</w:t>
            </w:r>
            <w:r>
              <w:rPr>
                <w:rFonts w:hint="eastAsia" w:eastAsia="楷体" w:cs="Arial"/>
                <w:color w:val="000000"/>
                <w:sz w:val="15"/>
              </w:rPr>
              <w:t>：</w:t>
            </w:r>
            <w:r>
              <w:rPr>
                <w:rFonts w:hint="default" w:eastAsia="楷体" w:cs="Arial"/>
                <w:color w:val="000000"/>
                <w:sz w:val="15"/>
              </w:rPr>
              <w:t>WInd</w:t>
            </w:r>
            <w:r>
              <w:rPr>
                <w:rFonts w:hint="eastAsia" w:eastAsia="楷体" w:cs="Arial"/>
                <w:color w:val="000000"/>
                <w:sz w:val="15"/>
              </w:rPr>
              <w:t>，中泰证券研究所</w:t>
            </w:r>
            <w:r>
              <w:rPr>
                <w:rFonts w:hint="default" w:eastAsia="楷体" w:cs="Arial"/>
                <w:color w:val="000000"/>
                <w:sz w:val="15"/>
              </w:rPr>
              <w:t>，净利润预测为WInd一致性预测，总市值取值为2021年1月26日星期二。</w:t>
            </w:r>
          </w:p>
          <w:p>
            <w:pPr>
              <w:autoSpaceDE w:val="0"/>
              <w:autoSpaceDN w:val="0"/>
              <w:adjustRightInd w:val="0"/>
              <w:ind w:left="3679" w:leftChars="1752" w:firstLine="1"/>
              <w:rPr>
                <w:rFonts w:eastAsia="楷体" w:cs="Arial"/>
                <w:color w:val="000000"/>
                <w:szCs w:val="21"/>
              </w:rPr>
            </w:pPr>
          </w:p>
          <w:p>
            <w:pPr>
              <w:tabs>
                <w:tab w:val="right" w:leader="dot" w:pos="12424"/>
              </w:tabs>
              <w:ind w:left="2625" w:leftChars="1250"/>
              <w:jc w:val="left"/>
              <w:outlineLvl w:val="0"/>
              <w:rPr>
                <w:rFonts w:eastAsia="楷体" w:cs="Arial"/>
                <w:b/>
                <w:bCs/>
                <w:color w:val="000000"/>
                <w:sz w:val="28"/>
                <w:szCs w:val="32"/>
              </w:rPr>
            </w:pPr>
            <w:bookmarkStart w:id="92" w:name="_Toc43588375"/>
            <w:bookmarkStart w:id="93" w:name="_Toc1224178117"/>
            <w:r>
              <w:rPr>
                <w:rFonts w:hint="eastAsia" w:eastAsia="楷体" w:cs="Arial"/>
                <w:b/>
                <w:bCs/>
                <w:color w:val="000000"/>
                <w:sz w:val="28"/>
                <w:szCs w:val="32"/>
              </w:rPr>
              <w:t>风险提示</w:t>
            </w:r>
            <w:bookmarkEnd w:id="92"/>
            <w:bookmarkEnd w:id="93"/>
          </w:p>
          <w:p>
            <w:pPr>
              <w:ind w:left="3685" w:leftChars="1755"/>
              <w:rPr>
                <w:rFonts w:hint="default" w:eastAsia="楷体" w:cs="Arial"/>
                <w:b w:val="0"/>
                <w:bCs w:val="0"/>
                <w:color w:val="000000"/>
                <w:szCs w:val="21"/>
              </w:rPr>
            </w:pPr>
            <w:r>
              <w:rPr>
                <w:rFonts w:hint="default" w:ascii="Arial" w:hAnsi="Arial" w:eastAsia="楷体" w:cs="Arial"/>
                <w:b w:val="0"/>
                <w:bCs w:val="0"/>
                <w:color w:val="000000"/>
                <w:kern w:val="2"/>
                <w:sz w:val="21"/>
                <w:szCs w:val="21"/>
                <w:lang w:eastAsia="zh-CN" w:bidi="ar-SA"/>
              </w:rPr>
              <w:t>1、行业风险竞争加剧；2、产品研发不如预期；3、</w:t>
            </w:r>
            <w:r>
              <w:rPr>
                <w:rFonts w:hint="default" w:ascii="Arial" w:hAnsi="Arial" w:eastAsia="楷体" w:cs="Arial"/>
                <w:b w:val="0"/>
                <w:bCs w:val="0"/>
                <w:color w:val="000000"/>
                <w:kern w:val="2"/>
                <w:sz w:val="21"/>
                <w:szCs w:val="21"/>
                <w:lang w:val="en-US" w:eastAsia="zh-CN" w:bidi="ar-SA"/>
              </w:rPr>
              <w:t>募集资金投资项目无法产生预期收益</w:t>
            </w:r>
            <w:r>
              <w:rPr>
                <w:rFonts w:hint="default" w:ascii="Arial" w:hAnsi="Arial" w:eastAsia="楷体" w:cs="Arial"/>
                <w:b w:val="0"/>
                <w:bCs w:val="0"/>
                <w:color w:val="000000"/>
                <w:kern w:val="2"/>
                <w:sz w:val="21"/>
                <w:szCs w:val="21"/>
                <w:lang w:eastAsia="zh-CN" w:bidi="ar-SA"/>
              </w:rPr>
              <w:t>等。</w:t>
            </w:r>
          </w:p>
          <w:p>
            <w:pPr>
              <w:pStyle w:val="35"/>
              <w:ind w:firstLine="103" w:firstLineChars="49"/>
              <w:rPr>
                <w:rFonts w:eastAsia="楷体" w:cs="Arial"/>
                <w:color w:val="000000"/>
              </w:rPr>
            </w:pPr>
          </w:p>
          <w:p>
            <w:pPr>
              <w:autoSpaceDE w:val="0"/>
              <w:autoSpaceDN w:val="0"/>
              <w:adjustRightInd w:val="0"/>
              <w:rPr>
                <w:rFonts w:hint="eastAsia" w:eastAsia="楷体" w:cs="Arial"/>
                <w:color w:val="000000"/>
                <w:szCs w:val="21"/>
              </w:rPr>
            </w:pPr>
          </w:p>
        </w:tc>
      </w:tr>
      <w:bookmarkEnd w:id="29"/>
      <w:bookmarkEnd w:id="30"/>
      <w:bookmarkEnd w:id="31"/>
    </w:tbl>
    <w:p>
      <w:pPr>
        <w:autoSpaceDE w:val="0"/>
        <w:autoSpaceDN w:val="0"/>
        <w:adjustRightInd w:val="0"/>
        <w:ind w:left="3650" w:leftChars="1738" w:firstLine="105" w:firstLineChars="50"/>
        <w:rPr>
          <w:rFonts w:eastAsia="楷体" w:cs="Arial"/>
          <w:color w:val="000000"/>
        </w:rPr>
      </w:pPr>
    </w:p>
    <w:sectPr>
      <w:footerReference r:id="rId7" w:type="first"/>
      <w:headerReference r:id="rId3" w:type="default"/>
      <w:footerReference r:id="rId5" w:type="default"/>
      <w:headerReference r:id="rId4" w:type="even"/>
      <w:footerReference r:id="rId6" w:type="even"/>
      <w:pgSz w:w="11906" w:h="16838"/>
      <w:pgMar w:top="1440" w:right="851" w:bottom="1247" w:left="851" w:header="567" w:footer="566" w:gutter="0"/>
      <w:pgNumType w:fmt="numberInDash"/>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楷体_GB2312">
    <w:altName w:val="汉仪楷体简"/>
    <w:panose1 w:val="02010609030101010101"/>
    <w:charset w:val="00"/>
    <w:family w:val="modern"/>
    <w:pitch w:val="default"/>
    <w:sig w:usb0="00000000" w:usb1="00000000" w:usb2="00000010" w:usb3="00000000" w:csb0="000401FF" w:csb1="00000000"/>
  </w:font>
  <w:font w:name="等线 Light">
    <w:altName w:val="汉仪中等线KW"/>
    <w:panose1 w:val="02010600030101010101"/>
    <w:charset w:val="00"/>
    <w:family w:val="auto"/>
    <w:pitch w:val="default"/>
    <w:sig w:usb0="00000000" w:usb1="00000000" w:usb2="00000016" w:usb3="00000000" w:csb0="0004000F" w:csb1="00000000"/>
  </w:font>
  <w:font w:name="楷体">
    <w:altName w:val="汉仪楷体KW"/>
    <w:panose1 w:val="02010609060101010101"/>
    <w:charset w:val="00"/>
    <w:family w:val="modern"/>
    <w:pitch w:val="default"/>
    <w:sig w:usb0="00000000" w:usb1="00000000" w:usb2="00000016" w:usb3="00000000" w:csb0="00040001" w:csb1="00000000"/>
  </w:font>
  <w:font w:name="SimSun">
    <w:altName w:val="汉仪书宋二KW"/>
    <w:panose1 w:val="00000000000000000000"/>
    <w:charset w:val="00"/>
    <w:family w:val="auto"/>
    <w:pitch w:val="default"/>
    <w:sig w:usb0="00000000" w:usb1="00000000" w:usb2="00000000" w:usb3="00000000" w:csb0="00040001" w:csb1="00000000"/>
  </w:font>
  <w:font w:name="KaiTi">
    <w:altName w:val="汉仪楷体KW"/>
    <w:panose1 w:val="02010609060101010101"/>
    <w:charset w:val="00"/>
    <w:family w:val="modern"/>
    <w:pitch w:val="default"/>
    <w:sig w:usb0="00000000" w:usb1="00000000" w:usb2="00000016" w:usb3="00000000" w:csb0="00040001" w:csb1="00000000"/>
  </w:font>
  <w:font w:name="方正楷体_GBK">
    <w:altName w:val="苹方-简"/>
    <w:panose1 w:val="02000000000000000000"/>
    <w:charset w:val="86"/>
    <w:family w:val="auto"/>
    <w:pitch w:val="default"/>
    <w:sig w:usb0="00000000" w:usb1="00000000" w:usb2="00000016" w:usb3="00000000" w:csb0="00040000" w:csb1="00000000"/>
  </w:font>
  <w:font w:name="font-weight : 400">
    <w:altName w:val="苹方-简"/>
    <w:panose1 w:val="00000000000000000000"/>
    <w:charset w:val="00"/>
    <w:family w:val="auto"/>
    <w:pitch w:val="default"/>
    <w:sig w:usb0="00000000" w:usb1="00000000" w:usb2="00000000" w:usb3="00000000" w:csb0="00040001" w:csb1="00000000"/>
  </w:font>
  <w:font w:name="HYKaiTiKW">
    <w:panose1 w:val="00020600040101010101"/>
    <w:charset w:val="86"/>
    <w:family w:val="auto"/>
    <w:pitch w:val="default"/>
    <w:sig w:usb0="A00002BF" w:usb1="18EF7CFA" w:usb2="00000016" w:usb3="00000000" w:csb0="00040000" w:csb1="00000000"/>
  </w:font>
  <w:font w:name="HYZhongDengXianKW">
    <w:panose1 w:val="01010104010101010101"/>
    <w:charset w:val="86"/>
    <w:family w:val="auto"/>
    <w:pitch w:val="default"/>
    <w:sig w:usb0="800002BF" w:usb1="004F7CFA" w:usb2="00000000" w:usb3="00000000" w:csb0="00040001" w:csb1="00000000"/>
  </w:font>
  <w:font w:name="Songti SC">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汉仪楷体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pPr>
    <w:r>
      <w:fldChar w:fldCharType="begin"/>
    </w:r>
    <w:r>
      <w:instrText xml:space="preserve">PAGE  </w:instrText>
    </w:r>
    <w:r>
      <w:fldChar w:fldCharType="separate"/>
    </w:r>
    <w:r>
      <w:t>- 2 -</w:t>
    </w:r>
    <w:r>
      <w:fldChar w:fldCharType="end"/>
    </w:r>
  </w:p>
  <w:p>
    <w:pPr>
      <w:pStyle w:val="30"/>
    </w:pPr>
    <w:r>
      <w:rPr>
        <w:rFonts w:hint="eastAsia"/>
      </w:rPr>
      <w:t>请务必阅读正文之后的重要声明部分</w:t>
    </w:r>
    <w:r>
      <mc:AlternateContent>
        <mc:Choice Requires="wps">
          <w:drawing>
            <wp:anchor distT="0" distB="0" distL="114300" distR="114300" simplePos="0" relativeHeight="251658240" behindDoc="0" locked="0" layoutInCell="1" allowOverlap="1">
              <wp:simplePos x="0" y="0"/>
              <wp:positionH relativeFrom="column">
                <wp:posOffset>-245110</wp:posOffset>
              </wp:positionH>
              <wp:positionV relativeFrom="paragraph">
                <wp:posOffset>-30480</wp:posOffset>
              </wp:positionV>
              <wp:extent cx="6821805" cy="0"/>
              <wp:effectExtent l="0" t="0" r="0" b="0"/>
              <wp:wrapNone/>
              <wp:docPr id="32" name="直接连接符 5"/>
              <wp:cNvGraphicFramePr/>
              <a:graphic xmlns:a="http://schemas.openxmlformats.org/drawingml/2006/main">
                <a:graphicData uri="http://schemas.microsoft.com/office/word/2010/wordprocessingShape">
                  <wps:wsp>
                    <wps:cNvCnPr/>
                    <wps:spPr>
                      <a:xfrm>
                        <a:off x="0" y="0"/>
                        <a:ext cx="6821805" cy="0"/>
                      </a:xfrm>
                      <a:prstGeom prst="line">
                        <a:avLst/>
                      </a:prstGeom>
                      <a:ln w="15875" cap="flat" cmpd="sng">
                        <a:solidFill>
                          <a:srgbClr val="E4C4AD"/>
                        </a:solidFill>
                        <a:prstDash val="solid"/>
                        <a:headEnd type="none" w="med" len="med"/>
                        <a:tailEnd type="none" w="med" len="med"/>
                      </a:ln>
                    </wps:spPr>
                    <wps:bodyPr upright="1"/>
                  </wps:wsp>
                </a:graphicData>
              </a:graphic>
            </wp:anchor>
          </w:drawing>
        </mc:Choice>
        <mc:Fallback>
          <w:pict>
            <v:line id="直接连接符 5" o:spid="_x0000_s1026" o:spt="20" style="position:absolute;left:0pt;margin-left:-19.3pt;margin-top:-2.4pt;height:0pt;width:537.15pt;z-index:251658240;mso-width-relative:page;mso-height-relative:page;" filled="f" stroked="t" coordsize="21600,21600" o:gfxdata="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GS4I/HXAAAACgEAAA8AAAAAAAAAAQAgAAAAOAAAAGRycy9kb3ducmV2LnhtbFBL&#10;AQIUABQAAAAIAIdO4kATVhyL4QEAAJgDAAAOAAAAAAAAAAEAIAAAADwBAABkcnMvZTJvRG9jLnht&#10;bFBLBQYAAAAABgAGAFkBAACPBQAAAAA=&#10;">
              <v:fill on="f" focussize="0,0"/>
              <v:stroke weight="1.25pt" color="#E4C4AD"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pPr>
    <w:r>
      <w:fldChar w:fldCharType="begin"/>
    </w:r>
    <w:r>
      <w:instrText xml:space="preserve">PAGE  </w:instrText>
    </w:r>
    <w:r>
      <w:fldChar w:fldCharType="end"/>
    </w:r>
  </w:p>
  <w:p>
    <w:pPr>
      <w:ind w:right="360"/>
    </w:pP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56"/>
      <w:jc w:val="right"/>
      <w:rPr>
        <w:rFonts w:ascii="楷体_GB2312"/>
      </w:rPr>
    </w:pPr>
    <w:r>
      <mc:AlternateContent>
        <mc:Choice Requires="wps">
          <w:drawing>
            <wp:anchor distT="0" distB="0" distL="114300" distR="114300" simplePos="0" relativeHeight="251659264" behindDoc="0" locked="0" layoutInCell="1" allowOverlap="1">
              <wp:simplePos x="0" y="0"/>
              <wp:positionH relativeFrom="column">
                <wp:posOffset>-92710</wp:posOffset>
              </wp:positionH>
              <wp:positionV relativeFrom="paragraph">
                <wp:posOffset>-6350</wp:posOffset>
              </wp:positionV>
              <wp:extent cx="6659880" cy="0"/>
              <wp:effectExtent l="0" t="0" r="0" b="0"/>
              <wp:wrapNone/>
              <wp:docPr id="33" name="直接连接符 4"/>
              <wp:cNvGraphicFramePr/>
              <a:graphic xmlns:a="http://schemas.openxmlformats.org/drawingml/2006/main">
                <a:graphicData uri="http://schemas.microsoft.com/office/word/2010/wordprocessingShape">
                  <wps:wsp>
                    <wps:cNvCnPr/>
                    <wps:spPr>
                      <a:xfrm>
                        <a:off x="0" y="0"/>
                        <a:ext cx="6659880" cy="0"/>
                      </a:xfrm>
                      <a:prstGeom prst="line">
                        <a:avLst/>
                      </a:prstGeom>
                      <a:ln w="22225" cap="flat" cmpd="sng">
                        <a:solidFill>
                          <a:srgbClr val="E4C4AD"/>
                        </a:solidFill>
                        <a:prstDash val="solid"/>
                        <a:headEnd type="none" w="med" len="med"/>
                        <a:tailEnd type="none" w="med" len="med"/>
                      </a:ln>
                    </wps:spPr>
                    <wps:bodyPr upright="1"/>
                  </wps:wsp>
                </a:graphicData>
              </a:graphic>
            </wp:anchor>
          </w:drawing>
        </mc:Choice>
        <mc:Fallback>
          <w:pict>
            <v:line id="直接连接符 4" o:spid="_x0000_s1026" o:spt="20" style="position:absolute;left:0pt;margin-left:-7.3pt;margin-top:-0.5pt;height:0pt;width:524.4pt;z-index:251659264;mso-width-relative:page;mso-height-relative:page;" filled="f" stroked="t" coordsize="21600,21600" o:gfxdata="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NTlZE2AAAAAoBAAAPAAAAAAAAAAEAIAAAADgAAABkcnMvZG93bnJldi54bWxQ&#10;SwECFAAUAAAACACHTuJAxXO3POEBAACYAwAADgAAAAAAAAABACAAAAA9AQAAZHJzL2Uyb0RvYy54&#10;bWxQSwUGAAAAAAYABgBZAQAAkAUAAAAA&#10;">
              <v:fill on="f" focussize="0,0"/>
              <v:stroke weight="1.75pt" color="#E4C4AD" joinstyle="round"/>
              <v:imagedata o:title=""/>
              <o:lock v:ext="edit" aspectratio="f"/>
            </v:line>
          </w:pict>
        </mc:Fallback>
      </mc:AlternateContent>
    </w:r>
    <w:r>
      <w:rPr>
        <w:rFonts w:hint="eastAsia" w:ascii="楷体_GB2312"/>
        <w:b/>
      </w:rPr>
      <w:t>请务必阅读正文之后的重要声明部分</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ordWrap w:val="0"/>
      <w:jc w:val="right"/>
      <w:rPr>
        <w:rFonts w:ascii="楷体_GB2312"/>
        <w:b/>
        <w:sz w:val="24"/>
      </w:rPr>
    </w:pPr>
    <w:r>
      <w:drawing>
        <wp:anchor distT="0" distB="0" distL="114300" distR="114300" simplePos="0" relativeHeight="251661312" behindDoc="0" locked="0" layoutInCell="1" allowOverlap="1">
          <wp:simplePos x="0" y="0"/>
          <wp:positionH relativeFrom="column">
            <wp:posOffset>-121285</wp:posOffset>
          </wp:positionH>
          <wp:positionV relativeFrom="paragraph">
            <wp:posOffset>-76835</wp:posOffset>
          </wp:positionV>
          <wp:extent cx="1914525" cy="514350"/>
          <wp:effectExtent l="0" t="0" r="16510" b="19050"/>
          <wp:wrapNone/>
          <wp:docPr id="35" name="图片 10" descr="说明: 中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说明: 中泰logo"/>
                  <pic:cNvPicPr>
                    <a:picLocks noChangeAspect="1"/>
                  </pic:cNvPicPr>
                </pic:nvPicPr>
                <pic:blipFill>
                  <a:blip r:embed="rId1"/>
                  <a:stretch>
                    <a:fillRect/>
                  </a:stretch>
                </pic:blipFill>
                <pic:spPr>
                  <a:xfrm>
                    <a:off x="0" y="0"/>
                    <a:ext cx="1914525" cy="514350"/>
                  </a:xfrm>
                  <a:prstGeom prst="rect">
                    <a:avLst/>
                  </a:prstGeom>
                  <a:noFill/>
                  <a:ln w="9525">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4086225</wp:posOffset>
              </wp:positionH>
              <wp:positionV relativeFrom="paragraph">
                <wp:posOffset>144780</wp:posOffset>
              </wp:positionV>
              <wp:extent cx="2516505" cy="297180"/>
              <wp:effectExtent l="0" t="0" r="0" b="0"/>
              <wp:wrapNone/>
              <wp:docPr id="34" name="文本框 6"/>
              <wp:cNvGraphicFramePr/>
              <a:graphic xmlns:a="http://schemas.openxmlformats.org/drawingml/2006/main">
                <a:graphicData uri="http://schemas.microsoft.com/office/word/2010/wordprocessingShape">
                  <wps:wsp>
                    <wps:cNvSpPr txBox="1"/>
                    <wps:spPr>
                      <a:xfrm>
                        <a:off x="0" y="0"/>
                        <a:ext cx="2516505" cy="297180"/>
                      </a:xfrm>
                      <a:prstGeom prst="rect">
                        <a:avLst/>
                      </a:prstGeom>
                      <a:noFill/>
                      <a:ln w="9525">
                        <a:noFill/>
                      </a:ln>
                    </wps:spPr>
                    <wps:txbx>
                      <w:txbxContent>
                        <w:p>
                          <w:pPr>
                            <w:pStyle w:val="31"/>
                            <w:wordWrap w:val="0"/>
                          </w:pPr>
                          <w:r>
                            <w:fldChar w:fldCharType="begin"/>
                          </w:r>
                          <w:r>
                            <w:instrText xml:space="preserve">ADDIN DATA stockinfo_stkName("${stkcode}")</w:instrText>
                          </w:r>
                          <w:r>
                            <w:fldChar w:fldCharType="end"/>
                          </w:r>
                          <w:r>
                            <w:rPr>
                              <w:rFonts w:hint="eastAsia"/>
                            </w:rPr>
                            <w:t>公司简报</w:t>
                          </w:r>
                        </w:p>
                      </w:txbxContent>
                    </wps:txbx>
                    <wps:bodyPr wrap="square" upright="1"/>
                  </wps:wsp>
                </a:graphicData>
              </a:graphic>
            </wp:anchor>
          </w:drawing>
        </mc:Choice>
        <mc:Fallback>
          <w:pict>
            <v:shape id="文本框 6" o:spid="_x0000_s1026" o:spt="202" type="#_x0000_t202" style="position:absolute;left:0pt;margin-left:321.75pt;margin-top:11.4pt;height:23.4pt;width:198.15pt;z-index:251660288;mso-width-relative:page;mso-height-relative:page;" filled="f" stroked="f" coordsize="21600,21600" o:gfxdata="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AUpfP11wAAAAoBAAAPAAAAAAAAAAEAIAAAADgAAABkcnMvZG93bnJldi54bWxQSwEC&#10;FAAUAAAACACHTuJARWqs3aYBAAAYAwAADgAAAAAAAAABACAAAAA8AQAAZHJzL2Uyb0RvYy54bWxQ&#10;SwUGAAAAAAYABgBZAQAAVAUAAAAA&#10;">
              <v:fill on="f" focussize="0,0"/>
              <v:stroke on="f"/>
              <v:imagedata o:title=""/>
              <o:lock v:ext="edit" aspectratio="f"/>
              <v:textbox>
                <w:txbxContent>
                  <w:p>
                    <w:pPr>
                      <w:pStyle w:val="31"/>
                      <w:wordWrap w:val="0"/>
                    </w:pPr>
                    <w:r>
                      <w:fldChar w:fldCharType="begin"/>
                    </w:r>
                    <w:r>
                      <w:instrText xml:space="preserve">ADDIN DATA stockinfo_stkName("${stkcode}")</w:instrText>
                    </w:r>
                    <w:r>
                      <w:fldChar w:fldCharType="end"/>
                    </w:r>
                    <w:r>
                      <w:rPr>
                        <w:rFonts w:hint="eastAsia"/>
                      </w:rPr>
                      <w:t>公司简报</w:t>
                    </w:r>
                  </w:p>
                </w:txbxContent>
              </v:textbox>
            </v:shape>
          </w:pict>
        </mc:Fallback>
      </mc:AlternateContent>
    </w:r>
  </w:p>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233C"/>
    <w:multiLevelType w:val="multilevel"/>
    <w:tmpl w:val="04FA233C"/>
    <w:lvl w:ilvl="0" w:tentative="0">
      <w:start w:val="1"/>
      <w:numFmt w:val="decimal"/>
      <w:pStyle w:val="32"/>
      <w:lvlText w:val="%1）"/>
      <w:lvlJc w:val="left"/>
      <w:pPr>
        <w:tabs>
          <w:tab w:val="left" w:pos="4551"/>
        </w:tabs>
        <w:ind w:left="4551" w:hanging="360"/>
      </w:pPr>
      <w:rPr>
        <w:rFonts w:hint="default"/>
      </w:rPr>
    </w:lvl>
    <w:lvl w:ilvl="1" w:tentative="0">
      <w:start w:val="1"/>
      <w:numFmt w:val="lowerLetter"/>
      <w:lvlText w:val="%2)"/>
      <w:lvlJc w:val="left"/>
      <w:pPr>
        <w:tabs>
          <w:tab w:val="left" w:pos="5031"/>
        </w:tabs>
        <w:ind w:left="5031" w:hanging="420"/>
      </w:pPr>
    </w:lvl>
    <w:lvl w:ilvl="2" w:tentative="0">
      <w:start w:val="1"/>
      <w:numFmt w:val="lowerRoman"/>
      <w:lvlText w:val="%3."/>
      <w:lvlJc w:val="right"/>
      <w:pPr>
        <w:tabs>
          <w:tab w:val="left" w:pos="5451"/>
        </w:tabs>
        <w:ind w:left="5451" w:hanging="420"/>
      </w:pPr>
    </w:lvl>
    <w:lvl w:ilvl="3" w:tentative="0">
      <w:start w:val="1"/>
      <w:numFmt w:val="decimal"/>
      <w:lvlText w:val="%4."/>
      <w:lvlJc w:val="left"/>
      <w:pPr>
        <w:tabs>
          <w:tab w:val="left" w:pos="5871"/>
        </w:tabs>
        <w:ind w:left="5871" w:hanging="420"/>
      </w:pPr>
    </w:lvl>
    <w:lvl w:ilvl="4" w:tentative="0">
      <w:start w:val="1"/>
      <w:numFmt w:val="lowerLetter"/>
      <w:lvlText w:val="%5)"/>
      <w:lvlJc w:val="left"/>
      <w:pPr>
        <w:tabs>
          <w:tab w:val="left" w:pos="6291"/>
        </w:tabs>
        <w:ind w:left="6291" w:hanging="420"/>
      </w:pPr>
    </w:lvl>
    <w:lvl w:ilvl="5" w:tentative="0">
      <w:start w:val="1"/>
      <w:numFmt w:val="lowerRoman"/>
      <w:lvlText w:val="%6."/>
      <w:lvlJc w:val="right"/>
      <w:pPr>
        <w:tabs>
          <w:tab w:val="left" w:pos="6711"/>
        </w:tabs>
        <w:ind w:left="6711" w:hanging="420"/>
      </w:pPr>
    </w:lvl>
    <w:lvl w:ilvl="6" w:tentative="0">
      <w:start w:val="1"/>
      <w:numFmt w:val="decimal"/>
      <w:lvlText w:val="%7."/>
      <w:lvlJc w:val="left"/>
      <w:pPr>
        <w:tabs>
          <w:tab w:val="left" w:pos="7131"/>
        </w:tabs>
        <w:ind w:left="7131" w:hanging="420"/>
      </w:pPr>
    </w:lvl>
    <w:lvl w:ilvl="7" w:tentative="0">
      <w:start w:val="1"/>
      <w:numFmt w:val="lowerLetter"/>
      <w:lvlText w:val="%8)"/>
      <w:lvlJc w:val="left"/>
      <w:pPr>
        <w:tabs>
          <w:tab w:val="left" w:pos="7551"/>
        </w:tabs>
        <w:ind w:left="7551" w:hanging="420"/>
      </w:pPr>
    </w:lvl>
    <w:lvl w:ilvl="8" w:tentative="0">
      <w:start w:val="1"/>
      <w:numFmt w:val="lowerRoman"/>
      <w:lvlText w:val="%9."/>
      <w:lvlJc w:val="right"/>
      <w:pPr>
        <w:tabs>
          <w:tab w:val="left" w:pos="7971"/>
        </w:tabs>
        <w:ind w:left="7971" w:hanging="420"/>
      </w:pPr>
    </w:lvl>
  </w:abstractNum>
  <w:abstractNum w:abstractNumId="1">
    <w:nsid w:val="3659368F"/>
    <w:multiLevelType w:val="multilevel"/>
    <w:tmpl w:val="3659368F"/>
    <w:lvl w:ilvl="0" w:tentative="0">
      <w:start w:val="1"/>
      <w:numFmt w:val="bullet"/>
      <w:lvlText w:val=""/>
      <w:lvlJc w:val="left"/>
      <w:pPr>
        <w:ind w:left="420" w:hanging="420"/>
      </w:pPr>
      <w:rPr>
        <w:rFonts w:hint="default" w:ascii="Wingdings" w:hAnsi="Wingdings"/>
        <w:color w:val="9C1F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FFE6FEA"/>
    <w:multiLevelType w:val="singleLevel"/>
    <w:tmpl w:val="5FFE6FEA"/>
    <w:lvl w:ilvl="0" w:tentative="0">
      <w:start w:val="1"/>
      <w:numFmt w:val="decimal"/>
      <w:suff w:val="nothing"/>
      <w:lvlText w:val="%1、"/>
      <w:lvlJc w:val="left"/>
    </w:lvl>
  </w:abstractNum>
  <w:abstractNum w:abstractNumId="3">
    <w:nsid w:val="5FFEA811"/>
    <w:multiLevelType w:val="singleLevel"/>
    <w:tmpl w:val="5FFEA811"/>
    <w:lvl w:ilvl="0" w:tentative="0">
      <w:start w:val="1"/>
      <w:numFmt w:val="decimal"/>
      <w:suff w:val="nothing"/>
      <w:lvlText w:val="%1、"/>
      <w:lvlJc w:val="left"/>
    </w:lvl>
  </w:abstractNum>
  <w:abstractNum w:abstractNumId="4">
    <w:nsid w:val="5FFEB8F2"/>
    <w:multiLevelType w:val="singleLevel"/>
    <w:tmpl w:val="5FFEB8F2"/>
    <w:lvl w:ilvl="0" w:tentative="0">
      <w:start w:val="1"/>
      <w:numFmt w:val="decimal"/>
      <w:suff w:val="nothing"/>
      <w:lvlText w:val="%1、"/>
      <w:lvlJc w:val="left"/>
    </w:lvl>
  </w:abstractNum>
  <w:abstractNum w:abstractNumId="5">
    <w:nsid w:val="61C225D8"/>
    <w:multiLevelType w:val="multilevel"/>
    <w:tmpl w:val="61C225D8"/>
    <w:lvl w:ilvl="0" w:tentative="0">
      <w:start w:val="1"/>
      <w:numFmt w:val="bullet"/>
      <w:pStyle w:val="33"/>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6">
    <w:nsid w:val="6AD94DA8"/>
    <w:multiLevelType w:val="multilevel"/>
    <w:tmpl w:val="6AD94DA8"/>
    <w:lvl w:ilvl="0" w:tentative="0">
      <w:start w:val="1"/>
      <w:numFmt w:val="japaneseCounting"/>
      <w:pStyle w:val="41"/>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B706399"/>
    <w:multiLevelType w:val="multilevel"/>
    <w:tmpl w:val="6B70639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7B3572BD"/>
    <w:multiLevelType w:val="multilevel"/>
    <w:tmpl w:val="7B3572BD"/>
    <w:lvl w:ilvl="0" w:tentative="0">
      <w:start w:val="1"/>
      <w:numFmt w:val="bullet"/>
      <w:pStyle w:val="40"/>
      <w:lvlText w:val=""/>
      <w:lvlJc w:val="left"/>
      <w:pPr>
        <w:tabs>
          <w:tab w:val="left" w:pos="420"/>
        </w:tabs>
        <w:ind w:left="420" w:hanging="420"/>
      </w:pPr>
      <w:rPr>
        <w:rFonts w:hint="default" w:ascii="Wingdings" w:hAnsi="Wingdings"/>
        <w:color w:val="9C1F00"/>
      </w:rPr>
    </w:lvl>
    <w:lvl w:ilvl="1" w:tentative="0">
      <w:start w:val="1"/>
      <w:numFmt w:val="bullet"/>
      <w:lvlText w:val=""/>
      <w:lvlJc w:val="left"/>
      <w:pPr>
        <w:tabs>
          <w:tab w:val="left" w:pos="840"/>
        </w:tabs>
        <w:ind w:left="840" w:hanging="420"/>
      </w:pPr>
      <w:rPr>
        <w:rFonts w:hint="default" w:ascii="Wingdings" w:hAnsi="Wingdings"/>
        <w:color w:val="003366"/>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7B571EE6"/>
    <w:multiLevelType w:val="multilevel"/>
    <w:tmpl w:val="7B571EE6"/>
    <w:lvl w:ilvl="0" w:tentative="0">
      <w:start w:val="1"/>
      <w:numFmt w:val="bullet"/>
      <w:pStyle w:val="36"/>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5"/>
  </w:num>
  <w:num w:numId="3">
    <w:abstractNumId w:val="9"/>
  </w:num>
  <w:num w:numId="4">
    <w:abstractNumId w:val="8"/>
  </w:num>
  <w:num w:numId="5">
    <w:abstractNumId w:val="6"/>
  </w:num>
  <w:num w:numId="6">
    <w:abstractNumId w:val="1"/>
  </w:num>
  <w:num w:numId="7">
    <w:abstractNumId w:val="7"/>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C8"/>
    <w:rsid w:val="000000CD"/>
    <w:rsid w:val="00000ACB"/>
    <w:rsid w:val="00000C14"/>
    <w:rsid w:val="00000CB8"/>
    <w:rsid w:val="00000DFC"/>
    <w:rsid w:val="000012F7"/>
    <w:rsid w:val="00001D02"/>
    <w:rsid w:val="000021AF"/>
    <w:rsid w:val="000023C4"/>
    <w:rsid w:val="0000248E"/>
    <w:rsid w:val="00002514"/>
    <w:rsid w:val="00002C47"/>
    <w:rsid w:val="00003207"/>
    <w:rsid w:val="00003ABA"/>
    <w:rsid w:val="00003E55"/>
    <w:rsid w:val="00003F5D"/>
    <w:rsid w:val="0000404C"/>
    <w:rsid w:val="000042BF"/>
    <w:rsid w:val="00004305"/>
    <w:rsid w:val="00004472"/>
    <w:rsid w:val="000047D6"/>
    <w:rsid w:val="00004852"/>
    <w:rsid w:val="000048D9"/>
    <w:rsid w:val="00004BEF"/>
    <w:rsid w:val="000052CB"/>
    <w:rsid w:val="000053EA"/>
    <w:rsid w:val="00005425"/>
    <w:rsid w:val="00005529"/>
    <w:rsid w:val="00005A87"/>
    <w:rsid w:val="00005EAA"/>
    <w:rsid w:val="00005EC6"/>
    <w:rsid w:val="0000602A"/>
    <w:rsid w:val="00006224"/>
    <w:rsid w:val="00006ACC"/>
    <w:rsid w:val="00007314"/>
    <w:rsid w:val="000079DF"/>
    <w:rsid w:val="00007BC6"/>
    <w:rsid w:val="000101FF"/>
    <w:rsid w:val="000108DD"/>
    <w:rsid w:val="00010CA1"/>
    <w:rsid w:val="00010D04"/>
    <w:rsid w:val="000111AF"/>
    <w:rsid w:val="000111EE"/>
    <w:rsid w:val="00011582"/>
    <w:rsid w:val="00011833"/>
    <w:rsid w:val="00011D0A"/>
    <w:rsid w:val="00011D14"/>
    <w:rsid w:val="00012546"/>
    <w:rsid w:val="00012664"/>
    <w:rsid w:val="00012B2E"/>
    <w:rsid w:val="00012C57"/>
    <w:rsid w:val="00013129"/>
    <w:rsid w:val="0001353D"/>
    <w:rsid w:val="00013C0C"/>
    <w:rsid w:val="00013EBA"/>
    <w:rsid w:val="00014076"/>
    <w:rsid w:val="000140B9"/>
    <w:rsid w:val="0001435E"/>
    <w:rsid w:val="00014C33"/>
    <w:rsid w:val="00014DE5"/>
    <w:rsid w:val="00015D3A"/>
    <w:rsid w:val="0001608A"/>
    <w:rsid w:val="0001666F"/>
    <w:rsid w:val="000166A2"/>
    <w:rsid w:val="0001672F"/>
    <w:rsid w:val="00016A58"/>
    <w:rsid w:val="00016BF5"/>
    <w:rsid w:val="0001704D"/>
    <w:rsid w:val="00017069"/>
    <w:rsid w:val="00017203"/>
    <w:rsid w:val="00017499"/>
    <w:rsid w:val="00017767"/>
    <w:rsid w:val="00017AEA"/>
    <w:rsid w:val="0002021F"/>
    <w:rsid w:val="00020360"/>
    <w:rsid w:val="00020E05"/>
    <w:rsid w:val="000210F2"/>
    <w:rsid w:val="00021389"/>
    <w:rsid w:val="00021C47"/>
    <w:rsid w:val="00021E88"/>
    <w:rsid w:val="000221C3"/>
    <w:rsid w:val="000226DB"/>
    <w:rsid w:val="00022DBF"/>
    <w:rsid w:val="00022E48"/>
    <w:rsid w:val="00022EDA"/>
    <w:rsid w:val="00023163"/>
    <w:rsid w:val="000231BC"/>
    <w:rsid w:val="000235B7"/>
    <w:rsid w:val="00023678"/>
    <w:rsid w:val="0002374C"/>
    <w:rsid w:val="000248EF"/>
    <w:rsid w:val="00024CBA"/>
    <w:rsid w:val="00024F82"/>
    <w:rsid w:val="00025A38"/>
    <w:rsid w:val="00025C22"/>
    <w:rsid w:val="00025CDD"/>
    <w:rsid w:val="000260D9"/>
    <w:rsid w:val="0002632F"/>
    <w:rsid w:val="00026417"/>
    <w:rsid w:val="00026A9B"/>
    <w:rsid w:val="00027798"/>
    <w:rsid w:val="0002780D"/>
    <w:rsid w:val="00027863"/>
    <w:rsid w:val="00027F45"/>
    <w:rsid w:val="00027FB5"/>
    <w:rsid w:val="00030D86"/>
    <w:rsid w:val="00030E14"/>
    <w:rsid w:val="00030E17"/>
    <w:rsid w:val="00031139"/>
    <w:rsid w:val="000314E1"/>
    <w:rsid w:val="00031528"/>
    <w:rsid w:val="0003163F"/>
    <w:rsid w:val="000318CE"/>
    <w:rsid w:val="00031A93"/>
    <w:rsid w:val="00031AAB"/>
    <w:rsid w:val="00031F7F"/>
    <w:rsid w:val="0003271A"/>
    <w:rsid w:val="00032895"/>
    <w:rsid w:val="00032ABF"/>
    <w:rsid w:val="00032DD2"/>
    <w:rsid w:val="00032DDF"/>
    <w:rsid w:val="0003314E"/>
    <w:rsid w:val="0003405E"/>
    <w:rsid w:val="00034CE8"/>
    <w:rsid w:val="000355A3"/>
    <w:rsid w:val="00035A8F"/>
    <w:rsid w:val="00035D16"/>
    <w:rsid w:val="00035D2C"/>
    <w:rsid w:val="00035D92"/>
    <w:rsid w:val="000364D6"/>
    <w:rsid w:val="00036B0B"/>
    <w:rsid w:val="00040089"/>
    <w:rsid w:val="0004034F"/>
    <w:rsid w:val="000404D5"/>
    <w:rsid w:val="000405E9"/>
    <w:rsid w:val="00040FBA"/>
    <w:rsid w:val="000417AB"/>
    <w:rsid w:val="00041BB9"/>
    <w:rsid w:val="0004206C"/>
    <w:rsid w:val="00042245"/>
    <w:rsid w:val="0004249F"/>
    <w:rsid w:val="000427C4"/>
    <w:rsid w:val="00042980"/>
    <w:rsid w:val="00042A21"/>
    <w:rsid w:val="00042AF9"/>
    <w:rsid w:val="0004367A"/>
    <w:rsid w:val="00043D7A"/>
    <w:rsid w:val="00043E3C"/>
    <w:rsid w:val="00043E5B"/>
    <w:rsid w:val="00043F07"/>
    <w:rsid w:val="00044226"/>
    <w:rsid w:val="00044450"/>
    <w:rsid w:val="000445FC"/>
    <w:rsid w:val="000446A9"/>
    <w:rsid w:val="000456D1"/>
    <w:rsid w:val="00045AE0"/>
    <w:rsid w:val="00045BC7"/>
    <w:rsid w:val="00045D87"/>
    <w:rsid w:val="00045E5D"/>
    <w:rsid w:val="0004693E"/>
    <w:rsid w:val="00050371"/>
    <w:rsid w:val="00050865"/>
    <w:rsid w:val="00050BE6"/>
    <w:rsid w:val="00050EF8"/>
    <w:rsid w:val="000511ED"/>
    <w:rsid w:val="000513E2"/>
    <w:rsid w:val="000514F1"/>
    <w:rsid w:val="000517F3"/>
    <w:rsid w:val="0005210B"/>
    <w:rsid w:val="0005251A"/>
    <w:rsid w:val="000525DB"/>
    <w:rsid w:val="0005266F"/>
    <w:rsid w:val="00052814"/>
    <w:rsid w:val="00052B5A"/>
    <w:rsid w:val="00052C17"/>
    <w:rsid w:val="00052DB8"/>
    <w:rsid w:val="000535EA"/>
    <w:rsid w:val="000537FD"/>
    <w:rsid w:val="00053DB7"/>
    <w:rsid w:val="00053F84"/>
    <w:rsid w:val="0005431B"/>
    <w:rsid w:val="0005460A"/>
    <w:rsid w:val="00054851"/>
    <w:rsid w:val="00054A07"/>
    <w:rsid w:val="000553C1"/>
    <w:rsid w:val="0005576B"/>
    <w:rsid w:val="0005605A"/>
    <w:rsid w:val="00056260"/>
    <w:rsid w:val="00056329"/>
    <w:rsid w:val="000569C2"/>
    <w:rsid w:val="00056AFE"/>
    <w:rsid w:val="00056F3D"/>
    <w:rsid w:val="000570ED"/>
    <w:rsid w:val="0005754E"/>
    <w:rsid w:val="0005756D"/>
    <w:rsid w:val="00057839"/>
    <w:rsid w:val="00057C85"/>
    <w:rsid w:val="0006001F"/>
    <w:rsid w:val="00061265"/>
    <w:rsid w:val="00061517"/>
    <w:rsid w:val="0006152A"/>
    <w:rsid w:val="0006160C"/>
    <w:rsid w:val="00061798"/>
    <w:rsid w:val="000619E3"/>
    <w:rsid w:val="00061CA6"/>
    <w:rsid w:val="00062118"/>
    <w:rsid w:val="000624B3"/>
    <w:rsid w:val="000628EE"/>
    <w:rsid w:val="000629E8"/>
    <w:rsid w:val="00062B56"/>
    <w:rsid w:val="00062C7F"/>
    <w:rsid w:val="00062D6C"/>
    <w:rsid w:val="0006338B"/>
    <w:rsid w:val="000634EF"/>
    <w:rsid w:val="00063511"/>
    <w:rsid w:val="000639C0"/>
    <w:rsid w:val="00063B5B"/>
    <w:rsid w:val="00063E3F"/>
    <w:rsid w:val="00063F14"/>
    <w:rsid w:val="0006424B"/>
    <w:rsid w:val="0006435F"/>
    <w:rsid w:val="00064BB8"/>
    <w:rsid w:val="000651A5"/>
    <w:rsid w:val="00065208"/>
    <w:rsid w:val="0006552E"/>
    <w:rsid w:val="00065717"/>
    <w:rsid w:val="00065858"/>
    <w:rsid w:val="00065F61"/>
    <w:rsid w:val="00066085"/>
    <w:rsid w:val="00066330"/>
    <w:rsid w:val="000669B8"/>
    <w:rsid w:val="00066F1F"/>
    <w:rsid w:val="000671BD"/>
    <w:rsid w:val="00067B48"/>
    <w:rsid w:val="00067B7B"/>
    <w:rsid w:val="000705D4"/>
    <w:rsid w:val="00070B91"/>
    <w:rsid w:val="00071526"/>
    <w:rsid w:val="00071575"/>
    <w:rsid w:val="0007163C"/>
    <w:rsid w:val="00071661"/>
    <w:rsid w:val="00071A2A"/>
    <w:rsid w:val="00071B80"/>
    <w:rsid w:val="00072165"/>
    <w:rsid w:val="0007247E"/>
    <w:rsid w:val="000724F0"/>
    <w:rsid w:val="0007251C"/>
    <w:rsid w:val="00072AB3"/>
    <w:rsid w:val="00072AFF"/>
    <w:rsid w:val="00072D4A"/>
    <w:rsid w:val="000735E7"/>
    <w:rsid w:val="00073766"/>
    <w:rsid w:val="00073968"/>
    <w:rsid w:val="00074227"/>
    <w:rsid w:val="00074257"/>
    <w:rsid w:val="000742EF"/>
    <w:rsid w:val="0007452C"/>
    <w:rsid w:val="00074938"/>
    <w:rsid w:val="00074A26"/>
    <w:rsid w:val="00074A6B"/>
    <w:rsid w:val="00074C2A"/>
    <w:rsid w:val="00074C6C"/>
    <w:rsid w:val="00074D20"/>
    <w:rsid w:val="00074D6D"/>
    <w:rsid w:val="00074E2B"/>
    <w:rsid w:val="0007501C"/>
    <w:rsid w:val="00075502"/>
    <w:rsid w:val="00075BDD"/>
    <w:rsid w:val="00075E3F"/>
    <w:rsid w:val="00076C38"/>
    <w:rsid w:val="00076C59"/>
    <w:rsid w:val="00076F14"/>
    <w:rsid w:val="00076FC2"/>
    <w:rsid w:val="0007718D"/>
    <w:rsid w:val="00077843"/>
    <w:rsid w:val="00077ACC"/>
    <w:rsid w:val="00077BA2"/>
    <w:rsid w:val="00077C3B"/>
    <w:rsid w:val="00077D88"/>
    <w:rsid w:val="00077F02"/>
    <w:rsid w:val="00077FD4"/>
    <w:rsid w:val="0008014A"/>
    <w:rsid w:val="0008017C"/>
    <w:rsid w:val="000806BF"/>
    <w:rsid w:val="00080866"/>
    <w:rsid w:val="00080BF1"/>
    <w:rsid w:val="00080C8C"/>
    <w:rsid w:val="00081582"/>
    <w:rsid w:val="0008163B"/>
    <w:rsid w:val="00081751"/>
    <w:rsid w:val="00081B60"/>
    <w:rsid w:val="00081C2F"/>
    <w:rsid w:val="000821BE"/>
    <w:rsid w:val="00082373"/>
    <w:rsid w:val="000825E2"/>
    <w:rsid w:val="0008289D"/>
    <w:rsid w:val="00082959"/>
    <w:rsid w:val="00082A9E"/>
    <w:rsid w:val="00082C4A"/>
    <w:rsid w:val="00082F69"/>
    <w:rsid w:val="000831EC"/>
    <w:rsid w:val="00083D93"/>
    <w:rsid w:val="00084685"/>
    <w:rsid w:val="00084DDB"/>
    <w:rsid w:val="00084E21"/>
    <w:rsid w:val="000856EC"/>
    <w:rsid w:val="000856F1"/>
    <w:rsid w:val="0008578A"/>
    <w:rsid w:val="00085801"/>
    <w:rsid w:val="000862C0"/>
    <w:rsid w:val="00086797"/>
    <w:rsid w:val="0008693E"/>
    <w:rsid w:val="00086A60"/>
    <w:rsid w:val="00087096"/>
    <w:rsid w:val="0008755E"/>
    <w:rsid w:val="0008785B"/>
    <w:rsid w:val="00087899"/>
    <w:rsid w:val="00087C95"/>
    <w:rsid w:val="00087DA8"/>
    <w:rsid w:val="0009083B"/>
    <w:rsid w:val="00090E87"/>
    <w:rsid w:val="00091112"/>
    <w:rsid w:val="00091512"/>
    <w:rsid w:val="0009155F"/>
    <w:rsid w:val="000916E2"/>
    <w:rsid w:val="000918E1"/>
    <w:rsid w:val="00092449"/>
    <w:rsid w:val="000925B7"/>
    <w:rsid w:val="00092897"/>
    <w:rsid w:val="00092E05"/>
    <w:rsid w:val="000930B6"/>
    <w:rsid w:val="000930D4"/>
    <w:rsid w:val="000931BA"/>
    <w:rsid w:val="000935FA"/>
    <w:rsid w:val="000938D9"/>
    <w:rsid w:val="000939BB"/>
    <w:rsid w:val="00093AD8"/>
    <w:rsid w:val="00093B2A"/>
    <w:rsid w:val="000940B6"/>
    <w:rsid w:val="000940CE"/>
    <w:rsid w:val="000941C9"/>
    <w:rsid w:val="000942BF"/>
    <w:rsid w:val="000944A7"/>
    <w:rsid w:val="00094974"/>
    <w:rsid w:val="00095100"/>
    <w:rsid w:val="0009553A"/>
    <w:rsid w:val="0009595F"/>
    <w:rsid w:val="00095F45"/>
    <w:rsid w:val="00095F8F"/>
    <w:rsid w:val="00096011"/>
    <w:rsid w:val="00096229"/>
    <w:rsid w:val="0009627E"/>
    <w:rsid w:val="0009637C"/>
    <w:rsid w:val="00096EF7"/>
    <w:rsid w:val="00097018"/>
    <w:rsid w:val="000971D6"/>
    <w:rsid w:val="000971DA"/>
    <w:rsid w:val="000977B5"/>
    <w:rsid w:val="00097FB1"/>
    <w:rsid w:val="000A0873"/>
    <w:rsid w:val="000A095B"/>
    <w:rsid w:val="000A121C"/>
    <w:rsid w:val="000A12F2"/>
    <w:rsid w:val="000A143C"/>
    <w:rsid w:val="000A161F"/>
    <w:rsid w:val="000A1857"/>
    <w:rsid w:val="000A1D57"/>
    <w:rsid w:val="000A2377"/>
    <w:rsid w:val="000A27AF"/>
    <w:rsid w:val="000A2AD0"/>
    <w:rsid w:val="000A2D4B"/>
    <w:rsid w:val="000A2D9B"/>
    <w:rsid w:val="000A39DC"/>
    <w:rsid w:val="000A3AE4"/>
    <w:rsid w:val="000A4C52"/>
    <w:rsid w:val="000A4CA3"/>
    <w:rsid w:val="000A5A0C"/>
    <w:rsid w:val="000A5B01"/>
    <w:rsid w:val="000A5CAD"/>
    <w:rsid w:val="000A5D64"/>
    <w:rsid w:val="000A6998"/>
    <w:rsid w:val="000A6C5A"/>
    <w:rsid w:val="000A6E30"/>
    <w:rsid w:val="000A72EC"/>
    <w:rsid w:val="000A743D"/>
    <w:rsid w:val="000A7474"/>
    <w:rsid w:val="000A7940"/>
    <w:rsid w:val="000A7C04"/>
    <w:rsid w:val="000A7D2D"/>
    <w:rsid w:val="000B0294"/>
    <w:rsid w:val="000B0589"/>
    <w:rsid w:val="000B0BB4"/>
    <w:rsid w:val="000B1176"/>
    <w:rsid w:val="000B1645"/>
    <w:rsid w:val="000B168B"/>
    <w:rsid w:val="000B1856"/>
    <w:rsid w:val="000B1862"/>
    <w:rsid w:val="000B1C0B"/>
    <w:rsid w:val="000B2984"/>
    <w:rsid w:val="000B2D81"/>
    <w:rsid w:val="000B3093"/>
    <w:rsid w:val="000B32F0"/>
    <w:rsid w:val="000B3923"/>
    <w:rsid w:val="000B39BE"/>
    <w:rsid w:val="000B3B0F"/>
    <w:rsid w:val="000B3CB3"/>
    <w:rsid w:val="000B3EC5"/>
    <w:rsid w:val="000B3FB3"/>
    <w:rsid w:val="000B403A"/>
    <w:rsid w:val="000B405E"/>
    <w:rsid w:val="000B40A7"/>
    <w:rsid w:val="000B4160"/>
    <w:rsid w:val="000B4168"/>
    <w:rsid w:val="000B452D"/>
    <w:rsid w:val="000B4C69"/>
    <w:rsid w:val="000B5060"/>
    <w:rsid w:val="000B552A"/>
    <w:rsid w:val="000B5854"/>
    <w:rsid w:val="000B5DF9"/>
    <w:rsid w:val="000B61FF"/>
    <w:rsid w:val="000B66C3"/>
    <w:rsid w:val="000B6CDB"/>
    <w:rsid w:val="000B6F24"/>
    <w:rsid w:val="000B72CC"/>
    <w:rsid w:val="000B7A19"/>
    <w:rsid w:val="000B7D93"/>
    <w:rsid w:val="000B7E62"/>
    <w:rsid w:val="000B7FBE"/>
    <w:rsid w:val="000C01D8"/>
    <w:rsid w:val="000C0914"/>
    <w:rsid w:val="000C0941"/>
    <w:rsid w:val="000C0967"/>
    <w:rsid w:val="000C0B7B"/>
    <w:rsid w:val="000C0BAA"/>
    <w:rsid w:val="000C0E1E"/>
    <w:rsid w:val="000C1081"/>
    <w:rsid w:val="000C13A1"/>
    <w:rsid w:val="000C19CF"/>
    <w:rsid w:val="000C1A7F"/>
    <w:rsid w:val="000C1F26"/>
    <w:rsid w:val="000C1FFC"/>
    <w:rsid w:val="000C2141"/>
    <w:rsid w:val="000C25B5"/>
    <w:rsid w:val="000C2664"/>
    <w:rsid w:val="000C2B9B"/>
    <w:rsid w:val="000C2EC3"/>
    <w:rsid w:val="000C3011"/>
    <w:rsid w:val="000C30C3"/>
    <w:rsid w:val="000C3D05"/>
    <w:rsid w:val="000C41CA"/>
    <w:rsid w:val="000C462F"/>
    <w:rsid w:val="000C479A"/>
    <w:rsid w:val="000C4ACC"/>
    <w:rsid w:val="000C4D03"/>
    <w:rsid w:val="000C4E67"/>
    <w:rsid w:val="000C560F"/>
    <w:rsid w:val="000C59AF"/>
    <w:rsid w:val="000C5D0E"/>
    <w:rsid w:val="000C5FF8"/>
    <w:rsid w:val="000C6048"/>
    <w:rsid w:val="000C60F2"/>
    <w:rsid w:val="000C675A"/>
    <w:rsid w:val="000C6C1E"/>
    <w:rsid w:val="000C70A4"/>
    <w:rsid w:val="000C76F6"/>
    <w:rsid w:val="000C7FDE"/>
    <w:rsid w:val="000D002D"/>
    <w:rsid w:val="000D0502"/>
    <w:rsid w:val="000D056D"/>
    <w:rsid w:val="000D07B4"/>
    <w:rsid w:val="000D07EE"/>
    <w:rsid w:val="000D08D0"/>
    <w:rsid w:val="000D08DD"/>
    <w:rsid w:val="000D0D24"/>
    <w:rsid w:val="000D0DAC"/>
    <w:rsid w:val="000D114F"/>
    <w:rsid w:val="000D11F6"/>
    <w:rsid w:val="000D1F1F"/>
    <w:rsid w:val="000D24F3"/>
    <w:rsid w:val="000D2601"/>
    <w:rsid w:val="000D2656"/>
    <w:rsid w:val="000D2685"/>
    <w:rsid w:val="000D2872"/>
    <w:rsid w:val="000D28F3"/>
    <w:rsid w:val="000D2965"/>
    <w:rsid w:val="000D2B83"/>
    <w:rsid w:val="000D2D55"/>
    <w:rsid w:val="000D2F32"/>
    <w:rsid w:val="000D3015"/>
    <w:rsid w:val="000D33DD"/>
    <w:rsid w:val="000D34CD"/>
    <w:rsid w:val="000D3FC2"/>
    <w:rsid w:val="000D4351"/>
    <w:rsid w:val="000D4722"/>
    <w:rsid w:val="000D4A2C"/>
    <w:rsid w:val="000D4DCF"/>
    <w:rsid w:val="000D57C1"/>
    <w:rsid w:val="000D5883"/>
    <w:rsid w:val="000D58DB"/>
    <w:rsid w:val="000D5AD0"/>
    <w:rsid w:val="000D6393"/>
    <w:rsid w:val="000D646F"/>
    <w:rsid w:val="000D6890"/>
    <w:rsid w:val="000D68EC"/>
    <w:rsid w:val="000D6C61"/>
    <w:rsid w:val="000D71BF"/>
    <w:rsid w:val="000D7223"/>
    <w:rsid w:val="000D7AAE"/>
    <w:rsid w:val="000D7B7A"/>
    <w:rsid w:val="000D7BD3"/>
    <w:rsid w:val="000D7BD4"/>
    <w:rsid w:val="000D7BDD"/>
    <w:rsid w:val="000D7DE3"/>
    <w:rsid w:val="000E0540"/>
    <w:rsid w:val="000E05A2"/>
    <w:rsid w:val="000E0DB5"/>
    <w:rsid w:val="000E17C9"/>
    <w:rsid w:val="000E17EC"/>
    <w:rsid w:val="000E1DCE"/>
    <w:rsid w:val="000E2310"/>
    <w:rsid w:val="000E2464"/>
    <w:rsid w:val="000E25C3"/>
    <w:rsid w:val="000E284D"/>
    <w:rsid w:val="000E3175"/>
    <w:rsid w:val="000E3BEF"/>
    <w:rsid w:val="000E3DE6"/>
    <w:rsid w:val="000E3F80"/>
    <w:rsid w:val="000E4045"/>
    <w:rsid w:val="000E468F"/>
    <w:rsid w:val="000E4A6B"/>
    <w:rsid w:val="000E5456"/>
    <w:rsid w:val="000E55B5"/>
    <w:rsid w:val="000E603A"/>
    <w:rsid w:val="000E6A59"/>
    <w:rsid w:val="000E7003"/>
    <w:rsid w:val="000E723C"/>
    <w:rsid w:val="000E7679"/>
    <w:rsid w:val="000E78EA"/>
    <w:rsid w:val="000E7931"/>
    <w:rsid w:val="000E7A33"/>
    <w:rsid w:val="000F0309"/>
    <w:rsid w:val="000F03B7"/>
    <w:rsid w:val="000F095F"/>
    <w:rsid w:val="000F0DDA"/>
    <w:rsid w:val="000F11DD"/>
    <w:rsid w:val="000F1670"/>
    <w:rsid w:val="000F1ED8"/>
    <w:rsid w:val="000F2438"/>
    <w:rsid w:val="000F2F5B"/>
    <w:rsid w:val="000F3185"/>
    <w:rsid w:val="000F3212"/>
    <w:rsid w:val="000F33A2"/>
    <w:rsid w:val="000F348E"/>
    <w:rsid w:val="000F3571"/>
    <w:rsid w:val="000F37B5"/>
    <w:rsid w:val="000F41F0"/>
    <w:rsid w:val="000F446D"/>
    <w:rsid w:val="000F453B"/>
    <w:rsid w:val="000F46D6"/>
    <w:rsid w:val="000F4A42"/>
    <w:rsid w:val="000F51E8"/>
    <w:rsid w:val="000F5298"/>
    <w:rsid w:val="000F5517"/>
    <w:rsid w:val="000F56BE"/>
    <w:rsid w:val="000F60DC"/>
    <w:rsid w:val="000F660E"/>
    <w:rsid w:val="000F6821"/>
    <w:rsid w:val="000F701D"/>
    <w:rsid w:val="000F7360"/>
    <w:rsid w:val="000F7924"/>
    <w:rsid w:val="00100184"/>
    <w:rsid w:val="001004F5"/>
    <w:rsid w:val="001005B2"/>
    <w:rsid w:val="001006C5"/>
    <w:rsid w:val="00100830"/>
    <w:rsid w:val="001008E3"/>
    <w:rsid w:val="00100915"/>
    <w:rsid w:val="00100BEA"/>
    <w:rsid w:val="00100E1C"/>
    <w:rsid w:val="00100E37"/>
    <w:rsid w:val="00101227"/>
    <w:rsid w:val="001013F1"/>
    <w:rsid w:val="0010144A"/>
    <w:rsid w:val="00101615"/>
    <w:rsid w:val="001016EE"/>
    <w:rsid w:val="00101827"/>
    <w:rsid w:val="00101A66"/>
    <w:rsid w:val="001020AF"/>
    <w:rsid w:val="00102538"/>
    <w:rsid w:val="0010263D"/>
    <w:rsid w:val="001028F0"/>
    <w:rsid w:val="00102A29"/>
    <w:rsid w:val="00102A7A"/>
    <w:rsid w:val="00102D96"/>
    <w:rsid w:val="001033F5"/>
    <w:rsid w:val="0010393E"/>
    <w:rsid w:val="00104697"/>
    <w:rsid w:val="001048B3"/>
    <w:rsid w:val="00105352"/>
    <w:rsid w:val="0010538C"/>
    <w:rsid w:val="0010541E"/>
    <w:rsid w:val="00105435"/>
    <w:rsid w:val="00105723"/>
    <w:rsid w:val="001057E9"/>
    <w:rsid w:val="001058BB"/>
    <w:rsid w:val="00105A0D"/>
    <w:rsid w:val="00105A79"/>
    <w:rsid w:val="00105AEE"/>
    <w:rsid w:val="00105B20"/>
    <w:rsid w:val="00105F7D"/>
    <w:rsid w:val="00106EC4"/>
    <w:rsid w:val="001071B8"/>
    <w:rsid w:val="001075CF"/>
    <w:rsid w:val="0010792F"/>
    <w:rsid w:val="00107A33"/>
    <w:rsid w:val="00107A7F"/>
    <w:rsid w:val="00107ED3"/>
    <w:rsid w:val="0011041F"/>
    <w:rsid w:val="001109EF"/>
    <w:rsid w:val="00110F14"/>
    <w:rsid w:val="0011108F"/>
    <w:rsid w:val="001110F3"/>
    <w:rsid w:val="001111F6"/>
    <w:rsid w:val="001117B5"/>
    <w:rsid w:val="00111FE1"/>
    <w:rsid w:val="001124CE"/>
    <w:rsid w:val="00112625"/>
    <w:rsid w:val="00112D59"/>
    <w:rsid w:val="00112FC1"/>
    <w:rsid w:val="00113756"/>
    <w:rsid w:val="00113AE2"/>
    <w:rsid w:val="00113EC8"/>
    <w:rsid w:val="00113F62"/>
    <w:rsid w:val="0011494C"/>
    <w:rsid w:val="00114991"/>
    <w:rsid w:val="00114A30"/>
    <w:rsid w:val="00114CF7"/>
    <w:rsid w:val="00115092"/>
    <w:rsid w:val="00115314"/>
    <w:rsid w:val="001155AD"/>
    <w:rsid w:val="00116AC4"/>
    <w:rsid w:val="001179F8"/>
    <w:rsid w:val="00117B5F"/>
    <w:rsid w:val="00117D15"/>
    <w:rsid w:val="00120770"/>
    <w:rsid w:val="00120B49"/>
    <w:rsid w:val="00120C57"/>
    <w:rsid w:val="00120E72"/>
    <w:rsid w:val="001211B1"/>
    <w:rsid w:val="001214FF"/>
    <w:rsid w:val="00121686"/>
    <w:rsid w:val="00121838"/>
    <w:rsid w:val="00121A70"/>
    <w:rsid w:val="00121C95"/>
    <w:rsid w:val="001224B2"/>
    <w:rsid w:val="001224B7"/>
    <w:rsid w:val="001224C0"/>
    <w:rsid w:val="00122809"/>
    <w:rsid w:val="00122819"/>
    <w:rsid w:val="0012290E"/>
    <w:rsid w:val="00122D9B"/>
    <w:rsid w:val="0012316D"/>
    <w:rsid w:val="00123843"/>
    <w:rsid w:val="00123D7A"/>
    <w:rsid w:val="00123F1C"/>
    <w:rsid w:val="00125485"/>
    <w:rsid w:val="0012571F"/>
    <w:rsid w:val="0012577C"/>
    <w:rsid w:val="0012577F"/>
    <w:rsid w:val="00126200"/>
    <w:rsid w:val="00126515"/>
    <w:rsid w:val="00126AAB"/>
    <w:rsid w:val="00126E1E"/>
    <w:rsid w:val="00127021"/>
    <w:rsid w:val="00127043"/>
    <w:rsid w:val="00130214"/>
    <w:rsid w:val="001304CB"/>
    <w:rsid w:val="00130A83"/>
    <w:rsid w:val="001315AE"/>
    <w:rsid w:val="00131B3A"/>
    <w:rsid w:val="00131B9B"/>
    <w:rsid w:val="00131C3B"/>
    <w:rsid w:val="00131F50"/>
    <w:rsid w:val="0013231F"/>
    <w:rsid w:val="001324C5"/>
    <w:rsid w:val="00132A70"/>
    <w:rsid w:val="00132D62"/>
    <w:rsid w:val="00132F94"/>
    <w:rsid w:val="00132FA7"/>
    <w:rsid w:val="00133D01"/>
    <w:rsid w:val="00133D72"/>
    <w:rsid w:val="001341C4"/>
    <w:rsid w:val="001345F7"/>
    <w:rsid w:val="0013475B"/>
    <w:rsid w:val="00134BFA"/>
    <w:rsid w:val="00134D0F"/>
    <w:rsid w:val="00134D70"/>
    <w:rsid w:val="001350CA"/>
    <w:rsid w:val="00135151"/>
    <w:rsid w:val="00135616"/>
    <w:rsid w:val="001359DC"/>
    <w:rsid w:val="0013627E"/>
    <w:rsid w:val="001368FB"/>
    <w:rsid w:val="00136CB6"/>
    <w:rsid w:val="00137300"/>
    <w:rsid w:val="00137316"/>
    <w:rsid w:val="00137428"/>
    <w:rsid w:val="001374FC"/>
    <w:rsid w:val="00137678"/>
    <w:rsid w:val="00140AD1"/>
    <w:rsid w:val="00140F0F"/>
    <w:rsid w:val="00140F16"/>
    <w:rsid w:val="001411A2"/>
    <w:rsid w:val="00141626"/>
    <w:rsid w:val="00141EE5"/>
    <w:rsid w:val="00142249"/>
    <w:rsid w:val="00142321"/>
    <w:rsid w:val="001429CC"/>
    <w:rsid w:val="00142D1B"/>
    <w:rsid w:val="00142FCC"/>
    <w:rsid w:val="00143099"/>
    <w:rsid w:val="0014317F"/>
    <w:rsid w:val="001431DB"/>
    <w:rsid w:val="00143289"/>
    <w:rsid w:val="00143402"/>
    <w:rsid w:val="00143781"/>
    <w:rsid w:val="00143C82"/>
    <w:rsid w:val="00143CCF"/>
    <w:rsid w:val="00143CE1"/>
    <w:rsid w:val="00143D2F"/>
    <w:rsid w:val="00143E44"/>
    <w:rsid w:val="00143EFE"/>
    <w:rsid w:val="00143FE6"/>
    <w:rsid w:val="00144417"/>
    <w:rsid w:val="00144D98"/>
    <w:rsid w:val="001451D5"/>
    <w:rsid w:val="001456EB"/>
    <w:rsid w:val="00145BDE"/>
    <w:rsid w:val="001464E6"/>
    <w:rsid w:val="00146534"/>
    <w:rsid w:val="0014670F"/>
    <w:rsid w:val="0014678D"/>
    <w:rsid w:val="001467B8"/>
    <w:rsid w:val="00146A55"/>
    <w:rsid w:val="00146D68"/>
    <w:rsid w:val="00146F55"/>
    <w:rsid w:val="001475F6"/>
    <w:rsid w:val="001478E5"/>
    <w:rsid w:val="00147968"/>
    <w:rsid w:val="001479E8"/>
    <w:rsid w:val="00147A99"/>
    <w:rsid w:val="00147B3B"/>
    <w:rsid w:val="00147CB8"/>
    <w:rsid w:val="00147F44"/>
    <w:rsid w:val="00147F94"/>
    <w:rsid w:val="00150456"/>
    <w:rsid w:val="00150935"/>
    <w:rsid w:val="0015095B"/>
    <w:rsid w:val="00150C44"/>
    <w:rsid w:val="00150DDF"/>
    <w:rsid w:val="00150DFA"/>
    <w:rsid w:val="001522E5"/>
    <w:rsid w:val="00152852"/>
    <w:rsid w:val="00152EC7"/>
    <w:rsid w:val="00153111"/>
    <w:rsid w:val="00153113"/>
    <w:rsid w:val="00153128"/>
    <w:rsid w:val="00153129"/>
    <w:rsid w:val="0015357E"/>
    <w:rsid w:val="00153800"/>
    <w:rsid w:val="00153A27"/>
    <w:rsid w:val="00153C6E"/>
    <w:rsid w:val="00154651"/>
    <w:rsid w:val="00154B8A"/>
    <w:rsid w:val="00154C41"/>
    <w:rsid w:val="0015566E"/>
    <w:rsid w:val="00155B1F"/>
    <w:rsid w:val="00155D2C"/>
    <w:rsid w:val="00155FE2"/>
    <w:rsid w:val="001564F5"/>
    <w:rsid w:val="001566E9"/>
    <w:rsid w:val="00156E84"/>
    <w:rsid w:val="001574A9"/>
    <w:rsid w:val="001574F3"/>
    <w:rsid w:val="00157825"/>
    <w:rsid w:val="00157BCD"/>
    <w:rsid w:val="00160D6F"/>
    <w:rsid w:val="00160E4C"/>
    <w:rsid w:val="0016108C"/>
    <w:rsid w:val="00162357"/>
    <w:rsid w:val="0016262E"/>
    <w:rsid w:val="00162767"/>
    <w:rsid w:val="00162B4E"/>
    <w:rsid w:val="00162BF2"/>
    <w:rsid w:val="00162E1F"/>
    <w:rsid w:val="00162F20"/>
    <w:rsid w:val="00162F75"/>
    <w:rsid w:val="00163237"/>
    <w:rsid w:val="00163388"/>
    <w:rsid w:val="001633C8"/>
    <w:rsid w:val="0016390E"/>
    <w:rsid w:val="0016448B"/>
    <w:rsid w:val="001645DA"/>
    <w:rsid w:val="00164BA3"/>
    <w:rsid w:val="0016570C"/>
    <w:rsid w:val="001658F9"/>
    <w:rsid w:val="00165903"/>
    <w:rsid w:val="001659C2"/>
    <w:rsid w:val="0016642B"/>
    <w:rsid w:val="00166AC1"/>
    <w:rsid w:val="00166B36"/>
    <w:rsid w:val="00166BE5"/>
    <w:rsid w:val="00167378"/>
    <w:rsid w:val="001675BB"/>
    <w:rsid w:val="001675C9"/>
    <w:rsid w:val="001700BB"/>
    <w:rsid w:val="00170854"/>
    <w:rsid w:val="00170E0F"/>
    <w:rsid w:val="00171216"/>
    <w:rsid w:val="0017122C"/>
    <w:rsid w:val="001714F1"/>
    <w:rsid w:val="00171556"/>
    <w:rsid w:val="00171CE5"/>
    <w:rsid w:val="00171F5E"/>
    <w:rsid w:val="00172228"/>
    <w:rsid w:val="001722FE"/>
    <w:rsid w:val="0017281C"/>
    <w:rsid w:val="0017297C"/>
    <w:rsid w:val="00172D35"/>
    <w:rsid w:val="00173668"/>
    <w:rsid w:val="00173D25"/>
    <w:rsid w:val="001742A7"/>
    <w:rsid w:val="00174348"/>
    <w:rsid w:val="00174E3A"/>
    <w:rsid w:val="00175290"/>
    <w:rsid w:val="00176310"/>
    <w:rsid w:val="00176FBD"/>
    <w:rsid w:val="00177097"/>
    <w:rsid w:val="001771F9"/>
    <w:rsid w:val="00177318"/>
    <w:rsid w:val="00177585"/>
    <w:rsid w:val="00177725"/>
    <w:rsid w:val="001777F8"/>
    <w:rsid w:val="00177895"/>
    <w:rsid w:val="001778C1"/>
    <w:rsid w:val="00177B6E"/>
    <w:rsid w:val="00177DAD"/>
    <w:rsid w:val="00177F3D"/>
    <w:rsid w:val="00180181"/>
    <w:rsid w:val="0018050D"/>
    <w:rsid w:val="00180C06"/>
    <w:rsid w:val="00180D5A"/>
    <w:rsid w:val="0018112B"/>
    <w:rsid w:val="0018120E"/>
    <w:rsid w:val="001815E6"/>
    <w:rsid w:val="00181687"/>
    <w:rsid w:val="00181E04"/>
    <w:rsid w:val="0018331B"/>
    <w:rsid w:val="00183580"/>
    <w:rsid w:val="00183742"/>
    <w:rsid w:val="00183FD2"/>
    <w:rsid w:val="00184354"/>
    <w:rsid w:val="001844C7"/>
    <w:rsid w:val="00184A21"/>
    <w:rsid w:val="001853C8"/>
    <w:rsid w:val="001854F7"/>
    <w:rsid w:val="001855F2"/>
    <w:rsid w:val="001856AC"/>
    <w:rsid w:val="001856D0"/>
    <w:rsid w:val="001858BD"/>
    <w:rsid w:val="00185AD1"/>
    <w:rsid w:val="00185C92"/>
    <w:rsid w:val="00185F76"/>
    <w:rsid w:val="001862BF"/>
    <w:rsid w:val="00186A16"/>
    <w:rsid w:val="0018791F"/>
    <w:rsid w:val="00187D61"/>
    <w:rsid w:val="0019050A"/>
    <w:rsid w:val="00190AB7"/>
    <w:rsid w:val="00190B8B"/>
    <w:rsid w:val="00190D31"/>
    <w:rsid w:val="00191094"/>
    <w:rsid w:val="0019137D"/>
    <w:rsid w:val="0019157B"/>
    <w:rsid w:val="001916E6"/>
    <w:rsid w:val="001919A8"/>
    <w:rsid w:val="00191DBD"/>
    <w:rsid w:val="00191EB0"/>
    <w:rsid w:val="00192417"/>
    <w:rsid w:val="00192503"/>
    <w:rsid w:val="001927BF"/>
    <w:rsid w:val="00193237"/>
    <w:rsid w:val="00193AAC"/>
    <w:rsid w:val="00193AC1"/>
    <w:rsid w:val="001948C6"/>
    <w:rsid w:val="001948F5"/>
    <w:rsid w:val="00194FA0"/>
    <w:rsid w:val="0019558E"/>
    <w:rsid w:val="0019573B"/>
    <w:rsid w:val="00195800"/>
    <w:rsid w:val="00195D09"/>
    <w:rsid w:val="00195EC0"/>
    <w:rsid w:val="00196237"/>
    <w:rsid w:val="00196269"/>
    <w:rsid w:val="001964B2"/>
    <w:rsid w:val="0019674A"/>
    <w:rsid w:val="0019698D"/>
    <w:rsid w:val="0019699F"/>
    <w:rsid w:val="00196D8B"/>
    <w:rsid w:val="00196DBA"/>
    <w:rsid w:val="00196E88"/>
    <w:rsid w:val="0019768A"/>
    <w:rsid w:val="0019779F"/>
    <w:rsid w:val="001978B9"/>
    <w:rsid w:val="00197A0D"/>
    <w:rsid w:val="00197ABC"/>
    <w:rsid w:val="00197B3B"/>
    <w:rsid w:val="00197D8E"/>
    <w:rsid w:val="001A00F3"/>
    <w:rsid w:val="001A031D"/>
    <w:rsid w:val="001A078E"/>
    <w:rsid w:val="001A088D"/>
    <w:rsid w:val="001A0B88"/>
    <w:rsid w:val="001A0D4A"/>
    <w:rsid w:val="001A0D7D"/>
    <w:rsid w:val="001A0E90"/>
    <w:rsid w:val="001A11E9"/>
    <w:rsid w:val="001A15B6"/>
    <w:rsid w:val="001A1607"/>
    <w:rsid w:val="001A17BA"/>
    <w:rsid w:val="001A188E"/>
    <w:rsid w:val="001A1B94"/>
    <w:rsid w:val="001A229B"/>
    <w:rsid w:val="001A234F"/>
    <w:rsid w:val="001A2D5A"/>
    <w:rsid w:val="001A2E50"/>
    <w:rsid w:val="001A3149"/>
    <w:rsid w:val="001A3292"/>
    <w:rsid w:val="001A3E0F"/>
    <w:rsid w:val="001A42EC"/>
    <w:rsid w:val="001A42F9"/>
    <w:rsid w:val="001A4304"/>
    <w:rsid w:val="001A47B3"/>
    <w:rsid w:val="001A49E2"/>
    <w:rsid w:val="001A4BA7"/>
    <w:rsid w:val="001A4DDF"/>
    <w:rsid w:val="001A50FC"/>
    <w:rsid w:val="001A513D"/>
    <w:rsid w:val="001A56CC"/>
    <w:rsid w:val="001A572E"/>
    <w:rsid w:val="001A5801"/>
    <w:rsid w:val="001A59FE"/>
    <w:rsid w:val="001A5D3C"/>
    <w:rsid w:val="001A5E5A"/>
    <w:rsid w:val="001A609C"/>
    <w:rsid w:val="001A6972"/>
    <w:rsid w:val="001A6A71"/>
    <w:rsid w:val="001A6AD4"/>
    <w:rsid w:val="001A6AFE"/>
    <w:rsid w:val="001A6EEF"/>
    <w:rsid w:val="001A76DB"/>
    <w:rsid w:val="001A7850"/>
    <w:rsid w:val="001A7D38"/>
    <w:rsid w:val="001A7DF3"/>
    <w:rsid w:val="001B00F0"/>
    <w:rsid w:val="001B045C"/>
    <w:rsid w:val="001B0559"/>
    <w:rsid w:val="001B060B"/>
    <w:rsid w:val="001B0D64"/>
    <w:rsid w:val="001B0DF8"/>
    <w:rsid w:val="001B1204"/>
    <w:rsid w:val="001B1726"/>
    <w:rsid w:val="001B1987"/>
    <w:rsid w:val="001B1F36"/>
    <w:rsid w:val="001B20DF"/>
    <w:rsid w:val="001B21AE"/>
    <w:rsid w:val="001B267E"/>
    <w:rsid w:val="001B277A"/>
    <w:rsid w:val="001B2DAA"/>
    <w:rsid w:val="001B306A"/>
    <w:rsid w:val="001B31BF"/>
    <w:rsid w:val="001B32F7"/>
    <w:rsid w:val="001B34E1"/>
    <w:rsid w:val="001B360C"/>
    <w:rsid w:val="001B3710"/>
    <w:rsid w:val="001B39EA"/>
    <w:rsid w:val="001B4012"/>
    <w:rsid w:val="001B4252"/>
    <w:rsid w:val="001B4899"/>
    <w:rsid w:val="001B4D14"/>
    <w:rsid w:val="001B4DC0"/>
    <w:rsid w:val="001B50AF"/>
    <w:rsid w:val="001B573B"/>
    <w:rsid w:val="001B5809"/>
    <w:rsid w:val="001B5F84"/>
    <w:rsid w:val="001B5FD2"/>
    <w:rsid w:val="001B6241"/>
    <w:rsid w:val="001B62A6"/>
    <w:rsid w:val="001B63CD"/>
    <w:rsid w:val="001B63E9"/>
    <w:rsid w:val="001B656F"/>
    <w:rsid w:val="001B67C0"/>
    <w:rsid w:val="001B67D4"/>
    <w:rsid w:val="001B69E7"/>
    <w:rsid w:val="001B6A8B"/>
    <w:rsid w:val="001B6B2D"/>
    <w:rsid w:val="001B6D76"/>
    <w:rsid w:val="001B6E11"/>
    <w:rsid w:val="001B6FCF"/>
    <w:rsid w:val="001B76C2"/>
    <w:rsid w:val="001B7750"/>
    <w:rsid w:val="001B7AA3"/>
    <w:rsid w:val="001B7C17"/>
    <w:rsid w:val="001C00F4"/>
    <w:rsid w:val="001C01EF"/>
    <w:rsid w:val="001C026D"/>
    <w:rsid w:val="001C0595"/>
    <w:rsid w:val="001C061E"/>
    <w:rsid w:val="001C09A4"/>
    <w:rsid w:val="001C0C9D"/>
    <w:rsid w:val="001C1372"/>
    <w:rsid w:val="001C139A"/>
    <w:rsid w:val="001C13D7"/>
    <w:rsid w:val="001C1ED7"/>
    <w:rsid w:val="001C243E"/>
    <w:rsid w:val="001C2D34"/>
    <w:rsid w:val="001C3008"/>
    <w:rsid w:val="001C3429"/>
    <w:rsid w:val="001C384D"/>
    <w:rsid w:val="001C417C"/>
    <w:rsid w:val="001C4351"/>
    <w:rsid w:val="001C44E2"/>
    <w:rsid w:val="001C4548"/>
    <w:rsid w:val="001C469D"/>
    <w:rsid w:val="001C476F"/>
    <w:rsid w:val="001C4EF3"/>
    <w:rsid w:val="001C4F80"/>
    <w:rsid w:val="001C52B7"/>
    <w:rsid w:val="001C5A19"/>
    <w:rsid w:val="001C5D18"/>
    <w:rsid w:val="001C5F4E"/>
    <w:rsid w:val="001C6080"/>
    <w:rsid w:val="001C6758"/>
    <w:rsid w:val="001C6B18"/>
    <w:rsid w:val="001C6EAA"/>
    <w:rsid w:val="001C70F4"/>
    <w:rsid w:val="001C75D5"/>
    <w:rsid w:val="001C784F"/>
    <w:rsid w:val="001C791C"/>
    <w:rsid w:val="001D097C"/>
    <w:rsid w:val="001D135F"/>
    <w:rsid w:val="001D1403"/>
    <w:rsid w:val="001D156C"/>
    <w:rsid w:val="001D17FB"/>
    <w:rsid w:val="001D1A02"/>
    <w:rsid w:val="001D1CD8"/>
    <w:rsid w:val="001D1DEB"/>
    <w:rsid w:val="001D24B1"/>
    <w:rsid w:val="001D25DE"/>
    <w:rsid w:val="001D2725"/>
    <w:rsid w:val="001D2834"/>
    <w:rsid w:val="001D2ADC"/>
    <w:rsid w:val="001D38D1"/>
    <w:rsid w:val="001D3C59"/>
    <w:rsid w:val="001D4255"/>
    <w:rsid w:val="001D43FC"/>
    <w:rsid w:val="001D4A1B"/>
    <w:rsid w:val="001D5C4B"/>
    <w:rsid w:val="001D5CBB"/>
    <w:rsid w:val="001D5CEF"/>
    <w:rsid w:val="001D6157"/>
    <w:rsid w:val="001D6331"/>
    <w:rsid w:val="001D665F"/>
    <w:rsid w:val="001D671D"/>
    <w:rsid w:val="001D6817"/>
    <w:rsid w:val="001D6F8C"/>
    <w:rsid w:val="001D7384"/>
    <w:rsid w:val="001D7D83"/>
    <w:rsid w:val="001E01C1"/>
    <w:rsid w:val="001E0514"/>
    <w:rsid w:val="001E05F9"/>
    <w:rsid w:val="001E0700"/>
    <w:rsid w:val="001E0F06"/>
    <w:rsid w:val="001E11C6"/>
    <w:rsid w:val="001E139F"/>
    <w:rsid w:val="001E19C2"/>
    <w:rsid w:val="001E1B16"/>
    <w:rsid w:val="001E1B27"/>
    <w:rsid w:val="001E1E98"/>
    <w:rsid w:val="001E2032"/>
    <w:rsid w:val="001E2106"/>
    <w:rsid w:val="001E2BC7"/>
    <w:rsid w:val="001E2EA8"/>
    <w:rsid w:val="001E32D1"/>
    <w:rsid w:val="001E3398"/>
    <w:rsid w:val="001E3D16"/>
    <w:rsid w:val="001E3E4C"/>
    <w:rsid w:val="001E3EB1"/>
    <w:rsid w:val="001E4096"/>
    <w:rsid w:val="001E43DE"/>
    <w:rsid w:val="001E4DD7"/>
    <w:rsid w:val="001E4F32"/>
    <w:rsid w:val="001E551B"/>
    <w:rsid w:val="001E6446"/>
    <w:rsid w:val="001E649B"/>
    <w:rsid w:val="001E70E2"/>
    <w:rsid w:val="001E72EE"/>
    <w:rsid w:val="001E761B"/>
    <w:rsid w:val="001E7643"/>
    <w:rsid w:val="001E7B1D"/>
    <w:rsid w:val="001E7BC1"/>
    <w:rsid w:val="001F0652"/>
    <w:rsid w:val="001F0C58"/>
    <w:rsid w:val="001F0C5A"/>
    <w:rsid w:val="001F147D"/>
    <w:rsid w:val="001F2161"/>
    <w:rsid w:val="001F220B"/>
    <w:rsid w:val="001F233B"/>
    <w:rsid w:val="001F2913"/>
    <w:rsid w:val="001F3FFC"/>
    <w:rsid w:val="001F4A3D"/>
    <w:rsid w:val="001F4AE6"/>
    <w:rsid w:val="001F4B60"/>
    <w:rsid w:val="001F4D16"/>
    <w:rsid w:val="001F4E8C"/>
    <w:rsid w:val="001F526B"/>
    <w:rsid w:val="001F554C"/>
    <w:rsid w:val="001F5977"/>
    <w:rsid w:val="001F5D67"/>
    <w:rsid w:val="001F5DC5"/>
    <w:rsid w:val="001F5EFC"/>
    <w:rsid w:val="001F606E"/>
    <w:rsid w:val="001F620B"/>
    <w:rsid w:val="001F651C"/>
    <w:rsid w:val="001F6B1B"/>
    <w:rsid w:val="001F6EEC"/>
    <w:rsid w:val="001F7148"/>
    <w:rsid w:val="001F77E7"/>
    <w:rsid w:val="001F7DA8"/>
    <w:rsid w:val="00200001"/>
    <w:rsid w:val="00200225"/>
    <w:rsid w:val="002002DA"/>
    <w:rsid w:val="00200666"/>
    <w:rsid w:val="00200926"/>
    <w:rsid w:val="002009F0"/>
    <w:rsid w:val="002013E1"/>
    <w:rsid w:val="00201604"/>
    <w:rsid w:val="0020160E"/>
    <w:rsid w:val="002018EB"/>
    <w:rsid w:val="00201936"/>
    <w:rsid w:val="00202287"/>
    <w:rsid w:val="0020286B"/>
    <w:rsid w:val="002032DB"/>
    <w:rsid w:val="00203724"/>
    <w:rsid w:val="00203B78"/>
    <w:rsid w:val="00203CAB"/>
    <w:rsid w:val="002040D1"/>
    <w:rsid w:val="0020467F"/>
    <w:rsid w:val="00204A58"/>
    <w:rsid w:val="00205272"/>
    <w:rsid w:val="002052CD"/>
    <w:rsid w:val="002058FE"/>
    <w:rsid w:val="00205B04"/>
    <w:rsid w:val="00205CAC"/>
    <w:rsid w:val="00205D7E"/>
    <w:rsid w:val="00206527"/>
    <w:rsid w:val="002068E3"/>
    <w:rsid w:val="00206ADD"/>
    <w:rsid w:val="00206E85"/>
    <w:rsid w:val="00207007"/>
    <w:rsid w:val="002076AB"/>
    <w:rsid w:val="00207720"/>
    <w:rsid w:val="002100AA"/>
    <w:rsid w:val="002100C4"/>
    <w:rsid w:val="0021041D"/>
    <w:rsid w:val="002104BB"/>
    <w:rsid w:val="0021052A"/>
    <w:rsid w:val="00210736"/>
    <w:rsid w:val="00210971"/>
    <w:rsid w:val="00210EDB"/>
    <w:rsid w:val="002119F3"/>
    <w:rsid w:val="00211E4B"/>
    <w:rsid w:val="00212228"/>
    <w:rsid w:val="00212267"/>
    <w:rsid w:val="002138C0"/>
    <w:rsid w:val="00213E4C"/>
    <w:rsid w:val="00214309"/>
    <w:rsid w:val="002143CD"/>
    <w:rsid w:val="00214435"/>
    <w:rsid w:val="00214C85"/>
    <w:rsid w:val="00214ED5"/>
    <w:rsid w:val="002151E4"/>
    <w:rsid w:val="0021547C"/>
    <w:rsid w:val="002154A0"/>
    <w:rsid w:val="00215A77"/>
    <w:rsid w:val="00215EF0"/>
    <w:rsid w:val="002165D5"/>
    <w:rsid w:val="00216B9B"/>
    <w:rsid w:val="00216CBD"/>
    <w:rsid w:val="00216EC3"/>
    <w:rsid w:val="0021776A"/>
    <w:rsid w:val="002178C0"/>
    <w:rsid w:val="00217A82"/>
    <w:rsid w:val="00217CAA"/>
    <w:rsid w:val="00217D5D"/>
    <w:rsid w:val="00217E74"/>
    <w:rsid w:val="00217F26"/>
    <w:rsid w:val="00220A66"/>
    <w:rsid w:val="00221339"/>
    <w:rsid w:val="002213F9"/>
    <w:rsid w:val="00221444"/>
    <w:rsid w:val="00221FFE"/>
    <w:rsid w:val="00222303"/>
    <w:rsid w:val="0022246D"/>
    <w:rsid w:val="00222AFA"/>
    <w:rsid w:val="002231F9"/>
    <w:rsid w:val="0022403F"/>
    <w:rsid w:val="002240F5"/>
    <w:rsid w:val="00224255"/>
    <w:rsid w:val="002244D6"/>
    <w:rsid w:val="0022452F"/>
    <w:rsid w:val="00224756"/>
    <w:rsid w:val="002247F8"/>
    <w:rsid w:val="00224B4E"/>
    <w:rsid w:val="00224C2F"/>
    <w:rsid w:val="0022519A"/>
    <w:rsid w:val="00225364"/>
    <w:rsid w:val="0022587E"/>
    <w:rsid w:val="00225887"/>
    <w:rsid w:val="00225A77"/>
    <w:rsid w:val="00226099"/>
    <w:rsid w:val="002263F4"/>
    <w:rsid w:val="00226A3B"/>
    <w:rsid w:val="00226BB3"/>
    <w:rsid w:val="00226BE4"/>
    <w:rsid w:val="0022704A"/>
    <w:rsid w:val="00227138"/>
    <w:rsid w:val="002277D4"/>
    <w:rsid w:val="00227929"/>
    <w:rsid w:val="00227B47"/>
    <w:rsid w:val="00227EA1"/>
    <w:rsid w:val="0023044A"/>
    <w:rsid w:val="0023093D"/>
    <w:rsid w:val="00230CB1"/>
    <w:rsid w:val="00230CE5"/>
    <w:rsid w:val="00231117"/>
    <w:rsid w:val="0023197E"/>
    <w:rsid w:val="00231AC8"/>
    <w:rsid w:val="002326D4"/>
    <w:rsid w:val="002326FD"/>
    <w:rsid w:val="00232C3B"/>
    <w:rsid w:val="002330D2"/>
    <w:rsid w:val="002334B0"/>
    <w:rsid w:val="0023367C"/>
    <w:rsid w:val="002337DD"/>
    <w:rsid w:val="00233C9F"/>
    <w:rsid w:val="00233D5C"/>
    <w:rsid w:val="00233E9B"/>
    <w:rsid w:val="0023411D"/>
    <w:rsid w:val="0023425B"/>
    <w:rsid w:val="00234656"/>
    <w:rsid w:val="002347B1"/>
    <w:rsid w:val="002348F9"/>
    <w:rsid w:val="002348FC"/>
    <w:rsid w:val="00234959"/>
    <w:rsid w:val="00234B1E"/>
    <w:rsid w:val="00235514"/>
    <w:rsid w:val="0023586A"/>
    <w:rsid w:val="00235961"/>
    <w:rsid w:val="00235F3C"/>
    <w:rsid w:val="0023660E"/>
    <w:rsid w:val="0023675E"/>
    <w:rsid w:val="0023680C"/>
    <w:rsid w:val="00236D9B"/>
    <w:rsid w:val="00237B74"/>
    <w:rsid w:val="00237D05"/>
    <w:rsid w:val="002403F5"/>
    <w:rsid w:val="0024041C"/>
    <w:rsid w:val="002405BD"/>
    <w:rsid w:val="00241257"/>
    <w:rsid w:val="00241634"/>
    <w:rsid w:val="00241640"/>
    <w:rsid w:val="00241CAE"/>
    <w:rsid w:val="00241DE3"/>
    <w:rsid w:val="002425CE"/>
    <w:rsid w:val="002428A0"/>
    <w:rsid w:val="00242ED5"/>
    <w:rsid w:val="002432F7"/>
    <w:rsid w:val="00243F45"/>
    <w:rsid w:val="00244234"/>
    <w:rsid w:val="00244562"/>
    <w:rsid w:val="002445C6"/>
    <w:rsid w:val="00244677"/>
    <w:rsid w:val="0024470E"/>
    <w:rsid w:val="00244767"/>
    <w:rsid w:val="002450A3"/>
    <w:rsid w:val="00245395"/>
    <w:rsid w:val="00245B3D"/>
    <w:rsid w:val="00245CD4"/>
    <w:rsid w:val="00246337"/>
    <w:rsid w:val="002465BD"/>
    <w:rsid w:val="00246BB1"/>
    <w:rsid w:val="002471B4"/>
    <w:rsid w:val="00247782"/>
    <w:rsid w:val="00247895"/>
    <w:rsid w:val="0024798B"/>
    <w:rsid w:val="00247D49"/>
    <w:rsid w:val="00247E08"/>
    <w:rsid w:val="00247F49"/>
    <w:rsid w:val="00247F61"/>
    <w:rsid w:val="002506C6"/>
    <w:rsid w:val="0025070B"/>
    <w:rsid w:val="0025090C"/>
    <w:rsid w:val="00250F3F"/>
    <w:rsid w:val="00250F59"/>
    <w:rsid w:val="00251097"/>
    <w:rsid w:val="002514C1"/>
    <w:rsid w:val="00251537"/>
    <w:rsid w:val="002519CC"/>
    <w:rsid w:val="00251CC9"/>
    <w:rsid w:val="00251EA7"/>
    <w:rsid w:val="00251ECA"/>
    <w:rsid w:val="00252C82"/>
    <w:rsid w:val="00252CC5"/>
    <w:rsid w:val="00252CF2"/>
    <w:rsid w:val="00252E2B"/>
    <w:rsid w:val="00252E96"/>
    <w:rsid w:val="002539CF"/>
    <w:rsid w:val="00253CA7"/>
    <w:rsid w:val="0025428C"/>
    <w:rsid w:val="00254739"/>
    <w:rsid w:val="002557C9"/>
    <w:rsid w:val="00256066"/>
    <w:rsid w:val="00256231"/>
    <w:rsid w:val="002562EE"/>
    <w:rsid w:val="002568FF"/>
    <w:rsid w:val="00256A05"/>
    <w:rsid w:val="00256A8D"/>
    <w:rsid w:val="00256AF7"/>
    <w:rsid w:val="002570BC"/>
    <w:rsid w:val="0025719B"/>
    <w:rsid w:val="00257288"/>
    <w:rsid w:val="002573DC"/>
    <w:rsid w:val="00257A9E"/>
    <w:rsid w:val="00257C30"/>
    <w:rsid w:val="00257EDD"/>
    <w:rsid w:val="0026004B"/>
    <w:rsid w:val="002600D4"/>
    <w:rsid w:val="0026031A"/>
    <w:rsid w:val="002605B2"/>
    <w:rsid w:val="00260C38"/>
    <w:rsid w:val="00260DED"/>
    <w:rsid w:val="0026198A"/>
    <w:rsid w:val="00261F6C"/>
    <w:rsid w:val="00261FE7"/>
    <w:rsid w:val="00262200"/>
    <w:rsid w:val="0026227B"/>
    <w:rsid w:val="00262424"/>
    <w:rsid w:val="00262719"/>
    <w:rsid w:val="002635F5"/>
    <w:rsid w:val="002641BC"/>
    <w:rsid w:val="00264209"/>
    <w:rsid w:val="00264229"/>
    <w:rsid w:val="0026427C"/>
    <w:rsid w:val="00264398"/>
    <w:rsid w:val="00264433"/>
    <w:rsid w:val="00264684"/>
    <w:rsid w:val="00264793"/>
    <w:rsid w:val="00264F08"/>
    <w:rsid w:val="00264F5D"/>
    <w:rsid w:val="0026515C"/>
    <w:rsid w:val="0026519C"/>
    <w:rsid w:val="002653AB"/>
    <w:rsid w:val="0026584F"/>
    <w:rsid w:val="00265AF7"/>
    <w:rsid w:val="00265FD6"/>
    <w:rsid w:val="00266146"/>
    <w:rsid w:val="00266165"/>
    <w:rsid w:val="002666F0"/>
    <w:rsid w:val="00266F14"/>
    <w:rsid w:val="00267015"/>
    <w:rsid w:val="002671A7"/>
    <w:rsid w:val="00267FE0"/>
    <w:rsid w:val="002700DE"/>
    <w:rsid w:val="0027029E"/>
    <w:rsid w:val="002703DD"/>
    <w:rsid w:val="00270430"/>
    <w:rsid w:val="00270D87"/>
    <w:rsid w:val="00270FE9"/>
    <w:rsid w:val="0027119F"/>
    <w:rsid w:val="0027127A"/>
    <w:rsid w:val="002712FB"/>
    <w:rsid w:val="0027133C"/>
    <w:rsid w:val="00271723"/>
    <w:rsid w:val="00271B0F"/>
    <w:rsid w:val="002720B9"/>
    <w:rsid w:val="002720E2"/>
    <w:rsid w:val="00272121"/>
    <w:rsid w:val="002722C6"/>
    <w:rsid w:val="0027244E"/>
    <w:rsid w:val="00272730"/>
    <w:rsid w:val="0027283C"/>
    <w:rsid w:val="00272EB3"/>
    <w:rsid w:val="00273111"/>
    <w:rsid w:val="002738F5"/>
    <w:rsid w:val="00273CB9"/>
    <w:rsid w:val="002743B8"/>
    <w:rsid w:val="00274AF0"/>
    <w:rsid w:val="00274E2A"/>
    <w:rsid w:val="00274FEF"/>
    <w:rsid w:val="0027525D"/>
    <w:rsid w:val="0027546A"/>
    <w:rsid w:val="00275596"/>
    <w:rsid w:val="00275731"/>
    <w:rsid w:val="002757E4"/>
    <w:rsid w:val="00275927"/>
    <w:rsid w:val="00275AB9"/>
    <w:rsid w:val="00275AD1"/>
    <w:rsid w:val="00275B95"/>
    <w:rsid w:val="00275D42"/>
    <w:rsid w:val="00275F9A"/>
    <w:rsid w:val="002764C1"/>
    <w:rsid w:val="0027672B"/>
    <w:rsid w:val="002769C8"/>
    <w:rsid w:val="00276CE2"/>
    <w:rsid w:val="00276E57"/>
    <w:rsid w:val="002771FB"/>
    <w:rsid w:val="00277310"/>
    <w:rsid w:val="00277D02"/>
    <w:rsid w:val="00277EC9"/>
    <w:rsid w:val="00280267"/>
    <w:rsid w:val="002806EC"/>
    <w:rsid w:val="00280C0A"/>
    <w:rsid w:val="002810B6"/>
    <w:rsid w:val="002811DE"/>
    <w:rsid w:val="00281CD6"/>
    <w:rsid w:val="0028207C"/>
    <w:rsid w:val="0028213B"/>
    <w:rsid w:val="002828DD"/>
    <w:rsid w:val="0028357E"/>
    <w:rsid w:val="002837CB"/>
    <w:rsid w:val="00284007"/>
    <w:rsid w:val="0028405E"/>
    <w:rsid w:val="002846F2"/>
    <w:rsid w:val="002848BD"/>
    <w:rsid w:val="00284B7F"/>
    <w:rsid w:val="00284B9D"/>
    <w:rsid w:val="00285CD1"/>
    <w:rsid w:val="00285DFD"/>
    <w:rsid w:val="002863FF"/>
    <w:rsid w:val="002864F0"/>
    <w:rsid w:val="00286834"/>
    <w:rsid w:val="00286E13"/>
    <w:rsid w:val="00287957"/>
    <w:rsid w:val="00287C46"/>
    <w:rsid w:val="00290254"/>
    <w:rsid w:val="00290509"/>
    <w:rsid w:val="00290AE5"/>
    <w:rsid w:val="00291059"/>
    <w:rsid w:val="00291B8D"/>
    <w:rsid w:val="00292707"/>
    <w:rsid w:val="00292CB9"/>
    <w:rsid w:val="0029314E"/>
    <w:rsid w:val="002931F4"/>
    <w:rsid w:val="00293234"/>
    <w:rsid w:val="00293277"/>
    <w:rsid w:val="00293341"/>
    <w:rsid w:val="0029362C"/>
    <w:rsid w:val="00293A1D"/>
    <w:rsid w:val="00293E1B"/>
    <w:rsid w:val="00293EBA"/>
    <w:rsid w:val="00293F57"/>
    <w:rsid w:val="0029506A"/>
    <w:rsid w:val="0029552D"/>
    <w:rsid w:val="0029570B"/>
    <w:rsid w:val="00295AC4"/>
    <w:rsid w:val="00295F7B"/>
    <w:rsid w:val="00296093"/>
    <w:rsid w:val="002963DF"/>
    <w:rsid w:val="00296753"/>
    <w:rsid w:val="00296C1A"/>
    <w:rsid w:val="00296D3D"/>
    <w:rsid w:val="0029799C"/>
    <w:rsid w:val="00297BA7"/>
    <w:rsid w:val="002A0068"/>
    <w:rsid w:val="002A0246"/>
    <w:rsid w:val="002A053A"/>
    <w:rsid w:val="002A0631"/>
    <w:rsid w:val="002A0AAB"/>
    <w:rsid w:val="002A0BD6"/>
    <w:rsid w:val="002A0EC1"/>
    <w:rsid w:val="002A10A9"/>
    <w:rsid w:val="002A13D7"/>
    <w:rsid w:val="002A1650"/>
    <w:rsid w:val="002A170B"/>
    <w:rsid w:val="002A1715"/>
    <w:rsid w:val="002A172D"/>
    <w:rsid w:val="002A1835"/>
    <w:rsid w:val="002A1953"/>
    <w:rsid w:val="002A19B8"/>
    <w:rsid w:val="002A1BE6"/>
    <w:rsid w:val="002A1CD4"/>
    <w:rsid w:val="002A2067"/>
    <w:rsid w:val="002A20DC"/>
    <w:rsid w:val="002A2267"/>
    <w:rsid w:val="002A24CE"/>
    <w:rsid w:val="002A2C01"/>
    <w:rsid w:val="002A2DBC"/>
    <w:rsid w:val="002A30B8"/>
    <w:rsid w:val="002A3232"/>
    <w:rsid w:val="002A3271"/>
    <w:rsid w:val="002A3C98"/>
    <w:rsid w:val="002A3D03"/>
    <w:rsid w:val="002A3EFD"/>
    <w:rsid w:val="002A3F4A"/>
    <w:rsid w:val="002A40F1"/>
    <w:rsid w:val="002A4754"/>
    <w:rsid w:val="002A4928"/>
    <w:rsid w:val="002A4A2B"/>
    <w:rsid w:val="002A4AA5"/>
    <w:rsid w:val="002A4B39"/>
    <w:rsid w:val="002A4B8A"/>
    <w:rsid w:val="002A4C0A"/>
    <w:rsid w:val="002A515C"/>
    <w:rsid w:val="002A53A4"/>
    <w:rsid w:val="002A5A51"/>
    <w:rsid w:val="002A5AEE"/>
    <w:rsid w:val="002A5B12"/>
    <w:rsid w:val="002A5C7E"/>
    <w:rsid w:val="002A5D9C"/>
    <w:rsid w:val="002A5EDE"/>
    <w:rsid w:val="002A662E"/>
    <w:rsid w:val="002A6F01"/>
    <w:rsid w:val="002A79C6"/>
    <w:rsid w:val="002A7BEA"/>
    <w:rsid w:val="002A7EE0"/>
    <w:rsid w:val="002A7F7D"/>
    <w:rsid w:val="002B00D2"/>
    <w:rsid w:val="002B0117"/>
    <w:rsid w:val="002B0268"/>
    <w:rsid w:val="002B045A"/>
    <w:rsid w:val="002B071E"/>
    <w:rsid w:val="002B132A"/>
    <w:rsid w:val="002B16F8"/>
    <w:rsid w:val="002B1960"/>
    <w:rsid w:val="002B19CD"/>
    <w:rsid w:val="002B1A49"/>
    <w:rsid w:val="002B1ACB"/>
    <w:rsid w:val="002B1B45"/>
    <w:rsid w:val="002B1DB5"/>
    <w:rsid w:val="002B1F68"/>
    <w:rsid w:val="002B2905"/>
    <w:rsid w:val="002B2A8B"/>
    <w:rsid w:val="002B2C0C"/>
    <w:rsid w:val="002B2CC5"/>
    <w:rsid w:val="002B3136"/>
    <w:rsid w:val="002B3202"/>
    <w:rsid w:val="002B3BF2"/>
    <w:rsid w:val="002B3E44"/>
    <w:rsid w:val="002B4018"/>
    <w:rsid w:val="002B408F"/>
    <w:rsid w:val="002B429E"/>
    <w:rsid w:val="002B42DA"/>
    <w:rsid w:val="002B4302"/>
    <w:rsid w:val="002B44F1"/>
    <w:rsid w:val="002B4A9E"/>
    <w:rsid w:val="002B4AF6"/>
    <w:rsid w:val="002B4CA4"/>
    <w:rsid w:val="002B51A8"/>
    <w:rsid w:val="002B51EF"/>
    <w:rsid w:val="002B52AA"/>
    <w:rsid w:val="002B541D"/>
    <w:rsid w:val="002B55CD"/>
    <w:rsid w:val="002B579E"/>
    <w:rsid w:val="002B596A"/>
    <w:rsid w:val="002B6151"/>
    <w:rsid w:val="002B61AB"/>
    <w:rsid w:val="002B6211"/>
    <w:rsid w:val="002B68FA"/>
    <w:rsid w:val="002B6BD0"/>
    <w:rsid w:val="002C0611"/>
    <w:rsid w:val="002C0931"/>
    <w:rsid w:val="002C0996"/>
    <w:rsid w:val="002C0A36"/>
    <w:rsid w:val="002C0C71"/>
    <w:rsid w:val="002C0E16"/>
    <w:rsid w:val="002C1080"/>
    <w:rsid w:val="002C108B"/>
    <w:rsid w:val="002C1984"/>
    <w:rsid w:val="002C1E23"/>
    <w:rsid w:val="002C210D"/>
    <w:rsid w:val="002C21BC"/>
    <w:rsid w:val="002C2DF8"/>
    <w:rsid w:val="002C3215"/>
    <w:rsid w:val="002C3552"/>
    <w:rsid w:val="002C3B47"/>
    <w:rsid w:val="002C3D5C"/>
    <w:rsid w:val="002C43AF"/>
    <w:rsid w:val="002C452D"/>
    <w:rsid w:val="002C45A2"/>
    <w:rsid w:val="002C46DF"/>
    <w:rsid w:val="002C4D34"/>
    <w:rsid w:val="002C4E25"/>
    <w:rsid w:val="002C4E6C"/>
    <w:rsid w:val="002C5310"/>
    <w:rsid w:val="002C532B"/>
    <w:rsid w:val="002C59F5"/>
    <w:rsid w:val="002C5FD0"/>
    <w:rsid w:val="002C6098"/>
    <w:rsid w:val="002C6499"/>
    <w:rsid w:val="002C654D"/>
    <w:rsid w:val="002C65F6"/>
    <w:rsid w:val="002C7057"/>
    <w:rsid w:val="002C744D"/>
    <w:rsid w:val="002C7D5C"/>
    <w:rsid w:val="002D0181"/>
    <w:rsid w:val="002D036F"/>
    <w:rsid w:val="002D053F"/>
    <w:rsid w:val="002D0AF3"/>
    <w:rsid w:val="002D0B24"/>
    <w:rsid w:val="002D15A7"/>
    <w:rsid w:val="002D225F"/>
    <w:rsid w:val="002D251B"/>
    <w:rsid w:val="002D333B"/>
    <w:rsid w:val="002D3372"/>
    <w:rsid w:val="002D3C47"/>
    <w:rsid w:val="002D3DDB"/>
    <w:rsid w:val="002D4F63"/>
    <w:rsid w:val="002D5325"/>
    <w:rsid w:val="002D5B35"/>
    <w:rsid w:val="002D5C34"/>
    <w:rsid w:val="002D5F6B"/>
    <w:rsid w:val="002D6319"/>
    <w:rsid w:val="002D6422"/>
    <w:rsid w:val="002D7FD6"/>
    <w:rsid w:val="002E00D5"/>
    <w:rsid w:val="002E0549"/>
    <w:rsid w:val="002E07F1"/>
    <w:rsid w:val="002E0847"/>
    <w:rsid w:val="002E08EB"/>
    <w:rsid w:val="002E1A9E"/>
    <w:rsid w:val="002E1D4A"/>
    <w:rsid w:val="002E22AC"/>
    <w:rsid w:val="002E2932"/>
    <w:rsid w:val="002E2C5A"/>
    <w:rsid w:val="002E30DC"/>
    <w:rsid w:val="002E31CD"/>
    <w:rsid w:val="002E320B"/>
    <w:rsid w:val="002E35EB"/>
    <w:rsid w:val="002E37EE"/>
    <w:rsid w:val="002E3870"/>
    <w:rsid w:val="002E4197"/>
    <w:rsid w:val="002E48C1"/>
    <w:rsid w:val="002E49D2"/>
    <w:rsid w:val="002E4C5D"/>
    <w:rsid w:val="002E4E5F"/>
    <w:rsid w:val="002E5292"/>
    <w:rsid w:val="002E5471"/>
    <w:rsid w:val="002E5511"/>
    <w:rsid w:val="002E5744"/>
    <w:rsid w:val="002E5A8D"/>
    <w:rsid w:val="002E5BC1"/>
    <w:rsid w:val="002E5CB1"/>
    <w:rsid w:val="002E5E6F"/>
    <w:rsid w:val="002E6138"/>
    <w:rsid w:val="002E6194"/>
    <w:rsid w:val="002E6572"/>
    <w:rsid w:val="002E689D"/>
    <w:rsid w:val="002E68D7"/>
    <w:rsid w:val="002E68DE"/>
    <w:rsid w:val="002E6949"/>
    <w:rsid w:val="002E6D56"/>
    <w:rsid w:val="002E716B"/>
    <w:rsid w:val="002E71BF"/>
    <w:rsid w:val="002E7A59"/>
    <w:rsid w:val="002E7C35"/>
    <w:rsid w:val="002E7CE0"/>
    <w:rsid w:val="002F0506"/>
    <w:rsid w:val="002F0746"/>
    <w:rsid w:val="002F076A"/>
    <w:rsid w:val="002F0A1E"/>
    <w:rsid w:val="002F0DF7"/>
    <w:rsid w:val="002F0E42"/>
    <w:rsid w:val="002F0F1D"/>
    <w:rsid w:val="002F1142"/>
    <w:rsid w:val="002F1222"/>
    <w:rsid w:val="002F12D6"/>
    <w:rsid w:val="002F1DB3"/>
    <w:rsid w:val="002F24BF"/>
    <w:rsid w:val="002F29CD"/>
    <w:rsid w:val="002F323A"/>
    <w:rsid w:val="002F3298"/>
    <w:rsid w:val="002F365D"/>
    <w:rsid w:val="002F3A6C"/>
    <w:rsid w:val="002F40B7"/>
    <w:rsid w:val="002F4289"/>
    <w:rsid w:val="002F43D8"/>
    <w:rsid w:val="002F454A"/>
    <w:rsid w:val="002F4A8C"/>
    <w:rsid w:val="002F4CAC"/>
    <w:rsid w:val="002F5129"/>
    <w:rsid w:val="002F51C7"/>
    <w:rsid w:val="002F568E"/>
    <w:rsid w:val="002F5A51"/>
    <w:rsid w:val="002F625A"/>
    <w:rsid w:val="002F629A"/>
    <w:rsid w:val="002F712F"/>
    <w:rsid w:val="002F71AB"/>
    <w:rsid w:val="002F7502"/>
    <w:rsid w:val="002F7FF3"/>
    <w:rsid w:val="00300101"/>
    <w:rsid w:val="0030062E"/>
    <w:rsid w:val="00300735"/>
    <w:rsid w:val="003009ED"/>
    <w:rsid w:val="00300BFE"/>
    <w:rsid w:val="00300F34"/>
    <w:rsid w:val="00300F3A"/>
    <w:rsid w:val="00301C48"/>
    <w:rsid w:val="00301D5D"/>
    <w:rsid w:val="003021D4"/>
    <w:rsid w:val="00302634"/>
    <w:rsid w:val="0030279C"/>
    <w:rsid w:val="00302A44"/>
    <w:rsid w:val="00302E44"/>
    <w:rsid w:val="00303115"/>
    <w:rsid w:val="0030320A"/>
    <w:rsid w:val="00303231"/>
    <w:rsid w:val="00303293"/>
    <w:rsid w:val="0030359B"/>
    <w:rsid w:val="003035DA"/>
    <w:rsid w:val="00303AC6"/>
    <w:rsid w:val="00303D09"/>
    <w:rsid w:val="00303D3D"/>
    <w:rsid w:val="00304227"/>
    <w:rsid w:val="003042B5"/>
    <w:rsid w:val="00304759"/>
    <w:rsid w:val="00304C58"/>
    <w:rsid w:val="0030525E"/>
    <w:rsid w:val="0030559B"/>
    <w:rsid w:val="0030567B"/>
    <w:rsid w:val="00305686"/>
    <w:rsid w:val="003058C6"/>
    <w:rsid w:val="00305974"/>
    <w:rsid w:val="00305FBA"/>
    <w:rsid w:val="00306138"/>
    <w:rsid w:val="00306394"/>
    <w:rsid w:val="003065DE"/>
    <w:rsid w:val="0030670F"/>
    <w:rsid w:val="00306854"/>
    <w:rsid w:val="003068D1"/>
    <w:rsid w:val="0030729B"/>
    <w:rsid w:val="003100EB"/>
    <w:rsid w:val="00310249"/>
    <w:rsid w:val="0031039E"/>
    <w:rsid w:val="003103B2"/>
    <w:rsid w:val="003105EC"/>
    <w:rsid w:val="00310645"/>
    <w:rsid w:val="00310D6D"/>
    <w:rsid w:val="00310EE3"/>
    <w:rsid w:val="00311A97"/>
    <w:rsid w:val="00311B76"/>
    <w:rsid w:val="003121AD"/>
    <w:rsid w:val="00312A2E"/>
    <w:rsid w:val="00312B05"/>
    <w:rsid w:val="00312B06"/>
    <w:rsid w:val="00312E41"/>
    <w:rsid w:val="00312F65"/>
    <w:rsid w:val="00312F6C"/>
    <w:rsid w:val="003131B8"/>
    <w:rsid w:val="003137D1"/>
    <w:rsid w:val="00313995"/>
    <w:rsid w:val="003139F7"/>
    <w:rsid w:val="00314C04"/>
    <w:rsid w:val="00314FB8"/>
    <w:rsid w:val="00315786"/>
    <w:rsid w:val="003157E9"/>
    <w:rsid w:val="00315D32"/>
    <w:rsid w:val="0031673B"/>
    <w:rsid w:val="0031703A"/>
    <w:rsid w:val="00317343"/>
    <w:rsid w:val="003174E5"/>
    <w:rsid w:val="003174ED"/>
    <w:rsid w:val="00317527"/>
    <w:rsid w:val="00317554"/>
    <w:rsid w:val="00317693"/>
    <w:rsid w:val="0032034B"/>
    <w:rsid w:val="00320BE0"/>
    <w:rsid w:val="00320DFD"/>
    <w:rsid w:val="00320F91"/>
    <w:rsid w:val="003210DB"/>
    <w:rsid w:val="003214A0"/>
    <w:rsid w:val="00321B39"/>
    <w:rsid w:val="00321C36"/>
    <w:rsid w:val="00321E8A"/>
    <w:rsid w:val="00322424"/>
    <w:rsid w:val="00322599"/>
    <w:rsid w:val="0032260C"/>
    <w:rsid w:val="0032274D"/>
    <w:rsid w:val="0032320D"/>
    <w:rsid w:val="00323366"/>
    <w:rsid w:val="00323569"/>
    <w:rsid w:val="003237FA"/>
    <w:rsid w:val="00323977"/>
    <w:rsid w:val="00323A7E"/>
    <w:rsid w:val="00324030"/>
    <w:rsid w:val="003241B7"/>
    <w:rsid w:val="0032434A"/>
    <w:rsid w:val="00324ABA"/>
    <w:rsid w:val="003250BD"/>
    <w:rsid w:val="00325583"/>
    <w:rsid w:val="0032566D"/>
    <w:rsid w:val="003259E4"/>
    <w:rsid w:val="0032699F"/>
    <w:rsid w:val="00326DAA"/>
    <w:rsid w:val="00326DE0"/>
    <w:rsid w:val="00327154"/>
    <w:rsid w:val="003275CA"/>
    <w:rsid w:val="0033026B"/>
    <w:rsid w:val="0033045A"/>
    <w:rsid w:val="00330B25"/>
    <w:rsid w:val="0033109D"/>
    <w:rsid w:val="0033147A"/>
    <w:rsid w:val="003317B7"/>
    <w:rsid w:val="00331AE8"/>
    <w:rsid w:val="00331B07"/>
    <w:rsid w:val="00331B86"/>
    <w:rsid w:val="00331C0C"/>
    <w:rsid w:val="00331C79"/>
    <w:rsid w:val="00331E3C"/>
    <w:rsid w:val="0033232A"/>
    <w:rsid w:val="00332B6A"/>
    <w:rsid w:val="00332CB5"/>
    <w:rsid w:val="00332DC1"/>
    <w:rsid w:val="00333000"/>
    <w:rsid w:val="003332B7"/>
    <w:rsid w:val="0033332E"/>
    <w:rsid w:val="00333564"/>
    <w:rsid w:val="00333758"/>
    <w:rsid w:val="00333EEB"/>
    <w:rsid w:val="00333F9F"/>
    <w:rsid w:val="0033400F"/>
    <w:rsid w:val="00334B38"/>
    <w:rsid w:val="00334CEA"/>
    <w:rsid w:val="0033520D"/>
    <w:rsid w:val="0033521D"/>
    <w:rsid w:val="003354EA"/>
    <w:rsid w:val="003354F9"/>
    <w:rsid w:val="003359F9"/>
    <w:rsid w:val="00335BD4"/>
    <w:rsid w:val="00335CC3"/>
    <w:rsid w:val="00335E32"/>
    <w:rsid w:val="00336041"/>
    <w:rsid w:val="003362C0"/>
    <w:rsid w:val="00336E4F"/>
    <w:rsid w:val="003370CA"/>
    <w:rsid w:val="00337216"/>
    <w:rsid w:val="00340388"/>
    <w:rsid w:val="003406B4"/>
    <w:rsid w:val="00341220"/>
    <w:rsid w:val="003418AC"/>
    <w:rsid w:val="0034196B"/>
    <w:rsid w:val="00341A44"/>
    <w:rsid w:val="00341A87"/>
    <w:rsid w:val="00341C35"/>
    <w:rsid w:val="00341CF6"/>
    <w:rsid w:val="00341D04"/>
    <w:rsid w:val="00341DE5"/>
    <w:rsid w:val="00341FA4"/>
    <w:rsid w:val="00341FD6"/>
    <w:rsid w:val="0034203A"/>
    <w:rsid w:val="00342CCB"/>
    <w:rsid w:val="003439B2"/>
    <w:rsid w:val="00343ADB"/>
    <w:rsid w:val="00344000"/>
    <w:rsid w:val="0034402E"/>
    <w:rsid w:val="00344105"/>
    <w:rsid w:val="00344189"/>
    <w:rsid w:val="00344202"/>
    <w:rsid w:val="003443A6"/>
    <w:rsid w:val="0034444F"/>
    <w:rsid w:val="00344971"/>
    <w:rsid w:val="00345314"/>
    <w:rsid w:val="00345647"/>
    <w:rsid w:val="00345C4F"/>
    <w:rsid w:val="0034605D"/>
    <w:rsid w:val="00346393"/>
    <w:rsid w:val="003464CB"/>
    <w:rsid w:val="0034695E"/>
    <w:rsid w:val="00346C2A"/>
    <w:rsid w:val="00346EFD"/>
    <w:rsid w:val="00346F1A"/>
    <w:rsid w:val="00346FEA"/>
    <w:rsid w:val="00347020"/>
    <w:rsid w:val="003471FB"/>
    <w:rsid w:val="003473AD"/>
    <w:rsid w:val="00347455"/>
    <w:rsid w:val="00347634"/>
    <w:rsid w:val="00347A92"/>
    <w:rsid w:val="003503F4"/>
    <w:rsid w:val="003508A8"/>
    <w:rsid w:val="00350C61"/>
    <w:rsid w:val="00350DCB"/>
    <w:rsid w:val="00350F80"/>
    <w:rsid w:val="00351340"/>
    <w:rsid w:val="003516FF"/>
    <w:rsid w:val="003519BA"/>
    <w:rsid w:val="00351AB8"/>
    <w:rsid w:val="00351C2C"/>
    <w:rsid w:val="00351D4F"/>
    <w:rsid w:val="00351D9F"/>
    <w:rsid w:val="0035243A"/>
    <w:rsid w:val="00352FBA"/>
    <w:rsid w:val="0035321F"/>
    <w:rsid w:val="0035334B"/>
    <w:rsid w:val="0035388C"/>
    <w:rsid w:val="00353D4B"/>
    <w:rsid w:val="00354097"/>
    <w:rsid w:val="00354A9E"/>
    <w:rsid w:val="00354AB8"/>
    <w:rsid w:val="003557EE"/>
    <w:rsid w:val="00355A57"/>
    <w:rsid w:val="00355B76"/>
    <w:rsid w:val="003562A2"/>
    <w:rsid w:val="0035650F"/>
    <w:rsid w:val="0035670B"/>
    <w:rsid w:val="00356D2F"/>
    <w:rsid w:val="0035715E"/>
    <w:rsid w:val="00357F89"/>
    <w:rsid w:val="00357FAD"/>
    <w:rsid w:val="00357FF5"/>
    <w:rsid w:val="00360587"/>
    <w:rsid w:val="00360655"/>
    <w:rsid w:val="003608D9"/>
    <w:rsid w:val="00360B4C"/>
    <w:rsid w:val="00360DE7"/>
    <w:rsid w:val="003612DA"/>
    <w:rsid w:val="00361354"/>
    <w:rsid w:val="00361821"/>
    <w:rsid w:val="003618E7"/>
    <w:rsid w:val="0036198C"/>
    <w:rsid w:val="00361992"/>
    <w:rsid w:val="00361D6E"/>
    <w:rsid w:val="00361EB9"/>
    <w:rsid w:val="00361EFF"/>
    <w:rsid w:val="003626DC"/>
    <w:rsid w:val="003628EF"/>
    <w:rsid w:val="00362F08"/>
    <w:rsid w:val="0036303F"/>
    <w:rsid w:val="00363D45"/>
    <w:rsid w:val="00363E2B"/>
    <w:rsid w:val="00364047"/>
    <w:rsid w:val="003641CA"/>
    <w:rsid w:val="00364C65"/>
    <w:rsid w:val="00364E14"/>
    <w:rsid w:val="00364E54"/>
    <w:rsid w:val="003651BB"/>
    <w:rsid w:val="00365BF7"/>
    <w:rsid w:val="00365E81"/>
    <w:rsid w:val="00366530"/>
    <w:rsid w:val="00366C41"/>
    <w:rsid w:val="00366E52"/>
    <w:rsid w:val="003674F9"/>
    <w:rsid w:val="00367503"/>
    <w:rsid w:val="00367681"/>
    <w:rsid w:val="003679C7"/>
    <w:rsid w:val="00367B41"/>
    <w:rsid w:val="00367E22"/>
    <w:rsid w:val="00367EE3"/>
    <w:rsid w:val="00370118"/>
    <w:rsid w:val="00370121"/>
    <w:rsid w:val="0037014B"/>
    <w:rsid w:val="003703F1"/>
    <w:rsid w:val="003706E3"/>
    <w:rsid w:val="00370777"/>
    <w:rsid w:val="003708F7"/>
    <w:rsid w:val="00370FD7"/>
    <w:rsid w:val="00371721"/>
    <w:rsid w:val="00371BB2"/>
    <w:rsid w:val="00371C5D"/>
    <w:rsid w:val="003731F0"/>
    <w:rsid w:val="00373233"/>
    <w:rsid w:val="0037337F"/>
    <w:rsid w:val="00373BAD"/>
    <w:rsid w:val="00373E93"/>
    <w:rsid w:val="003743DE"/>
    <w:rsid w:val="00374D08"/>
    <w:rsid w:val="0037518F"/>
    <w:rsid w:val="003753FB"/>
    <w:rsid w:val="003754EC"/>
    <w:rsid w:val="00375A59"/>
    <w:rsid w:val="00376001"/>
    <w:rsid w:val="0037611D"/>
    <w:rsid w:val="003766D9"/>
    <w:rsid w:val="0037682C"/>
    <w:rsid w:val="0037707C"/>
    <w:rsid w:val="00377233"/>
    <w:rsid w:val="00377EC6"/>
    <w:rsid w:val="00380119"/>
    <w:rsid w:val="0038015B"/>
    <w:rsid w:val="00380A1D"/>
    <w:rsid w:val="00380D97"/>
    <w:rsid w:val="00380E64"/>
    <w:rsid w:val="0038126E"/>
    <w:rsid w:val="0038149B"/>
    <w:rsid w:val="003815E0"/>
    <w:rsid w:val="00381839"/>
    <w:rsid w:val="00381C79"/>
    <w:rsid w:val="00381CF6"/>
    <w:rsid w:val="003821B1"/>
    <w:rsid w:val="003823A6"/>
    <w:rsid w:val="0038272D"/>
    <w:rsid w:val="003827F1"/>
    <w:rsid w:val="003828D4"/>
    <w:rsid w:val="003829C8"/>
    <w:rsid w:val="003829F0"/>
    <w:rsid w:val="00383240"/>
    <w:rsid w:val="003832AD"/>
    <w:rsid w:val="003836C9"/>
    <w:rsid w:val="003838E4"/>
    <w:rsid w:val="00383AB7"/>
    <w:rsid w:val="00383D08"/>
    <w:rsid w:val="00383F0C"/>
    <w:rsid w:val="003840A4"/>
    <w:rsid w:val="003849A2"/>
    <w:rsid w:val="00384A12"/>
    <w:rsid w:val="00384D5B"/>
    <w:rsid w:val="00385021"/>
    <w:rsid w:val="00385ABC"/>
    <w:rsid w:val="00385C28"/>
    <w:rsid w:val="00385FD7"/>
    <w:rsid w:val="003860DF"/>
    <w:rsid w:val="003863E5"/>
    <w:rsid w:val="003863F3"/>
    <w:rsid w:val="00386912"/>
    <w:rsid w:val="00386962"/>
    <w:rsid w:val="00386B48"/>
    <w:rsid w:val="00387685"/>
    <w:rsid w:val="00387797"/>
    <w:rsid w:val="003877A1"/>
    <w:rsid w:val="003878A8"/>
    <w:rsid w:val="00387979"/>
    <w:rsid w:val="00387A23"/>
    <w:rsid w:val="00387DD9"/>
    <w:rsid w:val="00387EFA"/>
    <w:rsid w:val="00390232"/>
    <w:rsid w:val="003902EB"/>
    <w:rsid w:val="00390368"/>
    <w:rsid w:val="00390A07"/>
    <w:rsid w:val="00390D4C"/>
    <w:rsid w:val="00390D6D"/>
    <w:rsid w:val="00390E0D"/>
    <w:rsid w:val="00391ACD"/>
    <w:rsid w:val="003927AC"/>
    <w:rsid w:val="003928FB"/>
    <w:rsid w:val="00392C02"/>
    <w:rsid w:val="00392D01"/>
    <w:rsid w:val="00393146"/>
    <w:rsid w:val="0039315F"/>
    <w:rsid w:val="003937A6"/>
    <w:rsid w:val="00393B32"/>
    <w:rsid w:val="00393FE4"/>
    <w:rsid w:val="003941ED"/>
    <w:rsid w:val="0039422A"/>
    <w:rsid w:val="003942A6"/>
    <w:rsid w:val="00394A4B"/>
    <w:rsid w:val="00394CCA"/>
    <w:rsid w:val="003958BA"/>
    <w:rsid w:val="00395BCE"/>
    <w:rsid w:val="003966FC"/>
    <w:rsid w:val="003967C9"/>
    <w:rsid w:val="00396818"/>
    <w:rsid w:val="00396CA0"/>
    <w:rsid w:val="00396F02"/>
    <w:rsid w:val="00397CB9"/>
    <w:rsid w:val="003A0307"/>
    <w:rsid w:val="003A072C"/>
    <w:rsid w:val="003A136E"/>
    <w:rsid w:val="003A1409"/>
    <w:rsid w:val="003A1861"/>
    <w:rsid w:val="003A1BA0"/>
    <w:rsid w:val="003A1C84"/>
    <w:rsid w:val="003A1E66"/>
    <w:rsid w:val="003A214A"/>
    <w:rsid w:val="003A2465"/>
    <w:rsid w:val="003A2914"/>
    <w:rsid w:val="003A2A06"/>
    <w:rsid w:val="003A3286"/>
    <w:rsid w:val="003A378B"/>
    <w:rsid w:val="003A3931"/>
    <w:rsid w:val="003A398D"/>
    <w:rsid w:val="003A3A51"/>
    <w:rsid w:val="003A3BA7"/>
    <w:rsid w:val="003A41EF"/>
    <w:rsid w:val="003A454C"/>
    <w:rsid w:val="003A48A8"/>
    <w:rsid w:val="003A4CF7"/>
    <w:rsid w:val="003A4FE8"/>
    <w:rsid w:val="003A540C"/>
    <w:rsid w:val="003A5735"/>
    <w:rsid w:val="003A5BE5"/>
    <w:rsid w:val="003A5F94"/>
    <w:rsid w:val="003A621F"/>
    <w:rsid w:val="003A6871"/>
    <w:rsid w:val="003A6D90"/>
    <w:rsid w:val="003A6F8C"/>
    <w:rsid w:val="003A71A7"/>
    <w:rsid w:val="003A71F2"/>
    <w:rsid w:val="003A7225"/>
    <w:rsid w:val="003A7425"/>
    <w:rsid w:val="003A7A1C"/>
    <w:rsid w:val="003A7BEA"/>
    <w:rsid w:val="003A7E97"/>
    <w:rsid w:val="003B03FC"/>
    <w:rsid w:val="003B0644"/>
    <w:rsid w:val="003B08F3"/>
    <w:rsid w:val="003B0FA0"/>
    <w:rsid w:val="003B1097"/>
    <w:rsid w:val="003B13D3"/>
    <w:rsid w:val="003B1895"/>
    <w:rsid w:val="003B1BF7"/>
    <w:rsid w:val="003B207D"/>
    <w:rsid w:val="003B21D0"/>
    <w:rsid w:val="003B2594"/>
    <w:rsid w:val="003B2965"/>
    <w:rsid w:val="003B2CE5"/>
    <w:rsid w:val="003B34BE"/>
    <w:rsid w:val="003B3BCD"/>
    <w:rsid w:val="003B3CE8"/>
    <w:rsid w:val="003B41E5"/>
    <w:rsid w:val="003B426A"/>
    <w:rsid w:val="003B4336"/>
    <w:rsid w:val="003B4395"/>
    <w:rsid w:val="003B492D"/>
    <w:rsid w:val="003B4A5D"/>
    <w:rsid w:val="003B4C6F"/>
    <w:rsid w:val="003B4D28"/>
    <w:rsid w:val="003B4E95"/>
    <w:rsid w:val="003B5BCD"/>
    <w:rsid w:val="003B62C8"/>
    <w:rsid w:val="003B6C81"/>
    <w:rsid w:val="003B7537"/>
    <w:rsid w:val="003C007E"/>
    <w:rsid w:val="003C05E9"/>
    <w:rsid w:val="003C05EA"/>
    <w:rsid w:val="003C07A5"/>
    <w:rsid w:val="003C0A32"/>
    <w:rsid w:val="003C0CE7"/>
    <w:rsid w:val="003C1088"/>
    <w:rsid w:val="003C1744"/>
    <w:rsid w:val="003C1748"/>
    <w:rsid w:val="003C1886"/>
    <w:rsid w:val="003C1A54"/>
    <w:rsid w:val="003C1BB2"/>
    <w:rsid w:val="003C1E30"/>
    <w:rsid w:val="003C1F5F"/>
    <w:rsid w:val="003C23A4"/>
    <w:rsid w:val="003C2660"/>
    <w:rsid w:val="003C279D"/>
    <w:rsid w:val="003C2954"/>
    <w:rsid w:val="003C299C"/>
    <w:rsid w:val="003C34EF"/>
    <w:rsid w:val="003C37CA"/>
    <w:rsid w:val="003C3C9C"/>
    <w:rsid w:val="003C3FFA"/>
    <w:rsid w:val="003C40A5"/>
    <w:rsid w:val="003C40E7"/>
    <w:rsid w:val="003C411A"/>
    <w:rsid w:val="003C417C"/>
    <w:rsid w:val="003C418E"/>
    <w:rsid w:val="003C42EE"/>
    <w:rsid w:val="003C450E"/>
    <w:rsid w:val="003C4742"/>
    <w:rsid w:val="003C4AF2"/>
    <w:rsid w:val="003C4E60"/>
    <w:rsid w:val="003C4EB0"/>
    <w:rsid w:val="003C51AC"/>
    <w:rsid w:val="003C5285"/>
    <w:rsid w:val="003C5339"/>
    <w:rsid w:val="003C5E53"/>
    <w:rsid w:val="003C608F"/>
    <w:rsid w:val="003C612F"/>
    <w:rsid w:val="003C62E0"/>
    <w:rsid w:val="003C6497"/>
    <w:rsid w:val="003C67A0"/>
    <w:rsid w:val="003C6880"/>
    <w:rsid w:val="003C7829"/>
    <w:rsid w:val="003C7AF2"/>
    <w:rsid w:val="003D057D"/>
    <w:rsid w:val="003D0616"/>
    <w:rsid w:val="003D0BB5"/>
    <w:rsid w:val="003D0C00"/>
    <w:rsid w:val="003D0DAF"/>
    <w:rsid w:val="003D0F09"/>
    <w:rsid w:val="003D0F1D"/>
    <w:rsid w:val="003D10A8"/>
    <w:rsid w:val="003D10CD"/>
    <w:rsid w:val="003D13BC"/>
    <w:rsid w:val="003D196A"/>
    <w:rsid w:val="003D28ED"/>
    <w:rsid w:val="003D2A45"/>
    <w:rsid w:val="003D2AAA"/>
    <w:rsid w:val="003D2D1E"/>
    <w:rsid w:val="003D2EC3"/>
    <w:rsid w:val="003D31BF"/>
    <w:rsid w:val="003D320D"/>
    <w:rsid w:val="003D354B"/>
    <w:rsid w:val="003D37B0"/>
    <w:rsid w:val="003D39C3"/>
    <w:rsid w:val="003D3D13"/>
    <w:rsid w:val="003D4175"/>
    <w:rsid w:val="003D4485"/>
    <w:rsid w:val="003D467B"/>
    <w:rsid w:val="003D4EA7"/>
    <w:rsid w:val="003D5ADC"/>
    <w:rsid w:val="003D61AB"/>
    <w:rsid w:val="003D64B4"/>
    <w:rsid w:val="003D66EE"/>
    <w:rsid w:val="003D6C98"/>
    <w:rsid w:val="003D6EF8"/>
    <w:rsid w:val="003D74AB"/>
    <w:rsid w:val="003D7947"/>
    <w:rsid w:val="003D7964"/>
    <w:rsid w:val="003D7CFD"/>
    <w:rsid w:val="003E0129"/>
    <w:rsid w:val="003E064D"/>
    <w:rsid w:val="003E084A"/>
    <w:rsid w:val="003E0C44"/>
    <w:rsid w:val="003E0D72"/>
    <w:rsid w:val="003E0E71"/>
    <w:rsid w:val="003E191F"/>
    <w:rsid w:val="003E1BF4"/>
    <w:rsid w:val="003E1C59"/>
    <w:rsid w:val="003E200A"/>
    <w:rsid w:val="003E2111"/>
    <w:rsid w:val="003E2177"/>
    <w:rsid w:val="003E2B4B"/>
    <w:rsid w:val="003E310C"/>
    <w:rsid w:val="003E3320"/>
    <w:rsid w:val="003E36F9"/>
    <w:rsid w:val="003E3ED1"/>
    <w:rsid w:val="003E40D6"/>
    <w:rsid w:val="003E420C"/>
    <w:rsid w:val="003E458E"/>
    <w:rsid w:val="003E4632"/>
    <w:rsid w:val="003E4A78"/>
    <w:rsid w:val="003E4AB2"/>
    <w:rsid w:val="003E4F1F"/>
    <w:rsid w:val="003E5B44"/>
    <w:rsid w:val="003E6843"/>
    <w:rsid w:val="003E702C"/>
    <w:rsid w:val="003E737B"/>
    <w:rsid w:val="003E7433"/>
    <w:rsid w:val="003E7584"/>
    <w:rsid w:val="003E7731"/>
    <w:rsid w:val="003E78B1"/>
    <w:rsid w:val="003E7995"/>
    <w:rsid w:val="003E7ADC"/>
    <w:rsid w:val="003E7D6E"/>
    <w:rsid w:val="003F00B7"/>
    <w:rsid w:val="003F0D69"/>
    <w:rsid w:val="003F1CCE"/>
    <w:rsid w:val="003F211A"/>
    <w:rsid w:val="003F22CA"/>
    <w:rsid w:val="003F2998"/>
    <w:rsid w:val="003F2DF4"/>
    <w:rsid w:val="003F30B1"/>
    <w:rsid w:val="003F3382"/>
    <w:rsid w:val="003F3709"/>
    <w:rsid w:val="003F3BE0"/>
    <w:rsid w:val="003F3E0A"/>
    <w:rsid w:val="003F3FC2"/>
    <w:rsid w:val="003F4512"/>
    <w:rsid w:val="003F4542"/>
    <w:rsid w:val="003F454E"/>
    <w:rsid w:val="003F524D"/>
    <w:rsid w:val="003F5335"/>
    <w:rsid w:val="003F560C"/>
    <w:rsid w:val="003F5703"/>
    <w:rsid w:val="003F578B"/>
    <w:rsid w:val="003F5A80"/>
    <w:rsid w:val="003F5B93"/>
    <w:rsid w:val="003F5BAB"/>
    <w:rsid w:val="003F604D"/>
    <w:rsid w:val="003F62BE"/>
    <w:rsid w:val="003F646B"/>
    <w:rsid w:val="003F64EC"/>
    <w:rsid w:val="003F6E99"/>
    <w:rsid w:val="003F738A"/>
    <w:rsid w:val="003F75EB"/>
    <w:rsid w:val="003F7B19"/>
    <w:rsid w:val="003F7C9C"/>
    <w:rsid w:val="00400852"/>
    <w:rsid w:val="00400EE9"/>
    <w:rsid w:val="00400F8F"/>
    <w:rsid w:val="00400FFB"/>
    <w:rsid w:val="00401026"/>
    <w:rsid w:val="004010AF"/>
    <w:rsid w:val="0040148C"/>
    <w:rsid w:val="00401B5B"/>
    <w:rsid w:val="00401C78"/>
    <w:rsid w:val="00401F85"/>
    <w:rsid w:val="00402111"/>
    <w:rsid w:val="00402181"/>
    <w:rsid w:val="00402407"/>
    <w:rsid w:val="00402610"/>
    <w:rsid w:val="004026EB"/>
    <w:rsid w:val="00402889"/>
    <w:rsid w:val="00402C13"/>
    <w:rsid w:val="004036AC"/>
    <w:rsid w:val="00403998"/>
    <w:rsid w:val="00403FC6"/>
    <w:rsid w:val="00404230"/>
    <w:rsid w:val="00404588"/>
    <w:rsid w:val="0040460C"/>
    <w:rsid w:val="00404F70"/>
    <w:rsid w:val="00405314"/>
    <w:rsid w:val="004055FB"/>
    <w:rsid w:val="00405A53"/>
    <w:rsid w:val="00405FDD"/>
    <w:rsid w:val="0040640B"/>
    <w:rsid w:val="004065D8"/>
    <w:rsid w:val="00406A1B"/>
    <w:rsid w:val="00407590"/>
    <w:rsid w:val="004078AC"/>
    <w:rsid w:val="00407B19"/>
    <w:rsid w:val="0041002C"/>
    <w:rsid w:val="004101BA"/>
    <w:rsid w:val="00410DBB"/>
    <w:rsid w:val="00410EB8"/>
    <w:rsid w:val="004113EE"/>
    <w:rsid w:val="004116B2"/>
    <w:rsid w:val="004118C7"/>
    <w:rsid w:val="00412ACB"/>
    <w:rsid w:val="00412C6E"/>
    <w:rsid w:val="00412DF2"/>
    <w:rsid w:val="00412E8F"/>
    <w:rsid w:val="00412F98"/>
    <w:rsid w:val="0041314C"/>
    <w:rsid w:val="004131FE"/>
    <w:rsid w:val="00413361"/>
    <w:rsid w:val="004136F1"/>
    <w:rsid w:val="004138C5"/>
    <w:rsid w:val="00413C2E"/>
    <w:rsid w:val="00414634"/>
    <w:rsid w:val="00414888"/>
    <w:rsid w:val="00414A7C"/>
    <w:rsid w:val="00415434"/>
    <w:rsid w:val="00415685"/>
    <w:rsid w:val="004160D1"/>
    <w:rsid w:val="00417057"/>
    <w:rsid w:val="0041735D"/>
    <w:rsid w:val="0041737D"/>
    <w:rsid w:val="004174A0"/>
    <w:rsid w:val="00417963"/>
    <w:rsid w:val="00417CCF"/>
    <w:rsid w:val="004200A5"/>
    <w:rsid w:val="00420A15"/>
    <w:rsid w:val="00420D00"/>
    <w:rsid w:val="00420F01"/>
    <w:rsid w:val="004210DB"/>
    <w:rsid w:val="004211E2"/>
    <w:rsid w:val="0042167F"/>
    <w:rsid w:val="00421F44"/>
    <w:rsid w:val="004229D3"/>
    <w:rsid w:val="00422DA2"/>
    <w:rsid w:val="00422F11"/>
    <w:rsid w:val="00423123"/>
    <w:rsid w:val="00423324"/>
    <w:rsid w:val="004234BC"/>
    <w:rsid w:val="0042428B"/>
    <w:rsid w:val="0042464E"/>
    <w:rsid w:val="00424C8D"/>
    <w:rsid w:val="00424D37"/>
    <w:rsid w:val="00425145"/>
    <w:rsid w:val="004255F0"/>
    <w:rsid w:val="00425D6B"/>
    <w:rsid w:val="00425EA2"/>
    <w:rsid w:val="00425FCA"/>
    <w:rsid w:val="00426027"/>
    <w:rsid w:val="00426052"/>
    <w:rsid w:val="00426064"/>
    <w:rsid w:val="00426276"/>
    <w:rsid w:val="004263CD"/>
    <w:rsid w:val="004267C9"/>
    <w:rsid w:val="00426C0C"/>
    <w:rsid w:val="00426FE9"/>
    <w:rsid w:val="0042700C"/>
    <w:rsid w:val="004271B6"/>
    <w:rsid w:val="00427207"/>
    <w:rsid w:val="00427867"/>
    <w:rsid w:val="00427DD3"/>
    <w:rsid w:val="00427E7D"/>
    <w:rsid w:val="00430813"/>
    <w:rsid w:val="00430915"/>
    <w:rsid w:val="00430C66"/>
    <w:rsid w:val="00430F30"/>
    <w:rsid w:val="00430FA9"/>
    <w:rsid w:val="00431075"/>
    <w:rsid w:val="0043255E"/>
    <w:rsid w:val="00432990"/>
    <w:rsid w:val="00432A04"/>
    <w:rsid w:val="00432AC2"/>
    <w:rsid w:val="00432B15"/>
    <w:rsid w:val="00433041"/>
    <w:rsid w:val="004332D8"/>
    <w:rsid w:val="00433452"/>
    <w:rsid w:val="0043347F"/>
    <w:rsid w:val="00433967"/>
    <w:rsid w:val="00433C8F"/>
    <w:rsid w:val="004343C8"/>
    <w:rsid w:val="004343F6"/>
    <w:rsid w:val="004347BC"/>
    <w:rsid w:val="00434844"/>
    <w:rsid w:val="00434A67"/>
    <w:rsid w:val="004350C9"/>
    <w:rsid w:val="00435538"/>
    <w:rsid w:val="00435913"/>
    <w:rsid w:val="00435E6B"/>
    <w:rsid w:val="004362E0"/>
    <w:rsid w:val="00436377"/>
    <w:rsid w:val="0043657C"/>
    <w:rsid w:val="00436963"/>
    <w:rsid w:val="00436E6B"/>
    <w:rsid w:val="00436FD6"/>
    <w:rsid w:val="00437003"/>
    <w:rsid w:val="00437F73"/>
    <w:rsid w:val="00440345"/>
    <w:rsid w:val="00440533"/>
    <w:rsid w:val="004405AF"/>
    <w:rsid w:val="0044062C"/>
    <w:rsid w:val="0044095B"/>
    <w:rsid w:val="00440DDE"/>
    <w:rsid w:val="00440EEF"/>
    <w:rsid w:val="0044158D"/>
    <w:rsid w:val="004416AC"/>
    <w:rsid w:val="00441744"/>
    <w:rsid w:val="00441ED8"/>
    <w:rsid w:val="0044212A"/>
    <w:rsid w:val="0044230F"/>
    <w:rsid w:val="0044247B"/>
    <w:rsid w:val="004425A2"/>
    <w:rsid w:val="0044274A"/>
    <w:rsid w:val="00442B62"/>
    <w:rsid w:val="00442D06"/>
    <w:rsid w:val="00442E40"/>
    <w:rsid w:val="00442EFA"/>
    <w:rsid w:val="0044404A"/>
    <w:rsid w:val="00444373"/>
    <w:rsid w:val="0044474D"/>
    <w:rsid w:val="004447F2"/>
    <w:rsid w:val="00444990"/>
    <w:rsid w:val="004449BE"/>
    <w:rsid w:val="00444B75"/>
    <w:rsid w:val="00444F86"/>
    <w:rsid w:val="00444FD0"/>
    <w:rsid w:val="004451D5"/>
    <w:rsid w:val="0044548E"/>
    <w:rsid w:val="00445B13"/>
    <w:rsid w:val="00445E13"/>
    <w:rsid w:val="00446060"/>
    <w:rsid w:val="00446609"/>
    <w:rsid w:val="00447695"/>
    <w:rsid w:val="004505F7"/>
    <w:rsid w:val="00450760"/>
    <w:rsid w:val="00450845"/>
    <w:rsid w:val="00450B9B"/>
    <w:rsid w:val="00450F47"/>
    <w:rsid w:val="00451005"/>
    <w:rsid w:val="0045102B"/>
    <w:rsid w:val="0045108D"/>
    <w:rsid w:val="0045167B"/>
    <w:rsid w:val="00451A34"/>
    <w:rsid w:val="00451B11"/>
    <w:rsid w:val="00451D92"/>
    <w:rsid w:val="004521E5"/>
    <w:rsid w:val="0045233A"/>
    <w:rsid w:val="0045241D"/>
    <w:rsid w:val="004524C9"/>
    <w:rsid w:val="00452A3D"/>
    <w:rsid w:val="00452B53"/>
    <w:rsid w:val="00452ECE"/>
    <w:rsid w:val="004535F7"/>
    <w:rsid w:val="00454893"/>
    <w:rsid w:val="00455307"/>
    <w:rsid w:val="0045545A"/>
    <w:rsid w:val="00455518"/>
    <w:rsid w:val="0045580B"/>
    <w:rsid w:val="004558C4"/>
    <w:rsid w:val="004562F6"/>
    <w:rsid w:val="004563C6"/>
    <w:rsid w:val="0045641A"/>
    <w:rsid w:val="00456B2D"/>
    <w:rsid w:val="00456BB3"/>
    <w:rsid w:val="00457174"/>
    <w:rsid w:val="004574AC"/>
    <w:rsid w:val="004574AD"/>
    <w:rsid w:val="004575D4"/>
    <w:rsid w:val="0045766B"/>
    <w:rsid w:val="0045778B"/>
    <w:rsid w:val="00457B19"/>
    <w:rsid w:val="00457E3E"/>
    <w:rsid w:val="004602AA"/>
    <w:rsid w:val="0046043D"/>
    <w:rsid w:val="00460AA4"/>
    <w:rsid w:val="00460B56"/>
    <w:rsid w:val="004614B5"/>
    <w:rsid w:val="0046168F"/>
    <w:rsid w:val="004616C7"/>
    <w:rsid w:val="00461A14"/>
    <w:rsid w:val="00461B60"/>
    <w:rsid w:val="00462078"/>
    <w:rsid w:val="004624E1"/>
    <w:rsid w:val="00462777"/>
    <w:rsid w:val="00462CE3"/>
    <w:rsid w:val="00462D2A"/>
    <w:rsid w:val="00462DBD"/>
    <w:rsid w:val="0046349A"/>
    <w:rsid w:val="00463AD1"/>
    <w:rsid w:val="00464236"/>
    <w:rsid w:val="00464789"/>
    <w:rsid w:val="00464ED1"/>
    <w:rsid w:val="004650A1"/>
    <w:rsid w:val="004650FD"/>
    <w:rsid w:val="0046514F"/>
    <w:rsid w:val="0046552E"/>
    <w:rsid w:val="00465BC1"/>
    <w:rsid w:val="004662A6"/>
    <w:rsid w:val="0046641D"/>
    <w:rsid w:val="0046650D"/>
    <w:rsid w:val="00466DFA"/>
    <w:rsid w:val="00466EED"/>
    <w:rsid w:val="00467112"/>
    <w:rsid w:val="00467380"/>
    <w:rsid w:val="004676B6"/>
    <w:rsid w:val="00467749"/>
    <w:rsid w:val="00467861"/>
    <w:rsid w:val="00467ECF"/>
    <w:rsid w:val="0047052A"/>
    <w:rsid w:val="00470641"/>
    <w:rsid w:val="00470A0C"/>
    <w:rsid w:val="00471A8A"/>
    <w:rsid w:val="00471B00"/>
    <w:rsid w:val="00471BB5"/>
    <w:rsid w:val="00471BBB"/>
    <w:rsid w:val="00471EFE"/>
    <w:rsid w:val="00472679"/>
    <w:rsid w:val="00472938"/>
    <w:rsid w:val="00472B1F"/>
    <w:rsid w:val="00472CC1"/>
    <w:rsid w:val="00472CEE"/>
    <w:rsid w:val="00473102"/>
    <w:rsid w:val="004731FB"/>
    <w:rsid w:val="0047356B"/>
    <w:rsid w:val="00473718"/>
    <w:rsid w:val="00473923"/>
    <w:rsid w:val="00473AAF"/>
    <w:rsid w:val="00473D0B"/>
    <w:rsid w:val="00473DC1"/>
    <w:rsid w:val="00473DD4"/>
    <w:rsid w:val="004753A3"/>
    <w:rsid w:val="00475CF7"/>
    <w:rsid w:val="00475F93"/>
    <w:rsid w:val="004761AD"/>
    <w:rsid w:val="004764BB"/>
    <w:rsid w:val="00476927"/>
    <w:rsid w:val="0047733A"/>
    <w:rsid w:val="0047771A"/>
    <w:rsid w:val="00477CF7"/>
    <w:rsid w:val="0048017E"/>
    <w:rsid w:val="004801F3"/>
    <w:rsid w:val="00480500"/>
    <w:rsid w:val="00480865"/>
    <w:rsid w:val="00481A46"/>
    <w:rsid w:val="00481B10"/>
    <w:rsid w:val="00481F9E"/>
    <w:rsid w:val="00482584"/>
    <w:rsid w:val="00482717"/>
    <w:rsid w:val="00483219"/>
    <w:rsid w:val="00483BBA"/>
    <w:rsid w:val="00483C8C"/>
    <w:rsid w:val="00483D0F"/>
    <w:rsid w:val="00483F49"/>
    <w:rsid w:val="004840B0"/>
    <w:rsid w:val="00484ABE"/>
    <w:rsid w:val="004852D7"/>
    <w:rsid w:val="004854BD"/>
    <w:rsid w:val="004856F6"/>
    <w:rsid w:val="00485A67"/>
    <w:rsid w:val="00486748"/>
    <w:rsid w:val="00486A3A"/>
    <w:rsid w:val="00486EE1"/>
    <w:rsid w:val="00486FCE"/>
    <w:rsid w:val="00487285"/>
    <w:rsid w:val="00487C11"/>
    <w:rsid w:val="00487D5B"/>
    <w:rsid w:val="004901D0"/>
    <w:rsid w:val="00490332"/>
    <w:rsid w:val="00490CB8"/>
    <w:rsid w:val="00490CF1"/>
    <w:rsid w:val="00490ED9"/>
    <w:rsid w:val="00491185"/>
    <w:rsid w:val="004911E2"/>
    <w:rsid w:val="00491621"/>
    <w:rsid w:val="0049170A"/>
    <w:rsid w:val="00491ADB"/>
    <w:rsid w:val="004926E6"/>
    <w:rsid w:val="0049280E"/>
    <w:rsid w:val="00492BDF"/>
    <w:rsid w:val="00493268"/>
    <w:rsid w:val="004936FC"/>
    <w:rsid w:val="0049399C"/>
    <w:rsid w:val="0049437F"/>
    <w:rsid w:val="0049457F"/>
    <w:rsid w:val="004945D5"/>
    <w:rsid w:val="00494D68"/>
    <w:rsid w:val="00494F15"/>
    <w:rsid w:val="00495217"/>
    <w:rsid w:val="00495B72"/>
    <w:rsid w:val="00496165"/>
    <w:rsid w:val="00496767"/>
    <w:rsid w:val="00497027"/>
    <w:rsid w:val="00497323"/>
    <w:rsid w:val="0049748A"/>
    <w:rsid w:val="00497795"/>
    <w:rsid w:val="00497838"/>
    <w:rsid w:val="00497CEA"/>
    <w:rsid w:val="00497DAC"/>
    <w:rsid w:val="004A03FC"/>
    <w:rsid w:val="004A0E82"/>
    <w:rsid w:val="004A1522"/>
    <w:rsid w:val="004A1586"/>
    <w:rsid w:val="004A16D9"/>
    <w:rsid w:val="004A20ED"/>
    <w:rsid w:val="004A22B7"/>
    <w:rsid w:val="004A24D9"/>
    <w:rsid w:val="004A2B57"/>
    <w:rsid w:val="004A2B83"/>
    <w:rsid w:val="004A2D08"/>
    <w:rsid w:val="004A2D46"/>
    <w:rsid w:val="004A2D4F"/>
    <w:rsid w:val="004A2DD5"/>
    <w:rsid w:val="004A36A1"/>
    <w:rsid w:val="004A36E8"/>
    <w:rsid w:val="004A392B"/>
    <w:rsid w:val="004A3AE5"/>
    <w:rsid w:val="004A3B7D"/>
    <w:rsid w:val="004A3C1F"/>
    <w:rsid w:val="004A4005"/>
    <w:rsid w:val="004A4040"/>
    <w:rsid w:val="004A409E"/>
    <w:rsid w:val="004A4F29"/>
    <w:rsid w:val="004A55EA"/>
    <w:rsid w:val="004A58E9"/>
    <w:rsid w:val="004A5B10"/>
    <w:rsid w:val="004A6157"/>
    <w:rsid w:val="004A6167"/>
    <w:rsid w:val="004A658C"/>
    <w:rsid w:val="004A6866"/>
    <w:rsid w:val="004A734B"/>
    <w:rsid w:val="004A744E"/>
    <w:rsid w:val="004A7886"/>
    <w:rsid w:val="004B07E4"/>
    <w:rsid w:val="004B0E88"/>
    <w:rsid w:val="004B0EED"/>
    <w:rsid w:val="004B12B1"/>
    <w:rsid w:val="004B1498"/>
    <w:rsid w:val="004B175A"/>
    <w:rsid w:val="004B1C3A"/>
    <w:rsid w:val="004B1F0E"/>
    <w:rsid w:val="004B203B"/>
    <w:rsid w:val="004B208E"/>
    <w:rsid w:val="004B2394"/>
    <w:rsid w:val="004B2A22"/>
    <w:rsid w:val="004B2C18"/>
    <w:rsid w:val="004B323E"/>
    <w:rsid w:val="004B396B"/>
    <w:rsid w:val="004B3D6A"/>
    <w:rsid w:val="004B3DC5"/>
    <w:rsid w:val="004B4036"/>
    <w:rsid w:val="004B4493"/>
    <w:rsid w:val="004B466E"/>
    <w:rsid w:val="004B543B"/>
    <w:rsid w:val="004B5502"/>
    <w:rsid w:val="004B55EA"/>
    <w:rsid w:val="004B568E"/>
    <w:rsid w:val="004B56B9"/>
    <w:rsid w:val="004B5E18"/>
    <w:rsid w:val="004B6042"/>
    <w:rsid w:val="004B60D7"/>
    <w:rsid w:val="004B6249"/>
    <w:rsid w:val="004B627C"/>
    <w:rsid w:val="004B643E"/>
    <w:rsid w:val="004B651A"/>
    <w:rsid w:val="004B661E"/>
    <w:rsid w:val="004B676D"/>
    <w:rsid w:val="004B6807"/>
    <w:rsid w:val="004B6C05"/>
    <w:rsid w:val="004B6C1C"/>
    <w:rsid w:val="004B6D15"/>
    <w:rsid w:val="004B6EF0"/>
    <w:rsid w:val="004B7019"/>
    <w:rsid w:val="004B73AF"/>
    <w:rsid w:val="004B79ED"/>
    <w:rsid w:val="004B7B8A"/>
    <w:rsid w:val="004B7CA9"/>
    <w:rsid w:val="004C00EE"/>
    <w:rsid w:val="004C05FA"/>
    <w:rsid w:val="004C073D"/>
    <w:rsid w:val="004C0D3A"/>
    <w:rsid w:val="004C1101"/>
    <w:rsid w:val="004C172A"/>
    <w:rsid w:val="004C193C"/>
    <w:rsid w:val="004C1942"/>
    <w:rsid w:val="004C224A"/>
    <w:rsid w:val="004C2705"/>
    <w:rsid w:val="004C2858"/>
    <w:rsid w:val="004C2AB6"/>
    <w:rsid w:val="004C2FDE"/>
    <w:rsid w:val="004C3043"/>
    <w:rsid w:val="004C3226"/>
    <w:rsid w:val="004C37E7"/>
    <w:rsid w:val="004C3CAC"/>
    <w:rsid w:val="004C3E4F"/>
    <w:rsid w:val="004C4A35"/>
    <w:rsid w:val="004C4A52"/>
    <w:rsid w:val="004C4ACE"/>
    <w:rsid w:val="004C5038"/>
    <w:rsid w:val="004C55F8"/>
    <w:rsid w:val="004C56AC"/>
    <w:rsid w:val="004C5C0D"/>
    <w:rsid w:val="004C6337"/>
    <w:rsid w:val="004C68DC"/>
    <w:rsid w:val="004C6C7E"/>
    <w:rsid w:val="004C719D"/>
    <w:rsid w:val="004C7932"/>
    <w:rsid w:val="004C7F1B"/>
    <w:rsid w:val="004D034F"/>
    <w:rsid w:val="004D09E1"/>
    <w:rsid w:val="004D09FA"/>
    <w:rsid w:val="004D0C08"/>
    <w:rsid w:val="004D1240"/>
    <w:rsid w:val="004D175C"/>
    <w:rsid w:val="004D1812"/>
    <w:rsid w:val="004D2042"/>
    <w:rsid w:val="004D22FD"/>
    <w:rsid w:val="004D2865"/>
    <w:rsid w:val="004D310F"/>
    <w:rsid w:val="004D3426"/>
    <w:rsid w:val="004D3647"/>
    <w:rsid w:val="004D3B71"/>
    <w:rsid w:val="004D3B98"/>
    <w:rsid w:val="004D3E22"/>
    <w:rsid w:val="004D4570"/>
    <w:rsid w:val="004D4D0A"/>
    <w:rsid w:val="004D4DA6"/>
    <w:rsid w:val="004D51BF"/>
    <w:rsid w:val="004D5794"/>
    <w:rsid w:val="004D5807"/>
    <w:rsid w:val="004D5ADE"/>
    <w:rsid w:val="004D5F6E"/>
    <w:rsid w:val="004D60EA"/>
    <w:rsid w:val="004D61D0"/>
    <w:rsid w:val="004D6351"/>
    <w:rsid w:val="004D635F"/>
    <w:rsid w:val="004D66B1"/>
    <w:rsid w:val="004D6A69"/>
    <w:rsid w:val="004D6C2E"/>
    <w:rsid w:val="004D6D1A"/>
    <w:rsid w:val="004D6DF6"/>
    <w:rsid w:val="004D6F18"/>
    <w:rsid w:val="004D782F"/>
    <w:rsid w:val="004D7CC8"/>
    <w:rsid w:val="004E01A5"/>
    <w:rsid w:val="004E059B"/>
    <w:rsid w:val="004E05A8"/>
    <w:rsid w:val="004E0642"/>
    <w:rsid w:val="004E0A28"/>
    <w:rsid w:val="004E0EC7"/>
    <w:rsid w:val="004E11D6"/>
    <w:rsid w:val="004E1E93"/>
    <w:rsid w:val="004E226B"/>
    <w:rsid w:val="004E22EA"/>
    <w:rsid w:val="004E254B"/>
    <w:rsid w:val="004E26EB"/>
    <w:rsid w:val="004E2896"/>
    <w:rsid w:val="004E2AD9"/>
    <w:rsid w:val="004E2D11"/>
    <w:rsid w:val="004E322C"/>
    <w:rsid w:val="004E3394"/>
    <w:rsid w:val="004E37B7"/>
    <w:rsid w:val="004E3925"/>
    <w:rsid w:val="004E39D0"/>
    <w:rsid w:val="004E3C0D"/>
    <w:rsid w:val="004E3D73"/>
    <w:rsid w:val="004E3E22"/>
    <w:rsid w:val="004E3FD7"/>
    <w:rsid w:val="004E4462"/>
    <w:rsid w:val="004E5001"/>
    <w:rsid w:val="004E5101"/>
    <w:rsid w:val="004E5D60"/>
    <w:rsid w:val="004E5DDA"/>
    <w:rsid w:val="004E5E77"/>
    <w:rsid w:val="004E6330"/>
    <w:rsid w:val="004E634D"/>
    <w:rsid w:val="004E63F8"/>
    <w:rsid w:val="004E6428"/>
    <w:rsid w:val="004E6AEC"/>
    <w:rsid w:val="004E6F33"/>
    <w:rsid w:val="004E7126"/>
    <w:rsid w:val="004E7CA5"/>
    <w:rsid w:val="004E7F61"/>
    <w:rsid w:val="004E7FA4"/>
    <w:rsid w:val="004F0201"/>
    <w:rsid w:val="004F0267"/>
    <w:rsid w:val="004F058D"/>
    <w:rsid w:val="004F0712"/>
    <w:rsid w:val="004F0974"/>
    <w:rsid w:val="004F0BA0"/>
    <w:rsid w:val="004F0F64"/>
    <w:rsid w:val="004F1191"/>
    <w:rsid w:val="004F1425"/>
    <w:rsid w:val="004F14B7"/>
    <w:rsid w:val="004F1762"/>
    <w:rsid w:val="004F18A5"/>
    <w:rsid w:val="004F196C"/>
    <w:rsid w:val="004F1E49"/>
    <w:rsid w:val="004F1FCA"/>
    <w:rsid w:val="004F20D7"/>
    <w:rsid w:val="004F2236"/>
    <w:rsid w:val="004F2A4F"/>
    <w:rsid w:val="004F35B9"/>
    <w:rsid w:val="004F378B"/>
    <w:rsid w:val="004F38E1"/>
    <w:rsid w:val="004F3BF0"/>
    <w:rsid w:val="004F3D26"/>
    <w:rsid w:val="004F3E40"/>
    <w:rsid w:val="004F40C9"/>
    <w:rsid w:val="004F4932"/>
    <w:rsid w:val="004F4A10"/>
    <w:rsid w:val="004F4FCE"/>
    <w:rsid w:val="004F559A"/>
    <w:rsid w:val="004F5706"/>
    <w:rsid w:val="004F5A49"/>
    <w:rsid w:val="004F5D8E"/>
    <w:rsid w:val="004F62E4"/>
    <w:rsid w:val="004F6524"/>
    <w:rsid w:val="004F6C04"/>
    <w:rsid w:val="004F7F0D"/>
    <w:rsid w:val="004F7FA3"/>
    <w:rsid w:val="00500476"/>
    <w:rsid w:val="005007C9"/>
    <w:rsid w:val="005009C1"/>
    <w:rsid w:val="00500F1D"/>
    <w:rsid w:val="00501011"/>
    <w:rsid w:val="00501021"/>
    <w:rsid w:val="005010A4"/>
    <w:rsid w:val="0050148B"/>
    <w:rsid w:val="00501DF3"/>
    <w:rsid w:val="00501F3A"/>
    <w:rsid w:val="005021EE"/>
    <w:rsid w:val="00502892"/>
    <w:rsid w:val="00502979"/>
    <w:rsid w:val="00502B88"/>
    <w:rsid w:val="00502D4E"/>
    <w:rsid w:val="005031E7"/>
    <w:rsid w:val="005034E1"/>
    <w:rsid w:val="0050358E"/>
    <w:rsid w:val="00503B38"/>
    <w:rsid w:val="00503D92"/>
    <w:rsid w:val="005041B2"/>
    <w:rsid w:val="0050434B"/>
    <w:rsid w:val="00504839"/>
    <w:rsid w:val="0050495B"/>
    <w:rsid w:val="00504E10"/>
    <w:rsid w:val="00504E72"/>
    <w:rsid w:val="00505242"/>
    <w:rsid w:val="0050526F"/>
    <w:rsid w:val="00505512"/>
    <w:rsid w:val="00505778"/>
    <w:rsid w:val="00505980"/>
    <w:rsid w:val="00505AD4"/>
    <w:rsid w:val="00505DDE"/>
    <w:rsid w:val="00505DE8"/>
    <w:rsid w:val="00506996"/>
    <w:rsid w:val="0050709A"/>
    <w:rsid w:val="005074E6"/>
    <w:rsid w:val="005077AC"/>
    <w:rsid w:val="00507B24"/>
    <w:rsid w:val="00507D38"/>
    <w:rsid w:val="00507E59"/>
    <w:rsid w:val="00510179"/>
    <w:rsid w:val="00510188"/>
    <w:rsid w:val="005102DF"/>
    <w:rsid w:val="0051047E"/>
    <w:rsid w:val="00510544"/>
    <w:rsid w:val="0051097C"/>
    <w:rsid w:val="005109DA"/>
    <w:rsid w:val="00510B83"/>
    <w:rsid w:val="00510C3F"/>
    <w:rsid w:val="00510E89"/>
    <w:rsid w:val="00511379"/>
    <w:rsid w:val="0051183A"/>
    <w:rsid w:val="00511DA0"/>
    <w:rsid w:val="00511FEA"/>
    <w:rsid w:val="0051222C"/>
    <w:rsid w:val="005132CD"/>
    <w:rsid w:val="0051357E"/>
    <w:rsid w:val="00513919"/>
    <w:rsid w:val="00513CB5"/>
    <w:rsid w:val="0051439B"/>
    <w:rsid w:val="00514458"/>
    <w:rsid w:val="005149DE"/>
    <w:rsid w:val="005159D5"/>
    <w:rsid w:val="00515E66"/>
    <w:rsid w:val="00515F1D"/>
    <w:rsid w:val="00515F9D"/>
    <w:rsid w:val="00515FC8"/>
    <w:rsid w:val="005160DE"/>
    <w:rsid w:val="00516C8D"/>
    <w:rsid w:val="00516D54"/>
    <w:rsid w:val="00516FC8"/>
    <w:rsid w:val="0051719B"/>
    <w:rsid w:val="005171BF"/>
    <w:rsid w:val="00517408"/>
    <w:rsid w:val="00517530"/>
    <w:rsid w:val="00517655"/>
    <w:rsid w:val="005177D8"/>
    <w:rsid w:val="00517FE4"/>
    <w:rsid w:val="00520048"/>
    <w:rsid w:val="00520129"/>
    <w:rsid w:val="00520355"/>
    <w:rsid w:val="00520769"/>
    <w:rsid w:val="00520F34"/>
    <w:rsid w:val="00521797"/>
    <w:rsid w:val="00521B4E"/>
    <w:rsid w:val="00521D3B"/>
    <w:rsid w:val="00521DC5"/>
    <w:rsid w:val="00521FF2"/>
    <w:rsid w:val="00522053"/>
    <w:rsid w:val="0052260B"/>
    <w:rsid w:val="00522ACA"/>
    <w:rsid w:val="00522BDF"/>
    <w:rsid w:val="00522E02"/>
    <w:rsid w:val="0052330B"/>
    <w:rsid w:val="00523764"/>
    <w:rsid w:val="005239D2"/>
    <w:rsid w:val="00523AE3"/>
    <w:rsid w:val="00524003"/>
    <w:rsid w:val="00524186"/>
    <w:rsid w:val="005243F3"/>
    <w:rsid w:val="005244D6"/>
    <w:rsid w:val="005246C2"/>
    <w:rsid w:val="0052512A"/>
    <w:rsid w:val="0052515E"/>
    <w:rsid w:val="005255B0"/>
    <w:rsid w:val="00525B6C"/>
    <w:rsid w:val="00525D65"/>
    <w:rsid w:val="00525E36"/>
    <w:rsid w:val="005263E8"/>
    <w:rsid w:val="005265DF"/>
    <w:rsid w:val="00526747"/>
    <w:rsid w:val="0052719C"/>
    <w:rsid w:val="00527462"/>
    <w:rsid w:val="005275F5"/>
    <w:rsid w:val="0052761F"/>
    <w:rsid w:val="00527661"/>
    <w:rsid w:val="005277D1"/>
    <w:rsid w:val="0052780E"/>
    <w:rsid w:val="0052791F"/>
    <w:rsid w:val="00527CEB"/>
    <w:rsid w:val="00527F50"/>
    <w:rsid w:val="00527FC4"/>
    <w:rsid w:val="0053020A"/>
    <w:rsid w:val="00530336"/>
    <w:rsid w:val="0053057F"/>
    <w:rsid w:val="00530DE4"/>
    <w:rsid w:val="00530EAC"/>
    <w:rsid w:val="00530F67"/>
    <w:rsid w:val="00531158"/>
    <w:rsid w:val="005311F2"/>
    <w:rsid w:val="005314B3"/>
    <w:rsid w:val="005319D8"/>
    <w:rsid w:val="00531ABA"/>
    <w:rsid w:val="00531ABF"/>
    <w:rsid w:val="00531F28"/>
    <w:rsid w:val="00531F32"/>
    <w:rsid w:val="00531F54"/>
    <w:rsid w:val="00531FED"/>
    <w:rsid w:val="0053235E"/>
    <w:rsid w:val="00532670"/>
    <w:rsid w:val="00532B67"/>
    <w:rsid w:val="00532BC5"/>
    <w:rsid w:val="00532E80"/>
    <w:rsid w:val="00532E92"/>
    <w:rsid w:val="00533323"/>
    <w:rsid w:val="005333B3"/>
    <w:rsid w:val="00533530"/>
    <w:rsid w:val="00533720"/>
    <w:rsid w:val="005339AF"/>
    <w:rsid w:val="00533D32"/>
    <w:rsid w:val="00533ED8"/>
    <w:rsid w:val="0053476C"/>
    <w:rsid w:val="0053494E"/>
    <w:rsid w:val="00534956"/>
    <w:rsid w:val="00534D36"/>
    <w:rsid w:val="00534E08"/>
    <w:rsid w:val="00534F27"/>
    <w:rsid w:val="00534FA1"/>
    <w:rsid w:val="005357B6"/>
    <w:rsid w:val="00536671"/>
    <w:rsid w:val="00536AD9"/>
    <w:rsid w:val="00536C3E"/>
    <w:rsid w:val="00536EE5"/>
    <w:rsid w:val="00537061"/>
    <w:rsid w:val="00537311"/>
    <w:rsid w:val="00537491"/>
    <w:rsid w:val="00537E5C"/>
    <w:rsid w:val="00540040"/>
    <w:rsid w:val="00540548"/>
    <w:rsid w:val="00540993"/>
    <w:rsid w:val="00540AC4"/>
    <w:rsid w:val="00540D6C"/>
    <w:rsid w:val="00541064"/>
    <w:rsid w:val="005411AF"/>
    <w:rsid w:val="0054128E"/>
    <w:rsid w:val="0054200A"/>
    <w:rsid w:val="0054240B"/>
    <w:rsid w:val="005424F9"/>
    <w:rsid w:val="00542E32"/>
    <w:rsid w:val="005431D0"/>
    <w:rsid w:val="005434C7"/>
    <w:rsid w:val="00543781"/>
    <w:rsid w:val="005438E4"/>
    <w:rsid w:val="00543FD1"/>
    <w:rsid w:val="005442AF"/>
    <w:rsid w:val="0054472A"/>
    <w:rsid w:val="005448E1"/>
    <w:rsid w:val="00544C1E"/>
    <w:rsid w:val="00544D48"/>
    <w:rsid w:val="00544F90"/>
    <w:rsid w:val="00545273"/>
    <w:rsid w:val="005452BA"/>
    <w:rsid w:val="00545709"/>
    <w:rsid w:val="00545AEC"/>
    <w:rsid w:val="00546800"/>
    <w:rsid w:val="00546EFC"/>
    <w:rsid w:val="00547178"/>
    <w:rsid w:val="00547742"/>
    <w:rsid w:val="005478FC"/>
    <w:rsid w:val="00547AD5"/>
    <w:rsid w:val="00547AFD"/>
    <w:rsid w:val="0055024B"/>
    <w:rsid w:val="00550519"/>
    <w:rsid w:val="00550A46"/>
    <w:rsid w:val="00550BDD"/>
    <w:rsid w:val="00550F95"/>
    <w:rsid w:val="0055130C"/>
    <w:rsid w:val="00551BF2"/>
    <w:rsid w:val="005521C4"/>
    <w:rsid w:val="005521F1"/>
    <w:rsid w:val="00552264"/>
    <w:rsid w:val="00552B3F"/>
    <w:rsid w:val="00553B7C"/>
    <w:rsid w:val="00553C1F"/>
    <w:rsid w:val="00553CF5"/>
    <w:rsid w:val="00553D77"/>
    <w:rsid w:val="00553EA5"/>
    <w:rsid w:val="005540DB"/>
    <w:rsid w:val="0055468A"/>
    <w:rsid w:val="0055498A"/>
    <w:rsid w:val="00554B3C"/>
    <w:rsid w:val="00555885"/>
    <w:rsid w:val="005559F7"/>
    <w:rsid w:val="00555BE9"/>
    <w:rsid w:val="00556483"/>
    <w:rsid w:val="0055652E"/>
    <w:rsid w:val="005566DF"/>
    <w:rsid w:val="00556CD4"/>
    <w:rsid w:val="0055739A"/>
    <w:rsid w:val="00557568"/>
    <w:rsid w:val="005577E3"/>
    <w:rsid w:val="00557ACA"/>
    <w:rsid w:val="00557C76"/>
    <w:rsid w:val="005602FD"/>
    <w:rsid w:val="00560622"/>
    <w:rsid w:val="0056088D"/>
    <w:rsid w:val="00560ACC"/>
    <w:rsid w:val="00560AED"/>
    <w:rsid w:val="0056143C"/>
    <w:rsid w:val="0056156B"/>
    <w:rsid w:val="00562116"/>
    <w:rsid w:val="005623E7"/>
    <w:rsid w:val="0056262E"/>
    <w:rsid w:val="00562CB3"/>
    <w:rsid w:val="0056315B"/>
    <w:rsid w:val="005634AD"/>
    <w:rsid w:val="00563577"/>
    <w:rsid w:val="00563611"/>
    <w:rsid w:val="00563AA0"/>
    <w:rsid w:val="00563E9C"/>
    <w:rsid w:val="005644AE"/>
    <w:rsid w:val="005646AF"/>
    <w:rsid w:val="00564A87"/>
    <w:rsid w:val="00564BC8"/>
    <w:rsid w:val="00564E2E"/>
    <w:rsid w:val="00565333"/>
    <w:rsid w:val="005665D0"/>
    <w:rsid w:val="00566699"/>
    <w:rsid w:val="00566905"/>
    <w:rsid w:val="00566A12"/>
    <w:rsid w:val="00566C03"/>
    <w:rsid w:val="00567502"/>
    <w:rsid w:val="00567528"/>
    <w:rsid w:val="00567EE9"/>
    <w:rsid w:val="00570644"/>
    <w:rsid w:val="005707C1"/>
    <w:rsid w:val="00570823"/>
    <w:rsid w:val="00570B73"/>
    <w:rsid w:val="00570BB9"/>
    <w:rsid w:val="00570CED"/>
    <w:rsid w:val="00570F62"/>
    <w:rsid w:val="00571422"/>
    <w:rsid w:val="00572091"/>
    <w:rsid w:val="005724EC"/>
    <w:rsid w:val="0057250E"/>
    <w:rsid w:val="00572B0C"/>
    <w:rsid w:val="00572E2E"/>
    <w:rsid w:val="00572F17"/>
    <w:rsid w:val="00573046"/>
    <w:rsid w:val="00573283"/>
    <w:rsid w:val="00573471"/>
    <w:rsid w:val="0057352F"/>
    <w:rsid w:val="00573B28"/>
    <w:rsid w:val="00573CE4"/>
    <w:rsid w:val="0057401C"/>
    <w:rsid w:val="0057434A"/>
    <w:rsid w:val="00574490"/>
    <w:rsid w:val="00574641"/>
    <w:rsid w:val="0057467C"/>
    <w:rsid w:val="005756D0"/>
    <w:rsid w:val="0057575F"/>
    <w:rsid w:val="005757A5"/>
    <w:rsid w:val="00575812"/>
    <w:rsid w:val="005759A9"/>
    <w:rsid w:val="00575C10"/>
    <w:rsid w:val="00575C24"/>
    <w:rsid w:val="00575DA1"/>
    <w:rsid w:val="00575E0E"/>
    <w:rsid w:val="00576AC5"/>
    <w:rsid w:val="00576EE3"/>
    <w:rsid w:val="0057717C"/>
    <w:rsid w:val="0057729A"/>
    <w:rsid w:val="00577384"/>
    <w:rsid w:val="00577F71"/>
    <w:rsid w:val="005801E0"/>
    <w:rsid w:val="005806EA"/>
    <w:rsid w:val="0058083C"/>
    <w:rsid w:val="0058107A"/>
    <w:rsid w:val="005812B4"/>
    <w:rsid w:val="005812D8"/>
    <w:rsid w:val="00582129"/>
    <w:rsid w:val="005824F6"/>
    <w:rsid w:val="00582DBB"/>
    <w:rsid w:val="00582F5D"/>
    <w:rsid w:val="005830FD"/>
    <w:rsid w:val="00583643"/>
    <w:rsid w:val="00583881"/>
    <w:rsid w:val="00583981"/>
    <w:rsid w:val="00584BDD"/>
    <w:rsid w:val="00584E1A"/>
    <w:rsid w:val="005855EB"/>
    <w:rsid w:val="005856BB"/>
    <w:rsid w:val="005858C2"/>
    <w:rsid w:val="005859FB"/>
    <w:rsid w:val="00585AB0"/>
    <w:rsid w:val="00585C1B"/>
    <w:rsid w:val="00585D5E"/>
    <w:rsid w:val="00585E11"/>
    <w:rsid w:val="0058645B"/>
    <w:rsid w:val="00586EAA"/>
    <w:rsid w:val="0058723D"/>
    <w:rsid w:val="0058761A"/>
    <w:rsid w:val="005878C0"/>
    <w:rsid w:val="005904E9"/>
    <w:rsid w:val="00590AF7"/>
    <w:rsid w:val="0059155E"/>
    <w:rsid w:val="00591726"/>
    <w:rsid w:val="00591A12"/>
    <w:rsid w:val="00591C81"/>
    <w:rsid w:val="00591F95"/>
    <w:rsid w:val="005925EA"/>
    <w:rsid w:val="00592931"/>
    <w:rsid w:val="00592C76"/>
    <w:rsid w:val="00592DDB"/>
    <w:rsid w:val="005935B8"/>
    <w:rsid w:val="005935EC"/>
    <w:rsid w:val="0059381D"/>
    <w:rsid w:val="00593852"/>
    <w:rsid w:val="005938C2"/>
    <w:rsid w:val="00593DF9"/>
    <w:rsid w:val="005940BD"/>
    <w:rsid w:val="0059459C"/>
    <w:rsid w:val="00594996"/>
    <w:rsid w:val="00594D1E"/>
    <w:rsid w:val="00595219"/>
    <w:rsid w:val="00595368"/>
    <w:rsid w:val="00595B6C"/>
    <w:rsid w:val="00595C50"/>
    <w:rsid w:val="00595C9D"/>
    <w:rsid w:val="00595D3C"/>
    <w:rsid w:val="00595D6B"/>
    <w:rsid w:val="00595E7E"/>
    <w:rsid w:val="00595F73"/>
    <w:rsid w:val="00596430"/>
    <w:rsid w:val="00596B20"/>
    <w:rsid w:val="0059754D"/>
    <w:rsid w:val="00597DAA"/>
    <w:rsid w:val="00597FCF"/>
    <w:rsid w:val="005A0259"/>
    <w:rsid w:val="005A02B6"/>
    <w:rsid w:val="005A0525"/>
    <w:rsid w:val="005A070E"/>
    <w:rsid w:val="005A09CC"/>
    <w:rsid w:val="005A0C87"/>
    <w:rsid w:val="005A0EB3"/>
    <w:rsid w:val="005A160C"/>
    <w:rsid w:val="005A1E2D"/>
    <w:rsid w:val="005A1E58"/>
    <w:rsid w:val="005A22E5"/>
    <w:rsid w:val="005A2368"/>
    <w:rsid w:val="005A25EF"/>
    <w:rsid w:val="005A2900"/>
    <w:rsid w:val="005A3124"/>
    <w:rsid w:val="005A3430"/>
    <w:rsid w:val="005A3811"/>
    <w:rsid w:val="005A3B2E"/>
    <w:rsid w:val="005A4382"/>
    <w:rsid w:val="005A4A64"/>
    <w:rsid w:val="005A4C81"/>
    <w:rsid w:val="005A51AE"/>
    <w:rsid w:val="005A537F"/>
    <w:rsid w:val="005A5C05"/>
    <w:rsid w:val="005A5E66"/>
    <w:rsid w:val="005A5ED0"/>
    <w:rsid w:val="005A64BE"/>
    <w:rsid w:val="005A65DB"/>
    <w:rsid w:val="005A666C"/>
    <w:rsid w:val="005A6BB2"/>
    <w:rsid w:val="005A6D68"/>
    <w:rsid w:val="005A75D5"/>
    <w:rsid w:val="005A7BA2"/>
    <w:rsid w:val="005A7BD5"/>
    <w:rsid w:val="005A7CDE"/>
    <w:rsid w:val="005A7DD3"/>
    <w:rsid w:val="005A7E08"/>
    <w:rsid w:val="005B01B2"/>
    <w:rsid w:val="005B0702"/>
    <w:rsid w:val="005B0ADE"/>
    <w:rsid w:val="005B0EF5"/>
    <w:rsid w:val="005B12FB"/>
    <w:rsid w:val="005B1411"/>
    <w:rsid w:val="005B14C0"/>
    <w:rsid w:val="005B1A5B"/>
    <w:rsid w:val="005B1E58"/>
    <w:rsid w:val="005B2066"/>
    <w:rsid w:val="005B21A9"/>
    <w:rsid w:val="005B225F"/>
    <w:rsid w:val="005B22F4"/>
    <w:rsid w:val="005B2301"/>
    <w:rsid w:val="005B24EC"/>
    <w:rsid w:val="005B3AA3"/>
    <w:rsid w:val="005B3CCC"/>
    <w:rsid w:val="005B3E77"/>
    <w:rsid w:val="005B4094"/>
    <w:rsid w:val="005B4477"/>
    <w:rsid w:val="005B45C5"/>
    <w:rsid w:val="005B4631"/>
    <w:rsid w:val="005B524B"/>
    <w:rsid w:val="005B526A"/>
    <w:rsid w:val="005B5283"/>
    <w:rsid w:val="005B5444"/>
    <w:rsid w:val="005B5F7E"/>
    <w:rsid w:val="005B631B"/>
    <w:rsid w:val="005B66D2"/>
    <w:rsid w:val="005B69A5"/>
    <w:rsid w:val="005B6C6B"/>
    <w:rsid w:val="005B6EFD"/>
    <w:rsid w:val="005B6F75"/>
    <w:rsid w:val="005B724A"/>
    <w:rsid w:val="005B72E4"/>
    <w:rsid w:val="005B769F"/>
    <w:rsid w:val="005B7C63"/>
    <w:rsid w:val="005B7DC8"/>
    <w:rsid w:val="005C0196"/>
    <w:rsid w:val="005C02EF"/>
    <w:rsid w:val="005C060E"/>
    <w:rsid w:val="005C0B37"/>
    <w:rsid w:val="005C17A1"/>
    <w:rsid w:val="005C19D3"/>
    <w:rsid w:val="005C1FF8"/>
    <w:rsid w:val="005C2767"/>
    <w:rsid w:val="005C2D35"/>
    <w:rsid w:val="005C2D8A"/>
    <w:rsid w:val="005C41D5"/>
    <w:rsid w:val="005C541B"/>
    <w:rsid w:val="005C570B"/>
    <w:rsid w:val="005C5AB4"/>
    <w:rsid w:val="005C5C50"/>
    <w:rsid w:val="005C652A"/>
    <w:rsid w:val="005C6674"/>
    <w:rsid w:val="005C683C"/>
    <w:rsid w:val="005C6909"/>
    <w:rsid w:val="005C6CB1"/>
    <w:rsid w:val="005C732E"/>
    <w:rsid w:val="005C754B"/>
    <w:rsid w:val="005C75FC"/>
    <w:rsid w:val="005C7882"/>
    <w:rsid w:val="005D0145"/>
    <w:rsid w:val="005D06A7"/>
    <w:rsid w:val="005D06BA"/>
    <w:rsid w:val="005D101B"/>
    <w:rsid w:val="005D14D9"/>
    <w:rsid w:val="005D159D"/>
    <w:rsid w:val="005D15F0"/>
    <w:rsid w:val="005D1AC6"/>
    <w:rsid w:val="005D1AFB"/>
    <w:rsid w:val="005D1BE4"/>
    <w:rsid w:val="005D1DB9"/>
    <w:rsid w:val="005D22FD"/>
    <w:rsid w:val="005D2AF7"/>
    <w:rsid w:val="005D2B54"/>
    <w:rsid w:val="005D2C3A"/>
    <w:rsid w:val="005D34F0"/>
    <w:rsid w:val="005D36F6"/>
    <w:rsid w:val="005D3E0C"/>
    <w:rsid w:val="005D4238"/>
    <w:rsid w:val="005D432C"/>
    <w:rsid w:val="005D440E"/>
    <w:rsid w:val="005D4735"/>
    <w:rsid w:val="005D48EB"/>
    <w:rsid w:val="005D4C19"/>
    <w:rsid w:val="005D51CE"/>
    <w:rsid w:val="005D5288"/>
    <w:rsid w:val="005D59C9"/>
    <w:rsid w:val="005D6474"/>
    <w:rsid w:val="005D6711"/>
    <w:rsid w:val="005D6AEF"/>
    <w:rsid w:val="005D6F0A"/>
    <w:rsid w:val="005D712A"/>
    <w:rsid w:val="005D7139"/>
    <w:rsid w:val="005D7648"/>
    <w:rsid w:val="005D7CBE"/>
    <w:rsid w:val="005D7CD5"/>
    <w:rsid w:val="005E002E"/>
    <w:rsid w:val="005E0673"/>
    <w:rsid w:val="005E067B"/>
    <w:rsid w:val="005E0FBE"/>
    <w:rsid w:val="005E1912"/>
    <w:rsid w:val="005E1948"/>
    <w:rsid w:val="005E1C4C"/>
    <w:rsid w:val="005E20CF"/>
    <w:rsid w:val="005E22CA"/>
    <w:rsid w:val="005E26FC"/>
    <w:rsid w:val="005E275B"/>
    <w:rsid w:val="005E27F8"/>
    <w:rsid w:val="005E29A3"/>
    <w:rsid w:val="005E2FFD"/>
    <w:rsid w:val="005E3791"/>
    <w:rsid w:val="005E410D"/>
    <w:rsid w:val="005E4654"/>
    <w:rsid w:val="005E47F3"/>
    <w:rsid w:val="005E4AB5"/>
    <w:rsid w:val="005E4C90"/>
    <w:rsid w:val="005E50F9"/>
    <w:rsid w:val="005E5555"/>
    <w:rsid w:val="005E5604"/>
    <w:rsid w:val="005E5766"/>
    <w:rsid w:val="005E57D8"/>
    <w:rsid w:val="005E588F"/>
    <w:rsid w:val="005E6369"/>
    <w:rsid w:val="005E6D20"/>
    <w:rsid w:val="005E717E"/>
    <w:rsid w:val="005E75B7"/>
    <w:rsid w:val="005E766C"/>
    <w:rsid w:val="005E7DD4"/>
    <w:rsid w:val="005E7E1D"/>
    <w:rsid w:val="005F013E"/>
    <w:rsid w:val="005F0161"/>
    <w:rsid w:val="005F09C2"/>
    <w:rsid w:val="005F1697"/>
    <w:rsid w:val="005F184E"/>
    <w:rsid w:val="005F1B4B"/>
    <w:rsid w:val="005F1D4D"/>
    <w:rsid w:val="005F24D4"/>
    <w:rsid w:val="005F2AA7"/>
    <w:rsid w:val="005F30CE"/>
    <w:rsid w:val="005F3965"/>
    <w:rsid w:val="005F39B8"/>
    <w:rsid w:val="005F3CCD"/>
    <w:rsid w:val="005F3D97"/>
    <w:rsid w:val="005F5291"/>
    <w:rsid w:val="005F58D9"/>
    <w:rsid w:val="005F59D4"/>
    <w:rsid w:val="005F5F13"/>
    <w:rsid w:val="005F6435"/>
    <w:rsid w:val="005F6651"/>
    <w:rsid w:val="005F6712"/>
    <w:rsid w:val="005F67B7"/>
    <w:rsid w:val="005F6E70"/>
    <w:rsid w:val="005F6EF3"/>
    <w:rsid w:val="005F7801"/>
    <w:rsid w:val="005F78D4"/>
    <w:rsid w:val="005F7956"/>
    <w:rsid w:val="005F7A04"/>
    <w:rsid w:val="0060002D"/>
    <w:rsid w:val="00600131"/>
    <w:rsid w:val="006001F2"/>
    <w:rsid w:val="00600340"/>
    <w:rsid w:val="00600373"/>
    <w:rsid w:val="00600419"/>
    <w:rsid w:val="0060073F"/>
    <w:rsid w:val="00600795"/>
    <w:rsid w:val="006008F8"/>
    <w:rsid w:val="00600D16"/>
    <w:rsid w:val="00600D92"/>
    <w:rsid w:val="00600EC6"/>
    <w:rsid w:val="006013BA"/>
    <w:rsid w:val="00601580"/>
    <w:rsid w:val="00601592"/>
    <w:rsid w:val="006017A0"/>
    <w:rsid w:val="006017FD"/>
    <w:rsid w:val="00601D49"/>
    <w:rsid w:val="00601FA0"/>
    <w:rsid w:val="006021BA"/>
    <w:rsid w:val="006027F5"/>
    <w:rsid w:val="006029BD"/>
    <w:rsid w:val="00602C1B"/>
    <w:rsid w:val="00602D62"/>
    <w:rsid w:val="00602D78"/>
    <w:rsid w:val="00602EB1"/>
    <w:rsid w:val="00602EDC"/>
    <w:rsid w:val="00602FA1"/>
    <w:rsid w:val="0060324A"/>
    <w:rsid w:val="0060341E"/>
    <w:rsid w:val="00603597"/>
    <w:rsid w:val="006036E8"/>
    <w:rsid w:val="0060380A"/>
    <w:rsid w:val="0060387E"/>
    <w:rsid w:val="00603AAB"/>
    <w:rsid w:val="00603C53"/>
    <w:rsid w:val="0060433F"/>
    <w:rsid w:val="00604780"/>
    <w:rsid w:val="00604800"/>
    <w:rsid w:val="0060494F"/>
    <w:rsid w:val="006049A4"/>
    <w:rsid w:val="00604A7A"/>
    <w:rsid w:val="00604A9B"/>
    <w:rsid w:val="0060518D"/>
    <w:rsid w:val="00605367"/>
    <w:rsid w:val="00606208"/>
    <w:rsid w:val="00606924"/>
    <w:rsid w:val="00607C1E"/>
    <w:rsid w:val="006100B1"/>
    <w:rsid w:val="006102D6"/>
    <w:rsid w:val="006102F4"/>
    <w:rsid w:val="00610A70"/>
    <w:rsid w:val="00610CF9"/>
    <w:rsid w:val="00610DB2"/>
    <w:rsid w:val="006119FE"/>
    <w:rsid w:val="00612058"/>
    <w:rsid w:val="0061206E"/>
    <w:rsid w:val="006120B1"/>
    <w:rsid w:val="006123D3"/>
    <w:rsid w:val="00613921"/>
    <w:rsid w:val="00613B2F"/>
    <w:rsid w:val="00613BD9"/>
    <w:rsid w:val="00615A64"/>
    <w:rsid w:val="00615BAA"/>
    <w:rsid w:val="0061608E"/>
    <w:rsid w:val="00616338"/>
    <w:rsid w:val="006163EB"/>
    <w:rsid w:val="006166FC"/>
    <w:rsid w:val="0061698E"/>
    <w:rsid w:val="00616F4A"/>
    <w:rsid w:val="00616F6D"/>
    <w:rsid w:val="00616FD2"/>
    <w:rsid w:val="00617072"/>
    <w:rsid w:val="006172BE"/>
    <w:rsid w:val="006178B2"/>
    <w:rsid w:val="006201DB"/>
    <w:rsid w:val="006203FA"/>
    <w:rsid w:val="0062090D"/>
    <w:rsid w:val="00620920"/>
    <w:rsid w:val="00620E52"/>
    <w:rsid w:val="00620EFF"/>
    <w:rsid w:val="006210D4"/>
    <w:rsid w:val="0062131A"/>
    <w:rsid w:val="0062132A"/>
    <w:rsid w:val="006216E9"/>
    <w:rsid w:val="00621B50"/>
    <w:rsid w:val="00621DE6"/>
    <w:rsid w:val="00622463"/>
    <w:rsid w:val="0062248C"/>
    <w:rsid w:val="006227EC"/>
    <w:rsid w:val="0062353F"/>
    <w:rsid w:val="00623A3A"/>
    <w:rsid w:val="006250F4"/>
    <w:rsid w:val="006251AB"/>
    <w:rsid w:val="00625204"/>
    <w:rsid w:val="00625A9F"/>
    <w:rsid w:val="00625BF4"/>
    <w:rsid w:val="0062631F"/>
    <w:rsid w:val="006267C8"/>
    <w:rsid w:val="006268D2"/>
    <w:rsid w:val="00626A37"/>
    <w:rsid w:val="00626D96"/>
    <w:rsid w:val="006270C5"/>
    <w:rsid w:val="0062771C"/>
    <w:rsid w:val="00627800"/>
    <w:rsid w:val="0062794D"/>
    <w:rsid w:val="0063012E"/>
    <w:rsid w:val="0063082C"/>
    <w:rsid w:val="0063142A"/>
    <w:rsid w:val="0063194F"/>
    <w:rsid w:val="00631B7C"/>
    <w:rsid w:val="00631E2B"/>
    <w:rsid w:val="0063203B"/>
    <w:rsid w:val="00632807"/>
    <w:rsid w:val="006329F9"/>
    <w:rsid w:val="00632C10"/>
    <w:rsid w:val="00632E45"/>
    <w:rsid w:val="0063381D"/>
    <w:rsid w:val="0063425A"/>
    <w:rsid w:val="0063435A"/>
    <w:rsid w:val="0063441E"/>
    <w:rsid w:val="00634456"/>
    <w:rsid w:val="00634459"/>
    <w:rsid w:val="006344D8"/>
    <w:rsid w:val="006346C6"/>
    <w:rsid w:val="00634A87"/>
    <w:rsid w:val="00634B20"/>
    <w:rsid w:val="00634B25"/>
    <w:rsid w:val="00634C98"/>
    <w:rsid w:val="00634D03"/>
    <w:rsid w:val="006351C9"/>
    <w:rsid w:val="00635409"/>
    <w:rsid w:val="00635DCD"/>
    <w:rsid w:val="00635F36"/>
    <w:rsid w:val="00635F7B"/>
    <w:rsid w:val="00635FAE"/>
    <w:rsid w:val="006361F2"/>
    <w:rsid w:val="006364D9"/>
    <w:rsid w:val="00636C73"/>
    <w:rsid w:val="00636F2F"/>
    <w:rsid w:val="00637949"/>
    <w:rsid w:val="0064005D"/>
    <w:rsid w:val="0064040D"/>
    <w:rsid w:val="00640460"/>
    <w:rsid w:val="00640828"/>
    <w:rsid w:val="00640F98"/>
    <w:rsid w:val="0064136D"/>
    <w:rsid w:val="00641374"/>
    <w:rsid w:val="006419A4"/>
    <w:rsid w:val="0064212F"/>
    <w:rsid w:val="006439A5"/>
    <w:rsid w:val="006439F3"/>
    <w:rsid w:val="00643CA7"/>
    <w:rsid w:val="00643E21"/>
    <w:rsid w:val="00644657"/>
    <w:rsid w:val="0064493C"/>
    <w:rsid w:val="00644FB9"/>
    <w:rsid w:val="00645186"/>
    <w:rsid w:val="006452B1"/>
    <w:rsid w:val="006462E4"/>
    <w:rsid w:val="00646929"/>
    <w:rsid w:val="00646B11"/>
    <w:rsid w:val="00646CB8"/>
    <w:rsid w:val="00646DD5"/>
    <w:rsid w:val="00647462"/>
    <w:rsid w:val="00647C5F"/>
    <w:rsid w:val="00647D89"/>
    <w:rsid w:val="006504AB"/>
    <w:rsid w:val="00650A2E"/>
    <w:rsid w:val="00650D50"/>
    <w:rsid w:val="00650E72"/>
    <w:rsid w:val="006511B4"/>
    <w:rsid w:val="006511CF"/>
    <w:rsid w:val="00651A10"/>
    <w:rsid w:val="00651FCC"/>
    <w:rsid w:val="0065248D"/>
    <w:rsid w:val="0065259E"/>
    <w:rsid w:val="00652705"/>
    <w:rsid w:val="006528D5"/>
    <w:rsid w:val="00652A25"/>
    <w:rsid w:val="00652B09"/>
    <w:rsid w:val="00653699"/>
    <w:rsid w:val="006537FB"/>
    <w:rsid w:val="006538FD"/>
    <w:rsid w:val="00653A0E"/>
    <w:rsid w:val="00653AF7"/>
    <w:rsid w:val="00653DCC"/>
    <w:rsid w:val="00653E26"/>
    <w:rsid w:val="00654940"/>
    <w:rsid w:val="00654B59"/>
    <w:rsid w:val="00654BF8"/>
    <w:rsid w:val="00654C41"/>
    <w:rsid w:val="00654FAD"/>
    <w:rsid w:val="00655653"/>
    <w:rsid w:val="00655B31"/>
    <w:rsid w:val="00655E13"/>
    <w:rsid w:val="006565F3"/>
    <w:rsid w:val="006568EF"/>
    <w:rsid w:val="00656A36"/>
    <w:rsid w:val="00656D32"/>
    <w:rsid w:val="0065702B"/>
    <w:rsid w:val="006570D2"/>
    <w:rsid w:val="0065712D"/>
    <w:rsid w:val="006576BF"/>
    <w:rsid w:val="0065785C"/>
    <w:rsid w:val="00657946"/>
    <w:rsid w:val="00657A22"/>
    <w:rsid w:val="00657F7C"/>
    <w:rsid w:val="0066018C"/>
    <w:rsid w:val="00660CEE"/>
    <w:rsid w:val="00660F97"/>
    <w:rsid w:val="006613E8"/>
    <w:rsid w:val="00661886"/>
    <w:rsid w:val="00661A35"/>
    <w:rsid w:val="0066226F"/>
    <w:rsid w:val="00663000"/>
    <w:rsid w:val="006634B8"/>
    <w:rsid w:val="00663627"/>
    <w:rsid w:val="0066390A"/>
    <w:rsid w:val="00663BC3"/>
    <w:rsid w:val="00663C61"/>
    <w:rsid w:val="00663CA5"/>
    <w:rsid w:val="006641E5"/>
    <w:rsid w:val="00664C37"/>
    <w:rsid w:val="006652EA"/>
    <w:rsid w:val="00665609"/>
    <w:rsid w:val="006656F6"/>
    <w:rsid w:val="00665A9A"/>
    <w:rsid w:val="006662DA"/>
    <w:rsid w:val="00666909"/>
    <w:rsid w:val="00666A28"/>
    <w:rsid w:val="00666C36"/>
    <w:rsid w:val="00667D20"/>
    <w:rsid w:val="00670341"/>
    <w:rsid w:val="00670382"/>
    <w:rsid w:val="00670781"/>
    <w:rsid w:val="0067185C"/>
    <w:rsid w:val="00671F30"/>
    <w:rsid w:val="00672640"/>
    <w:rsid w:val="0067264F"/>
    <w:rsid w:val="00672F66"/>
    <w:rsid w:val="0067337F"/>
    <w:rsid w:val="006737C8"/>
    <w:rsid w:val="00673B2F"/>
    <w:rsid w:val="00673F4A"/>
    <w:rsid w:val="00673FA0"/>
    <w:rsid w:val="0067401D"/>
    <w:rsid w:val="0067430D"/>
    <w:rsid w:val="006744E1"/>
    <w:rsid w:val="00675096"/>
    <w:rsid w:val="006751C7"/>
    <w:rsid w:val="0067687A"/>
    <w:rsid w:val="00676A77"/>
    <w:rsid w:val="00677668"/>
    <w:rsid w:val="006776F6"/>
    <w:rsid w:val="0068054B"/>
    <w:rsid w:val="0068056D"/>
    <w:rsid w:val="006805E7"/>
    <w:rsid w:val="00680DC9"/>
    <w:rsid w:val="00680F74"/>
    <w:rsid w:val="00681132"/>
    <w:rsid w:val="00681B03"/>
    <w:rsid w:val="00681DD3"/>
    <w:rsid w:val="00681DF2"/>
    <w:rsid w:val="0068212F"/>
    <w:rsid w:val="00682185"/>
    <w:rsid w:val="006825FD"/>
    <w:rsid w:val="00682892"/>
    <w:rsid w:val="00682DC6"/>
    <w:rsid w:val="00682E32"/>
    <w:rsid w:val="00683084"/>
    <w:rsid w:val="0068327D"/>
    <w:rsid w:val="00683915"/>
    <w:rsid w:val="00683BE1"/>
    <w:rsid w:val="00683CF6"/>
    <w:rsid w:val="00684182"/>
    <w:rsid w:val="0068424E"/>
    <w:rsid w:val="00684252"/>
    <w:rsid w:val="006843D1"/>
    <w:rsid w:val="0068464C"/>
    <w:rsid w:val="00684DA5"/>
    <w:rsid w:val="00684F23"/>
    <w:rsid w:val="006850E5"/>
    <w:rsid w:val="006850F4"/>
    <w:rsid w:val="00685ACB"/>
    <w:rsid w:val="00685F78"/>
    <w:rsid w:val="00686014"/>
    <w:rsid w:val="0068628B"/>
    <w:rsid w:val="0068653F"/>
    <w:rsid w:val="00686DD3"/>
    <w:rsid w:val="00686E35"/>
    <w:rsid w:val="0068773F"/>
    <w:rsid w:val="00687CD3"/>
    <w:rsid w:val="006902BB"/>
    <w:rsid w:val="006903B5"/>
    <w:rsid w:val="0069058D"/>
    <w:rsid w:val="006907C7"/>
    <w:rsid w:val="00690A3C"/>
    <w:rsid w:val="00691172"/>
    <w:rsid w:val="00691182"/>
    <w:rsid w:val="006914D2"/>
    <w:rsid w:val="00691604"/>
    <w:rsid w:val="00691758"/>
    <w:rsid w:val="00691CEE"/>
    <w:rsid w:val="00691D6D"/>
    <w:rsid w:val="00691EC4"/>
    <w:rsid w:val="00692233"/>
    <w:rsid w:val="006922B6"/>
    <w:rsid w:val="00692314"/>
    <w:rsid w:val="0069287B"/>
    <w:rsid w:val="006929A8"/>
    <w:rsid w:val="00692B20"/>
    <w:rsid w:val="0069301B"/>
    <w:rsid w:val="00693690"/>
    <w:rsid w:val="0069373E"/>
    <w:rsid w:val="00693B13"/>
    <w:rsid w:val="00693B56"/>
    <w:rsid w:val="00693D03"/>
    <w:rsid w:val="00693F8C"/>
    <w:rsid w:val="00693FAC"/>
    <w:rsid w:val="0069455F"/>
    <w:rsid w:val="006949D8"/>
    <w:rsid w:val="00694A18"/>
    <w:rsid w:val="00694A1B"/>
    <w:rsid w:val="00694B7F"/>
    <w:rsid w:val="00694FC1"/>
    <w:rsid w:val="00695719"/>
    <w:rsid w:val="006958F0"/>
    <w:rsid w:val="00695B71"/>
    <w:rsid w:val="00695C05"/>
    <w:rsid w:val="00695FB1"/>
    <w:rsid w:val="00696A72"/>
    <w:rsid w:val="006971E4"/>
    <w:rsid w:val="006971FF"/>
    <w:rsid w:val="00697800"/>
    <w:rsid w:val="00697D3C"/>
    <w:rsid w:val="00697DE0"/>
    <w:rsid w:val="00697EB2"/>
    <w:rsid w:val="006A016D"/>
    <w:rsid w:val="006A02E3"/>
    <w:rsid w:val="006A0842"/>
    <w:rsid w:val="006A0B1E"/>
    <w:rsid w:val="006A0DB7"/>
    <w:rsid w:val="006A0F0D"/>
    <w:rsid w:val="006A146B"/>
    <w:rsid w:val="006A1CC3"/>
    <w:rsid w:val="006A1E04"/>
    <w:rsid w:val="006A209D"/>
    <w:rsid w:val="006A260B"/>
    <w:rsid w:val="006A2B30"/>
    <w:rsid w:val="006A2CCB"/>
    <w:rsid w:val="006A2EB8"/>
    <w:rsid w:val="006A31C8"/>
    <w:rsid w:val="006A3562"/>
    <w:rsid w:val="006A370A"/>
    <w:rsid w:val="006A3A27"/>
    <w:rsid w:val="006A4087"/>
    <w:rsid w:val="006A4D31"/>
    <w:rsid w:val="006A4DAB"/>
    <w:rsid w:val="006A4E5B"/>
    <w:rsid w:val="006A4F24"/>
    <w:rsid w:val="006A4F78"/>
    <w:rsid w:val="006A4FB7"/>
    <w:rsid w:val="006A5056"/>
    <w:rsid w:val="006A5308"/>
    <w:rsid w:val="006A5641"/>
    <w:rsid w:val="006A571F"/>
    <w:rsid w:val="006A5A60"/>
    <w:rsid w:val="006A5B5A"/>
    <w:rsid w:val="006A5C93"/>
    <w:rsid w:val="006A60AE"/>
    <w:rsid w:val="006A61B7"/>
    <w:rsid w:val="006A6ED9"/>
    <w:rsid w:val="006A6F27"/>
    <w:rsid w:val="006A71A1"/>
    <w:rsid w:val="006A721B"/>
    <w:rsid w:val="006A7565"/>
    <w:rsid w:val="006A75EC"/>
    <w:rsid w:val="006A7977"/>
    <w:rsid w:val="006A7BB2"/>
    <w:rsid w:val="006A7D2A"/>
    <w:rsid w:val="006A7F78"/>
    <w:rsid w:val="006B005D"/>
    <w:rsid w:val="006B020D"/>
    <w:rsid w:val="006B028F"/>
    <w:rsid w:val="006B086E"/>
    <w:rsid w:val="006B08D1"/>
    <w:rsid w:val="006B0F8F"/>
    <w:rsid w:val="006B194D"/>
    <w:rsid w:val="006B1ED2"/>
    <w:rsid w:val="006B2050"/>
    <w:rsid w:val="006B2137"/>
    <w:rsid w:val="006B25A2"/>
    <w:rsid w:val="006B281D"/>
    <w:rsid w:val="006B28D2"/>
    <w:rsid w:val="006B2A54"/>
    <w:rsid w:val="006B2DD8"/>
    <w:rsid w:val="006B2EF6"/>
    <w:rsid w:val="006B3A86"/>
    <w:rsid w:val="006B3C92"/>
    <w:rsid w:val="006B3F27"/>
    <w:rsid w:val="006B4192"/>
    <w:rsid w:val="006B4219"/>
    <w:rsid w:val="006B46DA"/>
    <w:rsid w:val="006B47C2"/>
    <w:rsid w:val="006B5231"/>
    <w:rsid w:val="006B5DC9"/>
    <w:rsid w:val="006B5EDC"/>
    <w:rsid w:val="006B60EE"/>
    <w:rsid w:val="006B62C5"/>
    <w:rsid w:val="006B6AD1"/>
    <w:rsid w:val="006B6CAE"/>
    <w:rsid w:val="006B6D7F"/>
    <w:rsid w:val="006B6E43"/>
    <w:rsid w:val="006B7EAD"/>
    <w:rsid w:val="006C06A7"/>
    <w:rsid w:val="006C0C26"/>
    <w:rsid w:val="006C1349"/>
    <w:rsid w:val="006C1649"/>
    <w:rsid w:val="006C1826"/>
    <w:rsid w:val="006C1B43"/>
    <w:rsid w:val="006C2AFC"/>
    <w:rsid w:val="006C2F65"/>
    <w:rsid w:val="006C32ED"/>
    <w:rsid w:val="006C33AC"/>
    <w:rsid w:val="006C379B"/>
    <w:rsid w:val="006C3AF5"/>
    <w:rsid w:val="006C43EC"/>
    <w:rsid w:val="006C4EDC"/>
    <w:rsid w:val="006C5149"/>
    <w:rsid w:val="006C5166"/>
    <w:rsid w:val="006C5BD6"/>
    <w:rsid w:val="006C7243"/>
    <w:rsid w:val="006C7FCF"/>
    <w:rsid w:val="006D033F"/>
    <w:rsid w:val="006D06B6"/>
    <w:rsid w:val="006D06B8"/>
    <w:rsid w:val="006D1346"/>
    <w:rsid w:val="006D20AF"/>
    <w:rsid w:val="006D2293"/>
    <w:rsid w:val="006D25F4"/>
    <w:rsid w:val="006D392A"/>
    <w:rsid w:val="006D4474"/>
    <w:rsid w:val="006D457A"/>
    <w:rsid w:val="006D45C3"/>
    <w:rsid w:val="006D4A73"/>
    <w:rsid w:val="006D4AF0"/>
    <w:rsid w:val="006D4F98"/>
    <w:rsid w:val="006D515D"/>
    <w:rsid w:val="006D5699"/>
    <w:rsid w:val="006D58E7"/>
    <w:rsid w:val="006D5FA1"/>
    <w:rsid w:val="006D5FFE"/>
    <w:rsid w:val="006D607A"/>
    <w:rsid w:val="006D63AE"/>
    <w:rsid w:val="006D655E"/>
    <w:rsid w:val="006D67E6"/>
    <w:rsid w:val="006D6BFD"/>
    <w:rsid w:val="006D6C46"/>
    <w:rsid w:val="006D6CFB"/>
    <w:rsid w:val="006D7013"/>
    <w:rsid w:val="006D7144"/>
    <w:rsid w:val="006D76E8"/>
    <w:rsid w:val="006D77D0"/>
    <w:rsid w:val="006D7A97"/>
    <w:rsid w:val="006D7BD9"/>
    <w:rsid w:val="006E048D"/>
    <w:rsid w:val="006E0725"/>
    <w:rsid w:val="006E0F1E"/>
    <w:rsid w:val="006E11BC"/>
    <w:rsid w:val="006E11C8"/>
    <w:rsid w:val="006E1911"/>
    <w:rsid w:val="006E1AC2"/>
    <w:rsid w:val="006E1BED"/>
    <w:rsid w:val="006E22E7"/>
    <w:rsid w:val="006E2625"/>
    <w:rsid w:val="006E274A"/>
    <w:rsid w:val="006E2DF1"/>
    <w:rsid w:val="006E3434"/>
    <w:rsid w:val="006E3E08"/>
    <w:rsid w:val="006E3E96"/>
    <w:rsid w:val="006E3F68"/>
    <w:rsid w:val="006E44BF"/>
    <w:rsid w:val="006E49FF"/>
    <w:rsid w:val="006E4CDA"/>
    <w:rsid w:val="006E533B"/>
    <w:rsid w:val="006E57BC"/>
    <w:rsid w:val="006E5A19"/>
    <w:rsid w:val="006E5C12"/>
    <w:rsid w:val="006E657C"/>
    <w:rsid w:val="006E6663"/>
    <w:rsid w:val="006E6A9F"/>
    <w:rsid w:val="006E6E26"/>
    <w:rsid w:val="006E6EDD"/>
    <w:rsid w:val="006E73A5"/>
    <w:rsid w:val="006E73DB"/>
    <w:rsid w:val="006E7512"/>
    <w:rsid w:val="006E7906"/>
    <w:rsid w:val="006E7F44"/>
    <w:rsid w:val="006F01A2"/>
    <w:rsid w:val="006F0481"/>
    <w:rsid w:val="006F05DF"/>
    <w:rsid w:val="006F0D52"/>
    <w:rsid w:val="006F0D7B"/>
    <w:rsid w:val="006F138D"/>
    <w:rsid w:val="006F160B"/>
    <w:rsid w:val="006F21C5"/>
    <w:rsid w:val="006F24BF"/>
    <w:rsid w:val="006F26A6"/>
    <w:rsid w:val="006F2C23"/>
    <w:rsid w:val="006F2D8A"/>
    <w:rsid w:val="006F2F67"/>
    <w:rsid w:val="006F30F0"/>
    <w:rsid w:val="006F37BC"/>
    <w:rsid w:val="006F3DA2"/>
    <w:rsid w:val="006F3FD6"/>
    <w:rsid w:val="006F4040"/>
    <w:rsid w:val="006F4091"/>
    <w:rsid w:val="006F40E0"/>
    <w:rsid w:val="006F41DB"/>
    <w:rsid w:val="006F47B3"/>
    <w:rsid w:val="006F505F"/>
    <w:rsid w:val="006F5258"/>
    <w:rsid w:val="006F5301"/>
    <w:rsid w:val="006F5324"/>
    <w:rsid w:val="006F5954"/>
    <w:rsid w:val="006F5A10"/>
    <w:rsid w:val="006F5B63"/>
    <w:rsid w:val="006F5E65"/>
    <w:rsid w:val="006F5FEC"/>
    <w:rsid w:val="006F6026"/>
    <w:rsid w:val="006F60BF"/>
    <w:rsid w:val="006F63D9"/>
    <w:rsid w:val="006F6D5E"/>
    <w:rsid w:val="006F7B8C"/>
    <w:rsid w:val="006F7F0D"/>
    <w:rsid w:val="00700762"/>
    <w:rsid w:val="00700A5F"/>
    <w:rsid w:val="00701495"/>
    <w:rsid w:val="00701692"/>
    <w:rsid w:val="00701830"/>
    <w:rsid w:val="00701B2E"/>
    <w:rsid w:val="00701C2E"/>
    <w:rsid w:val="00701D95"/>
    <w:rsid w:val="00701DB3"/>
    <w:rsid w:val="007021A6"/>
    <w:rsid w:val="007036B9"/>
    <w:rsid w:val="00703B09"/>
    <w:rsid w:val="00703B60"/>
    <w:rsid w:val="00703ED5"/>
    <w:rsid w:val="00704193"/>
    <w:rsid w:val="00704357"/>
    <w:rsid w:val="007045FC"/>
    <w:rsid w:val="007046A3"/>
    <w:rsid w:val="007047ED"/>
    <w:rsid w:val="00704821"/>
    <w:rsid w:val="00704927"/>
    <w:rsid w:val="007049B4"/>
    <w:rsid w:val="00704B95"/>
    <w:rsid w:val="00704CAE"/>
    <w:rsid w:val="00704E37"/>
    <w:rsid w:val="00704EC5"/>
    <w:rsid w:val="0070530B"/>
    <w:rsid w:val="00705F64"/>
    <w:rsid w:val="007060DD"/>
    <w:rsid w:val="0070659C"/>
    <w:rsid w:val="00706624"/>
    <w:rsid w:val="0070696B"/>
    <w:rsid w:val="00706ACF"/>
    <w:rsid w:val="00706AE9"/>
    <w:rsid w:val="00706BCE"/>
    <w:rsid w:val="00706D77"/>
    <w:rsid w:val="00706E85"/>
    <w:rsid w:val="00707189"/>
    <w:rsid w:val="007074B1"/>
    <w:rsid w:val="007076D8"/>
    <w:rsid w:val="007077F2"/>
    <w:rsid w:val="00707B60"/>
    <w:rsid w:val="00707CB7"/>
    <w:rsid w:val="00710086"/>
    <w:rsid w:val="007104A8"/>
    <w:rsid w:val="00710795"/>
    <w:rsid w:val="00710ACD"/>
    <w:rsid w:val="00711521"/>
    <w:rsid w:val="0071182D"/>
    <w:rsid w:val="00711F7E"/>
    <w:rsid w:val="0071201E"/>
    <w:rsid w:val="0071230A"/>
    <w:rsid w:val="00712A82"/>
    <w:rsid w:val="00712B75"/>
    <w:rsid w:val="00712EF8"/>
    <w:rsid w:val="0071390E"/>
    <w:rsid w:val="00713E53"/>
    <w:rsid w:val="007145DB"/>
    <w:rsid w:val="00714BDE"/>
    <w:rsid w:val="00715060"/>
    <w:rsid w:val="007150FB"/>
    <w:rsid w:val="007155E1"/>
    <w:rsid w:val="00715938"/>
    <w:rsid w:val="00715E1A"/>
    <w:rsid w:val="0071626A"/>
    <w:rsid w:val="0071749E"/>
    <w:rsid w:val="007175BA"/>
    <w:rsid w:val="007177C2"/>
    <w:rsid w:val="00717895"/>
    <w:rsid w:val="007179C2"/>
    <w:rsid w:val="007179E8"/>
    <w:rsid w:val="00717C0E"/>
    <w:rsid w:val="00717DA7"/>
    <w:rsid w:val="007200ED"/>
    <w:rsid w:val="00720901"/>
    <w:rsid w:val="0072097A"/>
    <w:rsid w:val="00720B23"/>
    <w:rsid w:val="00720B68"/>
    <w:rsid w:val="00720BEF"/>
    <w:rsid w:val="007214A8"/>
    <w:rsid w:val="007218C4"/>
    <w:rsid w:val="00721CBB"/>
    <w:rsid w:val="007221B3"/>
    <w:rsid w:val="007226BA"/>
    <w:rsid w:val="0072291F"/>
    <w:rsid w:val="00722D18"/>
    <w:rsid w:val="00722F99"/>
    <w:rsid w:val="0072327F"/>
    <w:rsid w:val="007233EA"/>
    <w:rsid w:val="00723C05"/>
    <w:rsid w:val="00723D7B"/>
    <w:rsid w:val="00723DC5"/>
    <w:rsid w:val="00723F65"/>
    <w:rsid w:val="00724513"/>
    <w:rsid w:val="007245CC"/>
    <w:rsid w:val="00724713"/>
    <w:rsid w:val="007250B1"/>
    <w:rsid w:val="0072561E"/>
    <w:rsid w:val="007257CE"/>
    <w:rsid w:val="00725BB2"/>
    <w:rsid w:val="00725FD9"/>
    <w:rsid w:val="00726953"/>
    <w:rsid w:val="007269F2"/>
    <w:rsid w:val="00726AE1"/>
    <w:rsid w:val="0072704D"/>
    <w:rsid w:val="007270CD"/>
    <w:rsid w:val="00727C84"/>
    <w:rsid w:val="00727E30"/>
    <w:rsid w:val="00730345"/>
    <w:rsid w:val="0073043A"/>
    <w:rsid w:val="007305CA"/>
    <w:rsid w:val="0073067A"/>
    <w:rsid w:val="00731185"/>
    <w:rsid w:val="00731D74"/>
    <w:rsid w:val="00732368"/>
    <w:rsid w:val="007328ED"/>
    <w:rsid w:val="00732A92"/>
    <w:rsid w:val="00732D29"/>
    <w:rsid w:val="007330E2"/>
    <w:rsid w:val="0073329A"/>
    <w:rsid w:val="0073389F"/>
    <w:rsid w:val="00733C58"/>
    <w:rsid w:val="0073413A"/>
    <w:rsid w:val="00734584"/>
    <w:rsid w:val="00734D58"/>
    <w:rsid w:val="00734DB7"/>
    <w:rsid w:val="00734ED4"/>
    <w:rsid w:val="0073505D"/>
    <w:rsid w:val="00735171"/>
    <w:rsid w:val="007351CB"/>
    <w:rsid w:val="007352EA"/>
    <w:rsid w:val="0073556B"/>
    <w:rsid w:val="007359EA"/>
    <w:rsid w:val="00735E19"/>
    <w:rsid w:val="00736158"/>
    <w:rsid w:val="00736481"/>
    <w:rsid w:val="00736965"/>
    <w:rsid w:val="00736974"/>
    <w:rsid w:val="00736BEB"/>
    <w:rsid w:val="00736DB5"/>
    <w:rsid w:val="00737229"/>
    <w:rsid w:val="00737E4C"/>
    <w:rsid w:val="00737F0A"/>
    <w:rsid w:val="00740394"/>
    <w:rsid w:val="00740CFA"/>
    <w:rsid w:val="00740DA1"/>
    <w:rsid w:val="00741054"/>
    <w:rsid w:val="0074112B"/>
    <w:rsid w:val="007412E8"/>
    <w:rsid w:val="00741A1C"/>
    <w:rsid w:val="00741C6F"/>
    <w:rsid w:val="00741EFF"/>
    <w:rsid w:val="00742114"/>
    <w:rsid w:val="007424B3"/>
    <w:rsid w:val="007424E7"/>
    <w:rsid w:val="00742ADF"/>
    <w:rsid w:val="00742DBA"/>
    <w:rsid w:val="00743064"/>
    <w:rsid w:val="00743319"/>
    <w:rsid w:val="0074353E"/>
    <w:rsid w:val="007435E2"/>
    <w:rsid w:val="007437D0"/>
    <w:rsid w:val="0074443F"/>
    <w:rsid w:val="00744479"/>
    <w:rsid w:val="0074447F"/>
    <w:rsid w:val="00744963"/>
    <w:rsid w:val="00744972"/>
    <w:rsid w:val="00745013"/>
    <w:rsid w:val="007450B1"/>
    <w:rsid w:val="007456BA"/>
    <w:rsid w:val="00745C7B"/>
    <w:rsid w:val="00745E97"/>
    <w:rsid w:val="00746022"/>
    <w:rsid w:val="00746056"/>
    <w:rsid w:val="007460F9"/>
    <w:rsid w:val="0074632A"/>
    <w:rsid w:val="007467A5"/>
    <w:rsid w:val="00746A38"/>
    <w:rsid w:val="0074723B"/>
    <w:rsid w:val="007472B0"/>
    <w:rsid w:val="00747D8C"/>
    <w:rsid w:val="007501D3"/>
    <w:rsid w:val="0075024E"/>
    <w:rsid w:val="007505A4"/>
    <w:rsid w:val="00750C73"/>
    <w:rsid w:val="00750DF2"/>
    <w:rsid w:val="00750FCB"/>
    <w:rsid w:val="00751DA0"/>
    <w:rsid w:val="00751F1F"/>
    <w:rsid w:val="00752274"/>
    <w:rsid w:val="0075257A"/>
    <w:rsid w:val="00752809"/>
    <w:rsid w:val="00752A1C"/>
    <w:rsid w:val="00752D7A"/>
    <w:rsid w:val="00752EDF"/>
    <w:rsid w:val="00753042"/>
    <w:rsid w:val="0075336A"/>
    <w:rsid w:val="007534AC"/>
    <w:rsid w:val="00753EE7"/>
    <w:rsid w:val="0075432F"/>
    <w:rsid w:val="007546D0"/>
    <w:rsid w:val="0075668C"/>
    <w:rsid w:val="00756A89"/>
    <w:rsid w:val="0075757E"/>
    <w:rsid w:val="00757D72"/>
    <w:rsid w:val="00757EE2"/>
    <w:rsid w:val="007600A1"/>
    <w:rsid w:val="007602AA"/>
    <w:rsid w:val="00760379"/>
    <w:rsid w:val="00760D63"/>
    <w:rsid w:val="00761A3A"/>
    <w:rsid w:val="00762755"/>
    <w:rsid w:val="007627BE"/>
    <w:rsid w:val="00762C68"/>
    <w:rsid w:val="00762DB6"/>
    <w:rsid w:val="00763865"/>
    <w:rsid w:val="00763B9C"/>
    <w:rsid w:val="00763DE4"/>
    <w:rsid w:val="00763F55"/>
    <w:rsid w:val="0076412A"/>
    <w:rsid w:val="007642E7"/>
    <w:rsid w:val="007647B9"/>
    <w:rsid w:val="00764981"/>
    <w:rsid w:val="00764EEE"/>
    <w:rsid w:val="00764F5D"/>
    <w:rsid w:val="00765227"/>
    <w:rsid w:val="00765286"/>
    <w:rsid w:val="00765454"/>
    <w:rsid w:val="007654CA"/>
    <w:rsid w:val="0076568C"/>
    <w:rsid w:val="0076572D"/>
    <w:rsid w:val="00765827"/>
    <w:rsid w:val="00765892"/>
    <w:rsid w:val="0076594D"/>
    <w:rsid w:val="00765A17"/>
    <w:rsid w:val="0076631B"/>
    <w:rsid w:val="00766551"/>
    <w:rsid w:val="007666DA"/>
    <w:rsid w:val="00766CC3"/>
    <w:rsid w:val="00767042"/>
    <w:rsid w:val="0076745A"/>
    <w:rsid w:val="007674B9"/>
    <w:rsid w:val="00767711"/>
    <w:rsid w:val="00767A32"/>
    <w:rsid w:val="00770497"/>
    <w:rsid w:val="007704B7"/>
    <w:rsid w:val="007708AC"/>
    <w:rsid w:val="00770A49"/>
    <w:rsid w:val="00770A4C"/>
    <w:rsid w:val="00770AD4"/>
    <w:rsid w:val="00770BFD"/>
    <w:rsid w:val="00770C57"/>
    <w:rsid w:val="00770EE8"/>
    <w:rsid w:val="00771247"/>
    <w:rsid w:val="00771260"/>
    <w:rsid w:val="0077140B"/>
    <w:rsid w:val="00771D66"/>
    <w:rsid w:val="00771D77"/>
    <w:rsid w:val="00772C00"/>
    <w:rsid w:val="00772F17"/>
    <w:rsid w:val="00773558"/>
    <w:rsid w:val="007738AD"/>
    <w:rsid w:val="00773FAD"/>
    <w:rsid w:val="0077469C"/>
    <w:rsid w:val="00774A58"/>
    <w:rsid w:val="00774BA1"/>
    <w:rsid w:val="00774BD2"/>
    <w:rsid w:val="00775049"/>
    <w:rsid w:val="007753C8"/>
    <w:rsid w:val="0077557F"/>
    <w:rsid w:val="00775630"/>
    <w:rsid w:val="00775A1B"/>
    <w:rsid w:val="00775B67"/>
    <w:rsid w:val="00775C46"/>
    <w:rsid w:val="00776160"/>
    <w:rsid w:val="007768A8"/>
    <w:rsid w:val="007773A0"/>
    <w:rsid w:val="007775BD"/>
    <w:rsid w:val="00777709"/>
    <w:rsid w:val="007777FB"/>
    <w:rsid w:val="00777941"/>
    <w:rsid w:val="007779ED"/>
    <w:rsid w:val="00777ABB"/>
    <w:rsid w:val="00780584"/>
    <w:rsid w:val="00780698"/>
    <w:rsid w:val="00780FFF"/>
    <w:rsid w:val="00781048"/>
    <w:rsid w:val="007812D6"/>
    <w:rsid w:val="00781A03"/>
    <w:rsid w:val="00781F11"/>
    <w:rsid w:val="0078203B"/>
    <w:rsid w:val="00782651"/>
    <w:rsid w:val="007827E2"/>
    <w:rsid w:val="0078291E"/>
    <w:rsid w:val="00782F13"/>
    <w:rsid w:val="00783353"/>
    <w:rsid w:val="0078341A"/>
    <w:rsid w:val="00783739"/>
    <w:rsid w:val="00784013"/>
    <w:rsid w:val="007840EF"/>
    <w:rsid w:val="00784483"/>
    <w:rsid w:val="00784A96"/>
    <w:rsid w:val="00784B89"/>
    <w:rsid w:val="00784C28"/>
    <w:rsid w:val="00784D7C"/>
    <w:rsid w:val="00784F6B"/>
    <w:rsid w:val="00784F71"/>
    <w:rsid w:val="0078507B"/>
    <w:rsid w:val="00785831"/>
    <w:rsid w:val="00785B63"/>
    <w:rsid w:val="00785B9F"/>
    <w:rsid w:val="007860E5"/>
    <w:rsid w:val="0078646F"/>
    <w:rsid w:val="00786C2E"/>
    <w:rsid w:val="00786C58"/>
    <w:rsid w:val="00786F2F"/>
    <w:rsid w:val="00787834"/>
    <w:rsid w:val="00787CEE"/>
    <w:rsid w:val="00790379"/>
    <w:rsid w:val="007906F9"/>
    <w:rsid w:val="007908FA"/>
    <w:rsid w:val="00790ABA"/>
    <w:rsid w:val="00790CB3"/>
    <w:rsid w:val="00790F21"/>
    <w:rsid w:val="00790F49"/>
    <w:rsid w:val="0079115F"/>
    <w:rsid w:val="007912BC"/>
    <w:rsid w:val="00791349"/>
    <w:rsid w:val="00791507"/>
    <w:rsid w:val="007915AF"/>
    <w:rsid w:val="00791978"/>
    <w:rsid w:val="007919B1"/>
    <w:rsid w:val="00791B27"/>
    <w:rsid w:val="00791CA8"/>
    <w:rsid w:val="007920DB"/>
    <w:rsid w:val="00792657"/>
    <w:rsid w:val="00792CED"/>
    <w:rsid w:val="00792D89"/>
    <w:rsid w:val="00792F08"/>
    <w:rsid w:val="00793A18"/>
    <w:rsid w:val="00793A21"/>
    <w:rsid w:val="00793FBB"/>
    <w:rsid w:val="0079445F"/>
    <w:rsid w:val="007945D1"/>
    <w:rsid w:val="00794AA3"/>
    <w:rsid w:val="00794E38"/>
    <w:rsid w:val="007955B4"/>
    <w:rsid w:val="0079564D"/>
    <w:rsid w:val="00795812"/>
    <w:rsid w:val="00795CCE"/>
    <w:rsid w:val="007961CE"/>
    <w:rsid w:val="00796351"/>
    <w:rsid w:val="00796BFE"/>
    <w:rsid w:val="00796DE5"/>
    <w:rsid w:val="007978EA"/>
    <w:rsid w:val="00797C12"/>
    <w:rsid w:val="007A0194"/>
    <w:rsid w:val="007A041A"/>
    <w:rsid w:val="007A089E"/>
    <w:rsid w:val="007A08F5"/>
    <w:rsid w:val="007A0DC6"/>
    <w:rsid w:val="007A1363"/>
    <w:rsid w:val="007A1678"/>
    <w:rsid w:val="007A257A"/>
    <w:rsid w:val="007A285C"/>
    <w:rsid w:val="007A28BA"/>
    <w:rsid w:val="007A2A1A"/>
    <w:rsid w:val="007A2A9B"/>
    <w:rsid w:val="007A2BD2"/>
    <w:rsid w:val="007A30DD"/>
    <w:rsid w:val="007A3F5A"/>
    <w:rsid w:val="007A4467"/>
    <w:rsid w:val="007A47CF"/>
    <w:rsid w:val="007A47F4"/>
    <w:rsid w:val="007A4941"/>
    <w:rsid w:val="007A4981"/>
    <w:rsid w:val="007A5B26"/>
    <w:rsid w:val="007A5B33"/>
    <w:rsid w:val="007A5B67"/>
    <w:rsid w:val="007A5DFD"/>
    <w:rsid w:val="007A6072"/>
    <w:rsid w:val="007A632A"/>
    <w:rsid w:val="007A6424"/>
    <w:rsid w:val="007A66DB"/>
    <w:rsid w:val="007A6EA8"/>
    <w:rsid w:val="007A6F54"/>
    <w:rsid w:val="007A7066"/>
    <w:rsid w:val="007A7189"/>
    <w:rsid w:val="007A770D"/>
    <w:rsid w:val="007A77AC"/>
    <w:rsid w:val="007B006D"/>
    <w:rsid w:val="007B0149"/>
    <w:rsid w:val="007B0271"/>
    <w:rsid w:val="007B04CD"/>
    <w:rsid w:val="007B0895"/>
    <w:rsid w:val="007B0D79"/>
    <w:rsid w:val="007B0F87"/>
    <w:rsid w:val="007B12C8"/>
    <w:rsid w:val="007B1336"/>
    <w:rsid w:val="007B13B1"/>
    <w:rsid w:val="007B1654"/>
    <w:rsid w:val="007B173A"/>
    <w:rsid w:val="007B1BBE"/>
    <w:rsid w:val="007B1F4C"/>
    <w:rsid w:val="007B1FF9"/>
    <w:rsid w:val="007B228E"/>
    <w:rsid w:val="007B2397"/>
    <w:rsid w:val="007B2550"/>
    <w:rsid w:val="007B3418"/>
    <w:rsid w:val="007B44FD"/>
    <w:rsid w:val="007B46DA"/>
    <w:rsid w:val="007B47F8"/>
    <w:rsid w:val="007B4838"/>
    <w:rsid w:val="007B4BB7"/>
    <w:rsid w:val="007B4F92"/>
    <w:rsid w:val="007B53CA"/>
    <w:rsid w:val="007B5ADA"/>
    <w:rsid w:val="007B5DD7"/>
    <w:rsid w:val="007B619C"/>
    <w:rsid w:val="007B637A"/>
    <w:rsid w:val="007B698A"/>
    <w:rsid w:val="007B7518"/>
    <w:rsid w:val="007B780A"/>
    <w:rsid w:val="007B79EB"/>
    <w:rsid w:val="007B7C3C"/>
    <w:rsid w:val="007C02A2"/>
    <w:rsid w:val="007C05EC"/>
    <w:rsid w:val="007C088A"/>
    <w:rsid w:val="007C0B0A"/>
    <w:rsid w:val="007C14E7"/>
    <w:rsid w:val="007C1F71"/>
    <w:rsid w:val="007C1F9E"/>
    <w:rsid w:val="007C23B7"/>
    <w:rsid w:val="007C2C1C"/>
    <w:rsid w:val="007C2DF0"/>
    <w:rsid w:val="007C3434"/>
    <w:rsid w:val="007C3473"/>
    <w:rsid w:val="007C3648"/>
    <w:rsid w:val="007C3663"/>
    <w:rsid w:val="007C37D9"/>
    <w:rsid w:val="007C3BD1"/>
    <w:rsid w:val="007C3E4D"/>
    <w:rsid w:val="007C3FEA"/>
    <w:rsid w:val="007C4CD4"/>
    <w:rsid w:val="007C51C6"/>
    <w:rsid w:val="007C557F"/>
    <w:rsid w:val="007C5FCC"/>
    <w:rsid w:val="007C601D"/>
    <w:rsid w:val="007C6DA9"/>
    <w:rsid w:val="007C6F42"/>
    <w:rsid w:val="007C6F86"/>
    <w:rsid w:val="007C6FD9"/>
    <w:rsid w:val="007C7A83"/>
    <w:rsid w:val="007C7AF7"/>
    <w:rsid w:val="007D07B8"/>
    <w:rsid w:val="007D0874"/>
    <w:rsid w:val="007D0AA1"/>
    <w:rsid w:val="007D0D79"/>
    <w:rsid w:val="007D1300"/>
    <w:rsid w:val="007D1D10"/>
    <w:rsid w:val="007D215B"/>
    <w:rsid w:val="007D2283"/>
    <w:rsid w:val="007D26DF"/>
    <w:rsid w:val="007D2892"/>
    <w:rsid w:val="007D3005"/>
    <w:rsid w:val="007D3733"/>
    <w:rsid w:val="007D38EE"/>
    <w:rsid w:val="007D41EE"/>
    <w:rsid w:val="007D4229"/>
    <w:rsid w:val="007D43E6"/>
    <w:rsid w:val="007D486E"/>
    <w:rsid w:val="007D4A50"/>
    <w:rsid w:val="007D4B7C"/>
    <w:rsid w:val="007D5294"/>
    <w:rsid w:val="007D54DF"/>
    <w:rsid w:val="007D59AF"/>
    <w:rsid w:val="007D5F0E"/>
    <w:rsid w:val="007D600A"/>
    <w:rsid w:val="007D7040"/>
    <w:rsid w:val="007D726F"/>
    <w:rsid w:val="007D730F"/>
    <w:rsid w:val="007D73E2"/>
    <w:rsid w:val="007D7BE2"/>
    <w:rsid w:val="007D7C31"/>
    <w:rsid w:val="007D7EA2"/>
    <w:rsid w:val="007E0065"/>
    <w:rsid w:val="007E01B2"/>
    <w:rsid w:val="007E03DA"/>
    <w:rsid w:val="007E05A5"/>
    <w:rsid w:val="007E0796"/>
    <w:rsid w:val="007E07B4"/>
    <w:rsid w:val="007E08A6"/>
    <w:rsid w:val="007E106B"/>
    <w:rsid w:val="007E18B8"/>
    <w:rsid w:val="007E1C73"/>
    <w:rsid w:val="007E1F6A"/>
    <w:rsid w:val="007E2495"/>
    <w:rsid w:val="007E2988"/>
    <w:rsid w:val="007E2C0A"/>
    <w:rsid w:val="007E3297"/>
    <w:rsid w:val="007E3652"/>
    <w:rsid w:val="007E4DE8"/>
    <w:rsid w:val="007E5286"/>
    <w:rsid w:val="007E5ADD"/>
    <w:rsid w:val="007E5B5C"/>
    <w:rsid w:val="007E5CEB"/>
    <w:rsid w:val="007E5E3E"/>
    <w:rsid w:val="007E6067"/>
    <w:rsid w:val="007E60F5"/>
    <w:rsid w:val="007E62AE"/>
    <w:rsid w:val="007E63B2"/>
    <w:rsid w:val="007E70ED"/>
    <w:rsid w:val="007E79C3"/>
    <w:rsid w:val="007E79EE"/>
    <w:rsid w:val="007E7E61"/>
    <w:rsid w:val="007F058C"/>
    <w:rsid w:val="007F098F"/>
    <w:rsid w:val="007F0B8D"/>
    <w:rsid w:val="007F0EB1"/>
    <w:rsid w:val="007F1247"/>
    <w:rsid w:val="007F12D3"/>
    <w:rsid w:val="007F167D"/>
    <w:rsid w:val="007F18D1"/>
    <w:rsid w:val="007F190B"/>
    <w:rsid w:val="007F230E"/>
    <w:rsid w:val="007F25B6"/>
    <w:rsid w:val="007F297D"/>
    <w:rsid w:val="007F2B01"/>
    <w:rsid w:val="007F2B68"/>
    <w:rsid w:val="007F2FB2"/>
    <w:rsid w:val="007F2FD8"/>
    <w:rsid w:val="007F379F"/>
    <w:rsid w:val="007F3A0E"/>
    <w:rsid w:val="007F4370"/>
    <w:rsid w:val="007F46BE"/>
    <w:rsid w:val="007F4E87"/>
    <w:rsid w:val="007F4F4C"/>
    <w:rsid w:val="007F56E3"/>
    <w:rsid w:val="007F5E48"/>
    <w:rsid w:val="007F5FA5"/>
    <w:rsid w:val="007F64A3"/>
    <w:rsid w:val="007F65C3"/>
    <w:rsid w:val="007F6635"/>
    <w:rsid w:val="007F6659"/>
    <w:rsid w:val="007F7986"/>
    <w:rsid w:val="007F7F23"/>
    <w:rsid w:val="00800C4B"/>
    <w:rsid w:val="00800D34"/>
    <w:rsid w:val="00800DC4"/>
    <w:rsid w:val="008011CE"/>
    <w:rsid w:val="00801215"/>
    <w:rsid w:val="008012F9"/>
    <w:rsid w:val="008017D5"/>
    <w:rsid w:val="00801B4F"/>
    <w:rsid w:val="00801BA1"/>
    <w:rsid w:val="00801C77"/>
    <w:rsid w:val="00801E31"/>
    <w:rsid w:val="00801F3A"/>
    <w:rsid w:val="0080209F"/>
    <w:rsid w:val="0080237F"/>
    <w:rsid w:val="008027DA"/>
    <w:rsid w:val="0080313D"/>
    <w:rsid w:val="008031A5"/>
    <w:rsid w:val="0080355B"/>
    <w:rsid w:val="008037E0"/>
    <w:rsid w:val="00803AEB"/>
    <w:rsid w:val="00803D05"/>
    <w:rsid w:val="00803E40"/>
    <w:rsid w:val="00803E60"/>
    <w:rsid w:val="00804389"/>
    <w:rsid w:val="008045F2"/>
    <w:rsid w:val="0080499A"/>
    <w:rsid w:val="00804C73"/>
    <w:rsid w:val="00805693"/>
    <w:rsid w:val="00805CDF"/>
    <w:rsid w:val="00805D23"/>
    <w:rsid w:val="00805E54"/>
    <w:rsid w:val="0080630B"/>
    <w:rsid w:val="008064CA"/>
    <w:rsid w:val="0080659B"/>
    <w:rsid w:val="00806624"/>
    <w:rsid w:val="00806F4A"/>
    <w:rsid w:val="00807073"/>
    <w:rsid w:val="0080715B"/>
    <w:rsid w:val="008074BE"/>
    <w:rsid w:val="00807A3A"/>
    <w:rsid w:val="00807F5F"/>
    <w:rsid w:val="008105ED"/>
    <w:rsid w:val="008109F0"/>
    <w:rsid w:val="00810BC3"/>
    <w:rsid w:val="00810C96"/>
    <w:rsid w:val="00810E9F"/>
    <w:rsid w:val="00810EF0"/>
    <w:rsid w:val="00811334"/>
    <w:rsid w:val="00811562"/>
    <w:rsid w:val="00811568"/>
    <w:rsid w:val="00811690"/>
    <w:rsid w:val="00811793"/>
    <w:rsid w:val="0081180C"/>
    <w:rsid w:val="008120BA"/>
    <w:rsid w:val="00812377"/>
    <w:rsid w:val="00812833"/>
    <w:rsid w:val="008133D6"/>
    <w:rsid w:val="00813BA9"/>
    <w:rsid w:val="00813EE5"/>
    <w:rsid w:val="008142E0"/>
    <w:rsid w:val="0081450C"/>
    <w:rsid w:val="0081470E"/>
    <w:rsid w:val="00814826"/>
    <w:rsid w:val="00814CF8"/>
    <w:rsid w:val="00814D88"/>
    <w:rsid w:val="0081549A"/>
    <w:rsid w:val="00815577"/>
    <w:rsid w:val="008156EE"/>
    <w:rsid w:val="00815B26"/>
    <w:rsid w:val="00816332"/>
    <w:rsid w:val="00816948"/>
    <w:rsid w:val="00816C8A"/>
    <w:rsid w:val="00816E49"/>
    <w:rsid w:val="00816EFB"/>
    <w:rsid w:val="0081716F"/>
    <w:rsid w:val="00817393"/>
    <w:rsid w:val="008175B8"/>
    <w:rsid w:val="00817A6A"/>
    <w:rsid w:val="00817E46"/>
    <w:rsid w:val="00817E9D"/>
    <w:rsid w:val="0082019B"/>
    <w:rsid w:val="00820ACE"/>
    <w:rsid w:val="00820F3C"/>
    <w:rsid w:val="0082119A"/>
    <w:rsid w:val="008215CD"/>
    <w:rsid w:val="00821644"/>
    <w:rsid w:val="00821F1F"/>
    <w:rsid w:val="0082246F"/>
    <w:rsid w:val="00822813"/>
    <w:rsid w:val="00822832"/>
    <w:rsid w:val="008238B4"/>
    <w:rsid w:val="00823C3C"/>
    <w:rsid w:val="008241CB"/>
    <w:rsid w:val="008242CB"/>
    <w:rsid w:val="00824405"/>
    <w:rsid w:val="0082450D"/>
    <w:rsid w:val="0082498E"/>
    <w:rsid w:val="00824C2B"/>
    <w:rsid w:val="00825248"/>
    <w:rsid w:val="00825434"/>
    <w:rsid w:val="00825686"/>
    <w:rsid w:val="00825D2D"/>
    <w:rsid w:val="00825FCE"/>
    <w:rsid w:val="008263C8"/>
    <w:rsid w:val="00826463"/>
    <w:rsid w:val="00826C31"/>
    <w:rsid w:val="0082789A"/>
    <w:rsid w:val="00827F49"/>
    <w:rsid w:val="00830150"/>
    <w:rsid w:val="00830362"/>
    <w:rsid w:val="008309BA"/>
    <w:rsid w:val="00830CEF"/>
    <w:rsid w:val="00830DB4"/>
    <w:rsid w:val="00830F36"/>
    <w:rsid w:val="008314EB"/>
    <w:rsid w:val="0083166E"/>
    <w:rsid w:val="008317F3"/>
    <w:rsid w:val="008320EC"/>
    <w:rsid w:val="00832590"/>
    <w:rsid w:val="008327F8"/>
    <w:rsid w:val="00832992"/>
    <w:rsid w:val="00832B25"/>
    <w:rsid w:val="00832D87"/>
    <w:rsid w:val="00832ED7"/>
    <w:rsid w:val="00832F04"/>
    <w:rsid w:val="00833177"/>
    <w:rsid w:val="008333C5"/>
    <w:rsid w:val="00833989"/>
    <w:rsid w:val="00833E89"/>
    <w:rsid w:val="0083484A"/>
    <w:rsid w:val="00834B02"/>
    <w:rsid w:val="00834DED"/>
    <w:rsid w:val="00834FEA"/>
    <w:rsid w:val="00835113"/>
    <w:rsid w:val="00835624"/>
    <w:rsid w:val="0083568E"/>
    <w:rsid w:val="0083591C"/>
    <w:rsid w:val="00836634"/>
    <w:rsid w:val="00836C4B"/>
    <w:rsid w:val="00836F88"/>
    <w:rsid w:val="00837A8C"/>
    <w:rsid w:val="00837BBD"/>
    <w:rsid w:val="00837BEF"/>
    <w:rsid w:val="00837F19"/>
    <w:rsid w:val="008404F0"/>
    <w:rsid w:val="0084054D"/>
    <w:rsid w:val="008406A2"/>
    <w:rsid w:val="00840ECA"/>
    <w:rsid w:val="00841229"/>
    <w:rsid w:val="0084191D"/>
    <w:rsid w:val="00841AFF"/>
    <w:rsid w:val="00841DFC"/>
    <w:rsid w:val="00841E2E"/>
    <w:rsid w:val="00841FD4"/>
    <w:rsid w:val="00842000"/>
    <w:rsid w:val="0084284D"/>
    <w:rsid w:val="008429DB"/>
    <w:rsid w:val="00842CE3"/>
    <w:rsid w:val="00843491"/>
    <w:rsid w:val="008434AF"/>
    <w:rsid w:val="00843A22"/>
    <w:rsid w:val="008440E9"/>
    <w:rsid w:val="008444D7"/>
    <w:rsid w:val="008453EA"/>
    <w:rsid w:val="0084590E"/>
    <w:rsid w:val="00845E14"/>
    <w:rsid w:val="00845E15"/>
    <w:rsid w:val="008463F0"/>
    <w:rsid w:val="008464EE"/>
    <w:rsid w:val="00846581"/>
    <w:rsid w:val="00846959"/>
    <w:rsid w:val="0084720E"/>
    <w:rsid w:val="008472EF"/>
    <w:rsid w:val="00847405"/>
    <w:rsid w:val="0084758A"/>
    <w:rsid w:val="00847836"/>
    <w:rsid w:val="00847ABC"/>
    <w:rsid w:val="00847E99"/>
    <w:rsid w:val="00850127"/>
    <w:rsid w:val="00850929"/>
    <w:rsid w:val="00850F9F"/>
    <w:rsid w:val="00851256"/>
    <w:rsid w:val="008517F6"/>
    <w:rsid w:val="00851D74"/>
    <w:rsid w:val="00851DEB"/>
    <w:rsid w:val="00851F40"/>
    <w:rsid w:val="00851F5F"/>
    <w:rsid w:val="00851F91"/>
    <w:rsid w:val="00852781"/>
    <w:rsid w:val="00852849"/>
    <w:rsid w:val="0085357B"/>
    <w:rsid w:val="0085368F"/>
    <w:rsid w:val="0085370B"/>
    <w:rsid w:val="00853BF1"/>
    <w:rsid w:val="00853DD8"/>
    <w:rsid w:val="00853DEC"/>
    <w:rsid w:val="0085440D"/>
    <w:rsid w:val="00854536"/>
    <w:rsid w:val="00854606"/>
    <w:rsid w:val="008549A7"/>
    <w:rsid w:val="00854B93"/>
    <w:rsid w:val="008556DF"/>
    <w:rsid w:val="0085578A"/>
    <w:rsid w:val="00855AAA"/>
    <w:rsid w:val="00855DE7"/>
    <w:rsid w:val="0085605E"/>
    <w:rsid w:val="00856304"/>
    <w:rsid w:val="00856357"/>
    <w:rsid w:val="00856A19"/>
    <w:rsid w:val="00856AEB"/>
    <w:rsid w:val="00857467"/>
    <w:rsid w:val="00857750"/>
    <w:rsid w:val="008577E3"/>
    <w:rsid w:val="00860610"/>
    <w:rsid w:val="00860AA0"/>
    <w:rsid w:val="00860D1C"/>
    <w:rsid w:val="00861291"/>
    <w:rsid w:val="00861738"/>
    <w:rsid w:val="00861832"/>
    <w:rsid w:val="008624F7"/>
    <w:rsid w:val="0086298A"/>
    <w:rsid w:val="00862A0E"/>
    <w:rsid w:val="00862A96"/>
    <w:rsid w:val="0086308E"/>
    <w:rsid w:val="00863751"/>
    <w:rsid w:val="00863813"/>
    <w:rsid w:val="00863A9C"/>
    <w:rsid w:val="00864A0A"/>
    <w:rsid w:val="00864C3C"/>
    <w:rsid w:val="00864E63"/>
    <w:rsid w:val="00864F14"/>
    <w:rsid w:val="008650AE"/>
    <w:rsid w:val="008652D1"/>
    <w:rsid w:val="00865B13"/>
    <w:rsid w:val="00866029"/>
    <w:rsid w:val="00866F8F"/>
    <w:rsid w:val="008670B4"/>
    <w:rsid w:val="008673D9"/>
    <w:rsid w:val="00867C01"/>
    <w:rsid w:val="00870678"/>
    <w:rsid w:val="008707B5"/>
    <w:rsid w:val="00870B0F"/>
    <w:rsid w:val="00871680"/>
    <w:rsid w:val="008719E1"/>
    <w:rsid w:val="008721E7"/>
    <w:rsid w:val="00872F4E"/>
    <w:rsid w:val="008731F9"/>
    <w:rsid w:val="008733C8"/>
    <w:rsid w:val="00873992"/>
    <w:rsid w:val="00873997"/>
    <w:rsid w:val="008739E4"/>
    <w:rsid w:val="00873E91"/>
    <w:rsid w:val="00873FDD"/>
    <w:rsid w:val="00874144"/>
    <w:rsid w:val="008742A2"/>
    <w:rsid w:val="00874A6C"/>
    <w:rsid w:val="0087514D"/>
    <w:rsid w:val="00875242"/>
    <w:rsid w:val="0087535D"/>
    <w:rsid w:val="0087537D"/>
    <w:rsid w:val="008753FF"/>
    <w:rsid w:val="008759AA"/>
    <w:rsid w:val="00875CA2"/>
    <w:rsid w:val="00876323"/>
    <w:rsid w:val="00876771"/>
    <w:rsid w:val="00876C75"/>
    <w:rsid w:val="00876E84"/>
    <w:rsid w:val="008774A5"/>
    <w:rsid w:val="0087762E"/>
    <w:rsid w:val="00877A8B"/>
    <w:rsid w:val="00877B74"/>
    <w:rsid w:val="00877DBA"/>
    <w:rsid w:val="00877E72"/>
    <w:rsid w:val="00880124"/>
    <w:rsid w:val="0088027E"/>
    <w:rsid w:val="0088099E"/>
    <w:rsid w:val="00880C41"/>
    <w:rsid w:val="00880E15"/>
    <w:rsid w:val="00881913"/>
    <w:rsid w:val="00881CA1"/>
    <w:rsid w:val="00881D3A"/>
    <w:rsid w:val="00882C11"/>
    <w:rsid w:val="00882ED2"/>
    <w:rsid w:val="008831C7"/>
    <w:rsid w:val="008831CA"/>
    <w:rsid w:val="00883325"/>
    <w:rsid w:val="008834C4"/>
    <w:rsid w:val="008836F3"/>
    <w:rsid w:val="00883949"/>
    <w:rsid w:val="00883A26"/>
    <w:rsid w:val="00883A7B"/>
    <w:rsid w:val="00883BAC"/>
    <w:rsid w:val="0088405F"/>
    <w:rsid w:val="008841BC"/>
    <w:rsid w:val="0088429C"/>
    <w:rsid w:val="008845B7"/>
    <w:rsid w:val="00884873"/>
    <w:rsid w:val="008848B5"/>
    <w:rsid w:val="0088497D"/>
    <w:rsid w:val="00884AA5"/>
    <w:rsid w:val="00884CC1"/>
    <w:rsid w:val="0088580B"/>
    <w:rsid w:val="00885BCC"/>
    <w:rsid w:val="00885EE7"/>
    <w:rsid w:val="00885F75"/>
    <w:rsid w:val="00886649"/>
    <w:rsid w:val="008866D3"/>
    <w:rsid w:val="00886720"/>
    <w:rsid w:val="00886FFF"/>
    <w:rsid w:val="00887219"/>
    <w:rsid w:val="00887579"/>
    <w:rsid w:val="008876DA"/>
    <w:rsid w:val="00887826"/>
    <w:rsid w:val="00887834"/>
    <w:rsid w:val="00887B9E"/>
    <w:rsid w:val="0089006A"/>
    <w:rsid w:val="0089029E"/>
    <w:rsid w:val="00890930"/>
    <w:rsid w:val="00890BF3"/>
    <w:rsid w:val="008912AB"/>
    <w:rsid w:val="00891557"/>
    <w:rsid w:val="00891A70"/>
    <w:rsid w:val="00891E69"/>
    <w:rsid w:val="0089286D"/>
    <w:rsid w:val="008928A3"/>
    <w:rsid w:val="00892C0C"/>
    <w:rsid w:val="00892E9F"/>
    <w:rsid w:val="00892F33"/>
    <w:rsid w:val="008931EA"/>
    <w:rsid w:val="00893653"/>
    <w:rsid w:val="00893914"/>
    <w:rsid w:val="00893B86"/>
    <w:rsid w:val="00893E67"/>
    <w:rsid w:val="00894473"/>
    <w:rsid w:val="0089482A"/>
    <w:rsid w:val="00894DC9"/>
    <w:rsid w:val="0089516A"/>
    <w:rsid w:val="008951A0"/>
    <w:rsid w:val="0089568D"/>
    <w:rsid w:val="00895F9C"/>
    <w:rsid w:val="008961E4"/>
    <w:rsid w:val="0089641D"/>
    <w:rsid w:val="0089734A"/>
    <w:rsid w:val="0089755D"/>
    <w:rsid w:val="008978EE"/>
    <w:rsid w:val="0089794A"/>
    <w:rsid w:val="00897A74"/>
    <w:rsid w:val="00897D40"/>
    <w:rsid w:val="008A0789"/>
    <w:rsid w:val="008A12A5"/>
    <w:rsid w:val="008A16DA"/>
    <w:rsid w:val="008A1A2B"/>
    <w:rsid w:val="008A1A48"/>
    <w:rsid w:val="008A1B06"/>
    <w:rsid w:val="008A1CB5"/>
    <w:rsid w:val="008A1D5C"/>
    <w:rsid w:val="008A208F"/>
    <w:rsid w:val="008A20C0"/>
    <w:rsid w:val="008A211F"/>
    <w:rsid w:val="008A220B"/>
    <w:rsid w:val="008A2846"/>
    <w:rsid w:val="008A3029"/>
    <w:rsid w:val="008A354E"/>
    <w:rsid w:val="008A3862"/>
    <w:rsid w:val="008A391A"/>
    <w:rsid w:val="008A3BA1"/>
    <w:rsid w:val="008A3BF2"/>
    <w:rsid w:val="008A4041"/>
    <w:rsid w:val="008A472D"/>
    <w:rsid w:val="008A4855"/>
    <w:rsid w:val="008A4AFF"/>
    <w:rsid w:val="008A5349"/>
    <w:rsid w:val="008A5499"/>
    <w:rsid w:val="008A5927"/>
    <w:rsid w:val="008A5A1B"/>
    <w:rsid w:val="008A5B16"/>
    <w:rsid w:val="008A5C06"/>
    <w:rsid w:val="008A61CE"/>
    <w:rsid w:val="008A6C24"/>
    <w:rsid w:val="008A6FEA"/>
    <w:rsid w:val="008A7427"/>
    <w:rsid w:val="008A7DD6"/>
    <w:rsid w:val="008A7FA3"/>
    <w:rsid w:val="008B0193"/>
    <w:rsid w:val="008B0328"/>
    <w:rsid w:val="008B0598"/>
    <w:rsid w:val="008B08D1"/>
    <w:rsid w:val="008B0E71"/>
    <w:rsid w:val="008B0EF4"/>
    <w:rsid w:val="008B1200"/>
    <w:rsid w:val="008B123A"/>
    <w:rsid w:val="008B1267"/>
    <w:rsid w:val="008B1296"/>
    <w:rsid w:val="008B12FC"/>
    <w:rsid w:val="008B1332"/>
    <w:rsid w:val="008B1E75"/>
    <w:rsid w:val="008B1F41"/>
    <w:rsid w:val="008B213E"/>
    <w:rsid w:val="008B21C7"/>
    <w:rsid w:val="008B2321"/>
    <w:rsid w:val="008B23D2"/>
    <w:rsid w:val="008B250A"/>
    <w:rsid w:val="008B26BC"/>
    <w:rsid w:val="008B2AF2"/>
    <w:rsid w:val="008B2F2D"/>
    <w:rsid w:val="008B32FD"/>
    <w:rsid w:val="008B3FEF"/>
    <w:rsid w:val="008B43E5"/>
    <w:rsid w:val="008B457E"/>
    <w:rsid w:val="008B4C81"/>
    <w:rsid w:val="008B4D17"/>
    <w:rsid w:val="008B55C0"/>
    <w:rsid w:val="008B57D4"/>
    <w:rsid w:val="008B57F9"/>
    <w:rsid w:val="008B5B14"/>
    <w:rsid w:val="008B6116"/>
    <w:rsid w:val="008B6847"/>
    <w:rsid w:val="008B6B28"/>
    <w:rsid w:val="008B6B61"/>
    <w:rsid w:val="008B6C29"/>
    <w:rsid w:val="008B6C41"/>
    <w:rsid w:val="008B7276"/>
    <w:rsid w:val="008B72B2"/>
    <w:rsid w:val="008B77BE"/>
    <w:rsid w:val="008B7820"/>
    <w:rsid w:val="008C01C1"/>
    <w:rsid w:val="008C0BAC"/>
    <w:rsid w:val="008C0DAF"/>
    <w:rsid w:val="008C0ED0"/>
    <w:rsid w:val="008C10F5"/>
    <w:rsid w:val="008C160C"/>
    <w:rsid w:val="008C1824"/>
    <w:rsid w:val="008C19AD"/>
    <w:rsid w:val="008C1BA9"/>
    <w:rsid w:val="008C1C8C"/>
    <w:rsid w:val="008C21CD"/>
    <w:rsid w:val="008C251A"/>
    <w:rsid w:val="008C2B76"/>
    <w:rsid w:val="008C3A3E"/>
    <w:rsid w:val="008C3ACB"/>
    <w:rsid w:val="008C3DD2"/>
    <w:rsid w:val="008C4173"/>
    <w:rsid w:val="008C4596"/>
    <w:rsid w:val="008C58A6"/>
    <w:rsid w:val="008C5D90"/>
    <w:rsid w:val="008C60FC"/>
    <w:rsid w:val="008C6289"/>
    <w:rsid w:val="008C62E7"/>
    <w:rsid w:val="008C639E"/>
    <w:rsid w:val="008C6A4E"/>
    <w:rsid w:val="008C6AB4"/>
    <w:rsid w:val="008C6EFF"/>
    <w:rsid w:val="008D02A6"/>
    <w:rsid w:val="008D0426"/>
    <w:rsid w:val="008D070A"/>
    <w:rsid w:val="008D0A23"/>
    <w:rsid w:val="008D0BAF"/>
    <w:rsid w:val="008D0EB7"/>
    <w:rsid w:val="008D0EC1"/>
    <w:rsid w:val="008D10E9"/>
    <w:rsid w:val="008D1A0C"/>
    <w:rsid w:val="008D1AF6"/>
    <w:rsid w:val="008D23F9"/>
    <w:rsid w:val="008D26E0"/>
    <w:rsid w:val="008D363E"/>
    <w:rsid w:val="008D39B2"/>
    <w:rsid w:val="008D4181"/>
    <w:rsid w:val="008D41B1"/>
    <w:rsid w:val="008D4394"/>
    <w:rsid w:val="008D481E"/>
    <w:rsid w:val="008D4B19"/>
    <w:rsid w:val="008D4B3B"/>
    <w:rsid w:val="008D4CAF"/>
    <w:rsid w:val="008D4CEB"/>
    <w:rsid w:val="008D4E0F"/>
    <w:rsid w:val="008D4E62"/>
    <w:rsid w:val="008D51C6"/>
    <w:rsid w:val="008D5360"/>
    <w:rsid w:val="008D537F"/>
    <w:rsid w:val="008D58A8"/>
    <w:rsid w:val="008D5CB4"/>
    <w:rsid w:val="008D5F8C"/>
    <w:rsid w:val="008D62DB"/>
    <w:rsid w:val="008D64D7"/>
    <w:rsid w:val="008D6BF4"/>
    <w:rsid w:val="008D70C9"/>
    <w:rsid w:val="008D734D"/>
    <w:rsid w:val="008D7925"/>
    <w:rsid w:val="008D7AD5"/>
    <w:rsid w:val="008E0139"/>
    <w:rsid w:val="008E016B"/>
    <w:rsid w:val="008E0197"/>
    <w:rsid w:val="008E094E"/>
    <w:rsid w:val="008E0C87"/>
    <w:rsid w:val="008E0EE3"/>
    <w:rsid w:val="008E1451"/>
    <w:rsid w:val="008E1612"/>
    <w:rsid w:val="008E1B44"/>
    <w:rsid w:val="008E1D6A"/>
    <w:rsid w:val="008E1EDA"/>
    <w:rsid w:val="008E21AC"/>
    <w:rsid w:val="008E2552"/>
    <w:rsid w:val="008E297B"/>
    <w:rsid w:val="008E2992"/>
    <w:rsid w:val="008E29A9"/>
    <w:rsid w:val="008E2CF2"/>
    <w:rsid w:val="008E3406"/>
    <w:rsid w:val="008E3D83"/>
    <w:rsid w:val="008E40EE"/>
    <w:rsid w:val="008E41FB"/>
    <w:rsid w:val="008E44CD"/>
    <w:rsid w:val="008E4A80"/>
    <w:rsid w:val="008E5693"/>
    <w:rsid w:val="008E56EE"/>
    <w:rsid w:val="008E57C7"/>
    <w:rsid w:val="008E58AC"/>
    <w:rsid w:val="008E5B19"/>
    <w:rsid w:val="008E68C8"/>
    <w:rsid w:val="008E6CB9"/>
    <w:rsid w:val="008E6E9B"/>
    <w:rsid w:val="008E6FA3"/>
    <w:rsid w:val="008E7770"/>
    <w:rsid w:val="008E7BDC"/>
    <w:rsid w:val="008E7D8A"/>
    <w:rsid w:val="008E7E2A"/>
    <w:rsid w:val="008F01D5"/>
    <w:rsid w:val="008F0754"/>
    <w:rsid w:val="008F0EFE"/>
    <w:rsid w:val="008F17FE"/>
    <w:rsid w:val="008F1957"/>
    <w:rsid w:val="008F1A71"/>
    <w:rsid w:val="008F1F12"/>
    <w:rsid w:val="008F1FD4"/>
    <w:rsid w:val="008F26AE"/>
    <w:rsid w:val="008F272B"/>
    <w:rsid w:val="008F299F"/>
    <w:rsid w:val="008F2B5C"/>
    <w:rsid w:val="008F2DAA"/>
    <w:rsid w:val="008F31BB"/>
    <w:rsid w:val="008F336E"/>
    <w:rsid w:val="008F33D6"/>
    <w:rsid w:val="008F3549"/>
    <w:rsid w:val="008F3E14"/>
    <w:rsid w:val="008F4021"/>
    <w:rsid w:val="008F4030"/>
    <w:rsid w:val="008F460D"/>
    <w:rsid w:val="008F4B00"/>
    <w:rsid w:val="008F4E7D"/>
    <w:rsid w:val="008F53A7"/>
    <w:rsid w:val="008F5725"/>
    <w:rsid w:val="008F5CB7"/>
    <w:rsid w:val="008F5F9A"/>
    <w:rsid w:val="008F601F"/>
    <w:rsid w:val="008F6105"/>
    <w:rsid w:val="008F6153"/>
    <w:rsid w:val="008F6249"/>
    <w:rsid w:val="008F65D7"/>
    <w:rsid w:val="008F6AB1"/>
    <w:rsid w:val="008F752F"/>
    <w:rsid w:val="008F79C5"/>
    <w:rsid w:val="00900392"/>
    <w:rsid w:val="00900D46"/>
    <w:rsid w:val="00900E85"/>
    <w:rsid w:val="00901181"/>
    <w:rsid w:val="00901393"/>
    <w:rsid w:val="00901754"/>
    <w:rsid w:val="00901AE7"/>
    <w:rsid w:val="00901CA4"/>
    <w:rsid w:val="00901DB0"/>
    <w:rsid w:val="00901EE5"/>
    <w:rsid w:val="00902177"/>
    <w:rsid w:val="00902234"/>
    <w:rsid w:val="00902893"/>
    <w:rsid w:val="00902B02"/>
    <w:rsid w:val="00902D40"/>
    <w:rsid w:val="00903292"/>
    <w:rsid w:val="00903F4B"/>
    <w:rsid w:val="00904027"/>
    <w:rsid w:val="00904113"/>
    <w:rsid w:val="0090430C"/>
    <w:rsid w:val="00904AE9"/>
    <w:rsid w:val="00904B29"/>
    <w:rsid w:val="0090548F"/>
    <w:rsid w:val="009055AC"/>
    <w:rsid w:val="00905654"/>
    <w:rsid w:val="00905663"/>
    <w:rsid w:val="00905A52"/>
    <w:rsid w:val="00905A7C"/>
    <w:rsid w:val="00905F4A"/>
    <w:rsid w:val="00906111"/>
    <w:rsid w:val="009070E7"/>
    <w:rsid w:val="00907550"/>
    <w:rsid w:val="009077EB"/>
    <w:rsid w:val="00907867"/>
    <w:rsid w:val="00907974"/>
    <w:rsid w:val="0091071F"/>
    <w:rsid w:val="0091111F"/>
    <w:rsid w:val="00911135"/>
    <w:rsid w:val="0091147C"/>
    <w:rsid w:val="00911844"/>
    <w:rsid w:val="0091184D"/>
    <w:rsid w:val="009118A2"/>
    <w:rsid w:val="009119B2"/>
    <w:rsid w:val="00911ABB"/>
    <w:rsid w:val="00911B8D"/>
    <w:rsid w:val="00911ECA"/>
    <w:rsid w:val="00912239"/>
    <w:rsid w:val="0091253E"/>
    <w:rsid w:val="0091280A"/>
    <w:rsid w:val="00912AA4"/>
    <w:rsid w:val="00913482"/>
    <w:rsid w:val="009140E6"/>
    <w:rsid w:val="009141FF"/>
    <w:rsid w:val="009143D5"/>
    <w:rsid w:val="00914595"/>
    <w:rsid w:val="0091483D"/>
    <w:rsid w:val="009149DE"/>
    <w:rsid w:val="00914AEE"/>
    <w:rsid w:val="00914B84"/>
    <w:rsid w:val="00914C66"/>
    <w:rsid w:val="00914E47"/>
    <w:rsid w:val="0091543C"/>
    <w:rsid w:val="009155FF"/>
    <w:rsid w:val="009156CF"/>
    <w:rsid w:val="00915B3A"/>
    <w:rsid w:val="00915BDB"/>
    <w:rsid w:val="009161BE"/>
    <w:rsid w:val="00916EDE"/>
    <w:rsid w:val="0091733F"/>
    <w:rsid w:val="0091775D"/>
    <w:rsid w:val="009177EA"/>
    <w:rsid w:val="009179FB"/>
    <w:rsid w:val="00917B1B"/>
    <w:rsid w:val="0092062A"/>
    <w:rsid w:val="009206DA"/>
    <w:rsid w:val="009207CE"/>
    <w:rsid w:val="009208FC"/>
    <w:rsid w:val="009208FE"/>
    <w:rsid w:val="00920977"/>
    <w:rsid w:val="00920984"/>
    <w:rsid w:val="00920BDB"/>
    <w:rsid w:val="00920E18"/>
    <w:rsid w:val="00920E1F"/>
    <w:rsid w:val="009216F6"/>
    <w:rsid w:val="009217F2"/>
    <w:rsid w:val="00921AC9"/>
    <w:rsid w:val="00921ACC"/>
    <w:rsid w:val="00922728"/>
    <w:rsid w:val="009228C7"/>
    <w:rsid w:val="00922FB9"/>
    <w:rsid w:val="009233DE"/>
    <w:rsid w:val="00923F58"/>
    <w:rsid w:val="00924D1C"/>
    <w:rsid w:val="00924FF3"/>
    <w:rsid w:val="009256AD"/>
    <w:rsid w:val="009257F0"/>
    <w:rsid w:val="00925BAD"/>
    <w:rsid w:val="00925C12"/>
    <w:rsid w:val="00925EF8"/>
    <w:rsid w:val="00926488"/>
    <w:rsid w:val="00926811"/>
    <w:rsid w:val="00926D8D"/>
    <w:rsid w:val="00927CEA"/>
    <w:rsid w:val="00927F12"/>
    <w:rsid w:val="00927F42"/>
    <w:rsid w:val="009302AE"/>
    <w:rsid w:val="0093086A"/>
    <w:rsid w:val="00930DDE"/>
    <w:rsid w:val="00930FAE"/>
    <w:rsid w:val="009314BE"/>
    <w:rsid w:val="00931972"/>
    <w:rsid w:val="009319BC"/>
    <w:rsid w:val="00931CDE"/>
    <w:rsid w:val="00932147"/>
    <w:rsid w:val="00932279"/>
    <w:rsid w:val="0093228F"/>
    <w:rsid w:val="009328EF"/>
    <w:rsid w:val="009328F9"/>
    <w:rsid w:val="00932EF3"/>
    <w:rsid w:val="00932FD1"/>
    <w:rsid w:val="00933202"/>
    <w:rsid w:val="00933209"/>
    <w:rsid w:val="0093326A"/>
    <w:rsid w:val="0093326E"/>
    <w:rsid w:val="009335C0"/>
    <w:rsid w:val="00933E42"/>
    <w:rsid w:val="009343F0"/>
    <w:rsid w:val="009348F2"/>
    <w:rsid w:val="00934930"/>
    <w:rsid w:val="00935185"/>
    <w:rsid w:val="0093540C"/>
    <w:rsid w:val="009355A6"/>
    <w:rsid w:val="0093575D"/>
    <w:rsid w:val="0093656F"/>
    <w:rsid w:val="00936674"/>
    <w:rsid w:val="00936909"/>
    <w:rsid w:val="009369D6"/>
    <w:rsid w:val="00936F55"/>
    <w:rsid w:val="00937696"/>
    <w:rsid w:val="009376C1"/>
    <w:rsid w:val="00937B4F"/>
    <w:rsid w:val="00937E69"/>
    <w:rsid w:val="0094060C"/>
    <w:rsid w:val="00940695"/>
    <w:rsid w:val="009406DB"/>
    <w:rsid w:val="00940B7E"/>
    <w:rsid w:val="00941364"/>
    <w:rsid w:val="009414CD"/>
    <w:rsid w:val="00941543"/>
    <w:rsid w:val="00941A83"/>
    <w:rsid w:val="00941B62"/>
    <w:rsid w:val="00941BFE"/>
    <w:rsid w:val="00941DE7"/>
    <w:rsid w:val="00941E44"/>
    <w:rsid w:val="00941F16"/>
    <w:rsid w:val="00942289"/>
    <w:rsid w:val="00942A71"/>
    <w:rsid w:val="00942CD3"/>
    <w:rsid w:val="00942EBB"/>
    <w:rsid w:val="0094318D"/>
    <w:rsid w:val="00943805"/>
    <w:rsid w:val="00943D56"/>
    <w:rsid w:val="00943EA0"/>
    <w:rsid w:val="009445ED"/>
    <w:rsid w:val="00944812"/>
    <w:rsid w:val="009450BF"/>
    <w:rsid w:val="00945A90"/>
    <w:rsid w:val="00945D4E"/>
    <w:rsid w:val="00945D7E"/>
    <w:rsid w:val="00946125"/>
    <w:rsid w:val="00946389"/>
    <w:rsid w:val="0094646E"/>
    <w:rsid w:val="00946587"/>
    <w:rsid w:val="009467DA"/>
    <w:rsid w:val="00946DD5"/>
    <w:rsid w:val="00947548"/>
    <w:rsid w:val="009476FB"/>
    <w:rsid w:val="00947739"/>
    <w:rsid w:val="00947BA0"/>
    <w:rsid w:val="00947BDE"/>
    <w:rsid w:val="00947FFE"/>
    <w:rsid w:val="009504B9"/>
    <w:rsid w:val="009506B5"/>
    <w:rsid w:val="009506F7"/>
    <w:rsid w:val="009507FE"/>
    <w:rsid w:val="00950BA1"/>
    <w:rsid w:val="00950EB8"/>
    <w:rsid w:val="0095227B"/>
    <w:rsid w:val="00952AD7"/>
    <w:rsid w:val="0095300C"/>
    <w:rsid w:val="009532DB"/>
    <w:rsid w:val="00953635"/>
    <w:rsid w:val="009537CB"/>
    <w:rsid w:val="00953A66"/>
    <w:rsid w:val="00953AF7"/>
    <w:rsid w:val="00953C49"/>
    <w:rsid w:val="00953CD9"/>
    <w:rsid w:val="00954098"/>
    <w:rsid w:val="00954113"/>
    <w:rsid w:val="009541F3"/>
    <w:rsid w:val="00954275"/>
    <w:rsid w:val="00954327"/>
    <w:rsid w:val="0095471F"/>
    <w:rsid w:val="009547DD"/>
    <w:rsid w:val="00954ABF"/>
    <w:rsid w:val="00954D64"/>
    <w:rsid w:val="00954FEE"/>
    <w:rsid w:val="0095514B"/>
    <w:rsid w:val="00955188"/>
    <w:rsid w:val="00955CA5"/>
    <w:rsid w:val="00955F00"/>
    <w:rsid w:val="00955F09"/>
    <w:rsid w:val="00956196"/>
    <w:rsid w:val="00956519"/>
    <w:rsid w:val="0095698F"/>
    <w:rsid w:val="00956AED"/>
    <w:rsid w:val="00957634"/>
    <w:rsid w:val="009576EA"/>
    <w:rsid w:val="00957842"/>
    <w:rsid w:val="009601E5"/>
    <w:rsid w:val="00960354"/>
    <w:rsid w:val="00960754"/>
    <w:rsid w:val="00960A28"/>
    <w:rsid w:val="00961B1A"/>
    <w:rsid w:val="00961CFB"/>
    <w:rsid w:val="00961E96"/>
    <w:rsid w:val="00961F8B"/>
    <w:rsid w:val="00961FDD"/>
    <w:rsid w:val="00962026"/>
    <w:rsid w:val="0096244B"/>
    <w:rsid w:val="00962C5A"/>
    <w:rsid w:val="00962C60"/>
    <w:rsid w:val="00962C6A"/>
    <w:rsid w:val="00962CF4"/>
    <w:rsid w:val="00962DA2"/>
    <w:rsid w:val="00963315"/>
    <w:rsid w:val="00963C65"/>
    <w:rsid w:val="00963EE4"/>
    <w:rsid w:val="009647F2"/>
    <w:rsid w:val="0096493E"/>
    <w:rsid w:val="00964E33"/>
    <w:rsid w:val="00964EF0"/>
    <w:rsid w:val="009651DD"/>
    <w:rsid w:val="0096550A"/>
    <w:rsid w:val="009656E6"/>
    <w:rsid w:val="00965CCA"/>
    <w:rsid w:val="009660C0"/>
    <w:rsid w:val="00966144"/>
    <w:rsid w:val="00966210"/>
    <w:rsid w:val="009663AD"/>
    <w:rsid w:val="009664C8"/>
    <w:rsid w:val="00966584"/>
    <w:rsid w:val="00966642"/>
    <w:rsid w:val="00966668"/>
    <w:rsid w:val="009666AC"/>
    <w:rsid w:val="009666FF"/>
    <w:rsid w:val="00966800"/>
    <w:rsid w:val="00967269"/>
    <w:rsid w:val="00967933"/>
    <w:rsid w:val="0096797E"/>
    <w:rsid w:val="009679E7"/>
    <w:rsid w:val="00967C72"/>
    <w:rsid w:val="00970168"/>
    <w:rsid w:val="00970BB5"/>
    <w:rsid w:val="00970D20"/>
    <w:rsid w:val="00970F79"/>
    <w:rsid w:val="00971111"/>
    <w:rsid w:val="00972682"/>
    <w:rsid w:val="009727D8"/>
    <w:rsid w:val="00973253"/>
    <w:rsid w:val="00973641"/>
    <w:rsid w:val="00973C4E"/>
    <w:rsid w:val="00973EF5"/>
    <w:rsid w:val="0097426D"/>
    <w:rsid w:val="0097428F"/>
    <w:rsid w:val="0097476B"/>
    <w:rsid w:val="0097476F"/>
    <w:rsid w:val="009748B9"/>
    <w:rsid w:val="00974E4C"/>
    <w:rsid w:val="00975A73"/>
    <w:rsid w:val="00975C41"/>
    <w:rsid w:val="009763D4"/>
    <w:rsid w:val="00976659"/>
    <w:rsid w:val="00976A5A"/>
    <w:rsid w:val="00976A79"/>
    <w:rsid w:val="00976BB0"/>
    <w:rsid w:val="00976E9B"/>
    <w:rsid w:val="00977399"/>
    <w:rsid w:val="00977632"/>
    <w:rsid w:val="00977C36"/>
    <w:rsid w:val="00977CD1"/>
    <w:rsid w:val="00980F15"/>
    <w:rsid w:val="00981625"/>
    <w:rsid w:val="009817C9"/>
    <w:rsid w:val="009824C6"/>
    <w:rsid w:val="009826E1"/>
    <w:rsid w:val="00982741"/>
    <w:rsid w:val="00982848"/>
    <w:rsid w:val="0098292E"/>
    <w:rsid w:val="009829BC"/>
    <w:rsid w:val="00982B8B"/>
    <w:rsid w:val="00982CCE"/>
    <w:rsid w:val="009830C4"/>
    <w:rsid w:val="0098350A"/>
    <w:rsid w:val="0098399B"/>
    <w:rsid w:val="009840DD"/>
    <w:rsid w:val="00984571"/>
    <w:rsid w:val="009845C3"/>
    <w:rsid w:val="009847DB"/>
    <w:rsid w:val="00984EE5"/>
    <w:rsid w:val="00985249"/>
    <w:rsid w:val="00985C65"/>
    <w:rsid w:val="009866F8"/>
    <w:rsid w:val="009867D0"/>
    <w:rsid w:val="00986E86"/>
    <w:rsid w:val="00986F5C"/>
    <w:rsid w:val="00987948"/>
    <w:rsid w:val="00987F64"/>
    <w:rsid w:val="009908B2"/>
    <w:rsid w:val="00990F65"/>
    <w:rsid w:val="00990FE0"/>
    <w:rsid w:val="00991417"/>
    <w:rsid w:val="009914E0"/>
    <w:rsid w:val="00991947"/>
    <w:rsid w:val="00991E5A"/>
    <w:rsid w:val="00991FF8"/>
    <w:rsid w:val="00992097"/>
    <w:rsid w:val="00992772"/>
    <w:rsid w:val="0099286C"/>
    <w:rsid w:val="009928B9"/>
    <w:rsid w:val="00992AFE"/>
    <w:rsid w:val="00992B89"/>
    <w:rsid w:val="00993A42"/>
    <w:rsid w:val="00993B63"/>
    <w:rsid w:val="00993BFB"/>
    <w:rsid w:val="00993F91"/>
    <w:rsid w:val="00993FEE"/>
    <w:rsid w:val="009940A9"/>
    <w:rsid w:val="009941D4"/>
    <w:rsid w:val="00994332"/>
    <w:rsid w:val="00994342"/>
    <w:rsid w:val="0099436D"/>
    <w:rsid w:val="00994BE9"/>
    <w:rsid w:val="00994F11"/>
    <w:rsid w:val="0099517D"/>
    <w:rsid w:val="00995296"/>
    <w:rsid w:val="0099567F"/>
    <w:rsid w:val="00995761"/>
    <w:rsid w:val="00995909"/>
    <w:rsid w:val="00995EE9"/>
    <w:rsid w:val="00996AB8"/>
    <w:rsid w:val="0099717E"/>
    <w:rsid w:val="009977D5"/>
    <w:rsid w:val="009978BD"/>
    <w:rsid w:val="00997B48"/>
    <w:rsid w:val="00997C71"/>
    <w:rsid w:val="009A061C"/>
    <w:rsid w:val="009A07C6"/>
    <w:rsid w:val="009A0A81"/>
    <w:rsid w:val="009A0B6F"/>
    <w:rsid w:val="009A0C64"/>
    <w:rsid w:val="009A0DB2"/>
    <w:rsid w:val="009A0FE0"/>
    <w:rsid w:val="009A1109"/>
    <w:rsid w:val="009A184D"/>
    <w:rsid w:val="009A1B01"/>
    <w:rsid w:val="009A1C18"/>
    <w:rsid w:val="009A1CAB"/>
    <w:rsid w:val="009A1CC9"/>
    <w:rsid w:val="009A1F95"/>
    <w:rsid w:val="009A1FD2"/>
    <w:rsid w:val="009A20AD"/>
    <w:rsid w:val="009A25D5"/>
    <w:rsid w:val="009A27C0"/>
    <w:rsid w:val="009A2A83"/>
    <w:rsid w:val="009A2AEF"/>
    <w:rsid w:val="009A3145"/>
    <w:rsid w:val="009A391C"/>
    <w:rsid w:val="009A3DEA"/>
    <w:rsid w:val="009A4130"/>
    <w:rsid w:val="009A44BC"/>
    <w:rsid w:val="009A4749"/>
    <w:rsid w:val="009A47D8"/>
    <w:rsid w:val="009A4A08"/>
    <w:rsid w:val="009A5312"/>
    <w:rsid w:val="009A5505"/>
    <w:rsid w:val="009A5564"/>
    <w:rsid w:val="009A5978"/>
    <w:rsid w:val="009A599C"/>
    <w:rsid w:val="009A5B51"/>
    <w:rsid w:val="009A5B78"/>
    <w:rsid w:val="009A5DB5"/>
    <w:rsid w:val="009A5FBA"/>
    <w:rsid w:val="009A61C3"/>
    <w:rsid w:val="009A61E6"/>
    <w:rsid w:val="009A61E9"/>
    <w:rsid w:val="009A6518"/>
    <w:rsid w:val="009A6FFF"/>
    <w:rsid w:val="009A703A"/>
    <w:rsid w:val="009A737B"/>
    <w:rsid w:val="009A77E1"/>
    <w:rsid w:val="009A7866"/>
    <w:rsid w:val="009A7869"/>
    <w:rsid w:val="009A7AA6"/>
    <w:rsid w:val="009A7B4C"/>
    <w:rsid w:val="009A7C33"/>
    <w:rsid w:val="009A7E40"/>
    <w:rsid w:val="009A7EA8"/>
    <w:rsid w:val="009B00C3"/>
    <w:rsid w:val="009B01B7"/>
    <w:rsid w:val="009B0313"/>
    <w:rsid w:val="009B148D"/>
    <w:rsid w:val="009B14DC"/>
    <w:rsid w:val="009B1938"/>
    <w:rsid w:val="009B1B2F"/>
    <w:rsid w:val="009B25AF"/>
    <w:rsid w:val="009B2645"/>
    <w:rsid w:val="009B2A0F"/>
    <w:rsid w:val="009B2AAD"/>
    <w:rsid w:val="009B324F"/>
    <w:rsid w:val="009B3B4A"/>
    <w:rsid w:val="009B3BC8"/>
    <w:rsid w:val="009B3C57"/>
    <w:rsid w:val="009B3E35"/>
    <w:rsid w:val="009B42F2"/>
    <w:rsid w:val="009B4742"/>
    <w:rsid w:val="009B482C"/>
    <w:rsid w:val="009B48AE"/>
    <w:rsid w:val="009B4954"/>
    <w:rsid w:val="009B4E51"/>
    <w:rsid w:val="009B5593"/>
    <w:rsid w:val="009B55C2"/>
    <w:rsid w:val="009B57A5"/>
    <w:rsid w:val="009B5942"/>
    <w:rsid w:val="009B5B39"/>
    <w:rsid w:val="009B5E1C"/>
    <w:rsid w:val="009B6228"/>
    <w:rsid w:val="009B670C"/>
    <w:rsid w:val="009B6BB7"/>
    <w:rsid w:val="009B6BBE"/>
    <w:rsid w:val="009B6FFF"/>
    <w:rsid w:val="009B70EB"/>
    <w:rsid w:val="009C0489"/>
    <w:rsid w:val="009C06EE"/>
    <w:rsid w:val="009C08EA"/>
    <w:rsid w:val="009C0A25"/>
    <w:rsid w:val="009C0A42"/>
    <w:rsid w:val="009C0BF4"/>
    <w:rsid w:val="009C0C9B"/>
    <w:rsid w:val="009C0CBF"/>
    <w:rsid w:val="009C0EEC"/>
    <w:rsid w:val="009C0F40"/>
    <w:rsid w:val="009C198E"/>
    <w:rsid w:val="009C21E1"/>
    <w:rsid w:val="009C2461"/>
    <w:rsid w:val="009C25CA"/>
    <w:rsid w:val="009C2B63"/>
    <w:rsid w:val="009C2DFD"/>
    <w:rsid w:val="009C3058"/>
    <w:rsid w:val="009C307C"/>
    <w:rsid w:val="009C36F7"/>
    <w:rsid w:val="009C3F1F"/>
    <w:rsid w:val="009C4160"/>
    <w:rsid w:val="009C449C"/>
    <w:rsid w:val="009C4774"/>
    <w:rsid w:val="009C4F2E"/>
    <w:rsid w:val="009C5181"/>
    <w:rsid w:val="009C59C4"/>
    <w:rsid w:val="009C60B9"/>
    <w:rsid w:val="009C614C"/>
    <w:rsid w:val="009C6287"/>
    <w:rsid w:val="009C631B"/>
    <w:rsid w:val="009C6CB1"/>
    <w:rsid w:val="009C6CCD"/>
    <w:rsid w:val="009C765A"/>
    <w:rsid w:val="009C7683"/>
    <w:rsid w:val="009C7B13"/>
    <w:rsid w:val="009D046D"/>
    <w:rsid w:val="009D05E4"/>
    <w:rsid w:val="009D081F"/>
    <w:rsid w:val="009D0E70"/>
    <w:rsid w:val="009D0F88"/>
    <w:rsid w:val="009D1210"/>
    <w:rsid w:val="009D1234"/>
    <w:rsid w:val="009D17BC"/>
    <w:rsid w:val="009D1EF5"/>
    <w:rsid w:val="009D2042"/>
    <w:rsid w:val="009D234B"/>
    <w:rsid w:val="009D2450"/>
    <w:rsid w:val="009D2BE5"/>
    <w:rsid w:val="009D2D02"/>
    <w:rsid w:val="009D2E4D"/>
    <w:rsid w:val="009D2F01"/>
    <w:rsid w:val="009D32DF"/>
    <w:rsid w:val="009D3866"/>
    <w:rsid w:val="009D39F5"/>
    <w:rsid w:val="009D4380"/>
    <w:rsid w:val="009D476F"/>
    <w:rsid w:val="009D49FA"/>
    <w:rsid w:val="009D571F"/>
    <w:rsid w:val="009D59F8"/>
    <w:rsid w:val="009D6134"/>
    <w:rsid w:val="009D6421"/>
    <w:rsid w:val="009D65E8"/>
    <w:rsid w:val="009D686E"/>
    <w:rsid w:val="009D6B37"/>
    <w:rsid w:val="009D6F06"/>
    <w:rsid w:val="009D7300"/>
    <w:rsid w:val="009D740D"/>
    <w:rsid w:val="009D793E"/>
    <w:rsid w:val="009E0846"/>
    <w:rsid w:val="009E15D7"/>
    <w:rsid w:val="009E175D"/>
    <w:rsid w:val="009E17BE"/>
    <w:rsid w:val="009E19FB"/>
    <w:rsid w:val="009E1E74"/>
    <w:rsid w:val="009E25EE"/>
    <w:rsid w:val="009E26B1"/>
    <w:rsid w:val="009E29F0"/>
    <w:rsid w:val="009E2EE4"/>
    <w:rsid w:val="009E30B2"/>
    <w:rsid w:val="009E3169"/>
    <w:rsid w:val="009E3365"/>
    <w:rsid w:val="009E390A"/>
    <w:rsid w:val="009E3960"/>
    <w:rsid w:val="009E4877"/>
    <w:rsid w:val="009E4A5C"/>
    <w:rsid w:val="009E51E7"/>
    <w:rsid w:val="009E5362"/>
    <w:rsid w:val="009E5DB5"/>
    <w:rsid w:val="009E6133"/>
    <w:rsid w:val="009E65FA"/>
    <w:rsid w:val="009E68B9"/>
    <w:rsid w:val="009E69F8"/>
    <w:rsid w:val="009E7554"/>
    <w:rsid w:val="009F0251"/>
    <w:rsid w:val="009F042D"/>
    <w:rsid w:val="009F0689"/>
    <w:rsid w:val="009F0C9D"/>
    <w:rsid w:val="009F1463"/>
    <w:rsid w:val="009F15E9"/>
    <w:rsid w:val="009F1932"/>
    <w:rsid w:val="009F1C23"/>
    <w:rsid w:val="009F1DD9"/>
    <w:rsid w:val="009F2008"/>
    <w:rsid w:val="009F2171"/>
    <w:rsid w:val="009F2C65"/>
    <w:rsid w:val="009F2F15"/>
    <w:rsid w:val="009F30E5"/>
    <w:rsid w:val="009F32D4"/>
    <w:rsid w:val="009F33B6"/>
    <w:rsid w:val="009F3744"/>
    <w:rsid w:val="009F37DC"/>
    <w:rsid w:val="009F38CE"/>
    <w:rsid w:val="009F39B7"/>
    <w:rsid w:val="009F44AA"/>
    <w:rsid w:val="009F4572"/>
    <w:rsid w:val="009F48C9"/>
    <w:rsid w:val="009F4A88"/>
    <w:rsid w:val="009F4CCF"/>
    <w:rsid w:val="009F4D97"/>
    <w:rsid w:val="009F4E02"/>
    <w:rsid w:val="009F4EEA"/>
    <w:rsid w:val="009F518C"/>
    <w:rsid w:val="009F5417"/>
    <w:rsid w:val="009F6308"/>
    <w:rsid w:val="009F6446"/>
    <w:rsid w:val="009F6647"/>
    <w:rsid w:val="009F66AC"/>
    <w:rsid w:val="009F6DCD"/>
    <w:rsid w:val="009F6F16"/>
    <w:rsid w:val="009F6FD2"/>
    <w:rsid w:val="009F723B"/>
    <w:rsid w:val="009F75AB"/>
    <w:rsid w:val="009F768C"/>
    <w:rsid w:val="009F7B70"/>
    <w:rsid w:val="009F7E78"/>
    <w:rsid w:val="00A000D9"/>
    <w:rsid w:val="00A0022D"/>
    <w:rsid w:val="00A003AB"/>
    <w:rsid w:val="00A00458"/>
    <w:rsid w:val="00A00835"/>
    <w:rsid w:val="00A012D7"/>
    <w:rsid w:val="00A0190D"/>
    <w:rsid w:val="00A01CE2"/>
    <w:rsid w:val="00A02C21"/>
    <w:rsid w:val="00A02D9A"/>
    <w:rsid w:val="00A02F3A"/>
    <w:rsid w:val="00A0324B"/>
    <w:rsid w:val="00A033A4"/>
    <w:rsid w:val="00A033AD"/>
    <w:rsid w:val="00A035C4"/>
    <w:rsid w:val="00A03774"/>
    <w:rsid w:val="00A0390F"/>
    <w:rsid w:val="00A03F15"/>
    <w:rsid w:val="00A03F70"/>
    <w:rsid w:val="00A03FB6"/>
    <w:rsid w:val="00A04126"/>
    <w:rsid w:val="00A046CA"/>
    <w:rsid w:val="00A04700"/>
    <w:rsid w:val="00A05122"/>
    <w:rsid w:val="00A054C9"/>
    <w:rsid w:val="00A05E92"/>
    <w:rsid w:val="00A05F72"/>
    <w:rsid w:val="00A06080"/>
    <w:rsid w:val="00A062C7"/>
    <w:rsid w:val="00A06371"/>
    <w:rsid w:val="00A06A11"/>
    <w:rsid w:val="00A1016A"/>
    <w:rsid w:val="00A101E6"/>
    <w:rsid w:val="00A10762"/>
    <w:rsid w:val="00A10B9C"/>
    <w:rsid w:val="00A10ECB"/>
    <w:rsid w:val="00A10FCE"/>
    <w:rsid w:val="00A10FD0"/>
    <w:rsid w:val="00A114CA"/>
    <w:rsid w:val="00A11720"/>
    <w:rsid w:val="00A117A7"/>
    <w:rsid w:val="00A11BF5"/>
    <w:rsid w:val="00A12173"/>
    <w:rsid w:val="00A128E7"/>
    <w:rsid w:val="00A1340B"/>
    <w:rsid w:val="00A13418"/>
    <w:rsid w:val="00A137F5"/>
    <w:rsid w:val="00A1389A"/>
    <w:rsid w:val="00A13AED"/>
    <w:rsid w:val="00A13BC9"/>
    <w:rsid w:val="00A13C96"/>
    <w:rsid w:val="00A1409C"/>
    <w:rsid w:val="00A145D6"/>
    <w:rsid w:val="00A1481C"/>
    <w:rsid w:val="00A14833"/>
    <w:rsid w:val="00A14B31"/>
    <w:rsid w:val="00A15940"/>
    <w:rsid w:val="00A15C4F"/>
    <w:rsid w:val="00A15C65"/>
    <w:rsid w:val="00A15CE8"/>
    <w:rsid w:val="00A15D44"/>
    <w:rsid w:val="00A162B4"/>
    <w:rsid w:val="00A16337"/>
    <w:rsid w:val="00A169AD"/>
    <w:rsid w:val="00A16DFB"/>
    <w:rsid w:val="00A16ECC"/>
    <w:rsid w:val="00A16FD7"/>
    <w:rsid w:val="00A1723B"/>
    <w:rsid w:val="00A17A84"/>
    <w:rsid w:val="00A17BE3"/>
    <w:rsid w:val="00A20815"/>
    <w:rsid w:val="00A20A1D"/>
    <w:rsid w:val="00A20D95"/>
    <w:rsid w:val="00A20E40"/>
    <w:rsid w:val="00A2104B"/>
    <w:rsid w:val="00A21473"/>
    <w:rsid w:val="00A21570"/>
    <w:rsid w:val="00A22573"/>
    <w:rsid w:val="00A22C67"/>
    <w:rsid w:val="00A235D3"/>
    <w:rsid w:val="00A23D82"/>
    <w:rsid w:val="00A23E4A"/>
    <w:rsid w:val="00A2400D"/>
    <w:rsid w:val="00A24C97"/>
    <w:rsid w:val="00A25DE8"/>
    <w:rsid w:val="00A269D8"/>
    <w:rsid w:val="00A26F2D"/>
    <w:rsid w:val="00A271D9"/>
    <w:rsid w:val="00A272AE"/>
    <w:rsid w:val="00A274CB"/>
    <w:rsid w:val="00A2753B"/>
    <w:rsid w:val="00A27B2A"/>
    <w:rsid w:val="00A30405"/>
    <w:rsid w:val="00A307C5"/>
    <w:rsid w:val="00A30F33"/>
    <w:rsid w:val="00A310F7"/>
    <w:rsid w:val="00A314C9"/>
    <w:rsid w:val="00A315FC"/>
    <w:rsid w:val="00A31745"/>
    <w:rsid w:val="00A32904"/>
    <w:rsid w:val="00A33009"/>
    <w:rsid w:val="00A330BC"/>
    <w:rsid w:val="00A334EE"/>
    <w:rsid w:val="00A3365C"/>
    <w:rsid w:val="00A33C22"/>
    <w:rsid w:val="00A33CEE"/>
    <w:rsid w:val="00A33D40"/>
    <w:rsid w:val="00A33EFD"/>
    <w:rsid w:val="00A349C8"/>
    <w:rsid w:val="00A34E8B"/>
    <w:rsid w:val="00A35A3F"/>
    <w:rsid w:val="00A35B3E"/>
    <w:rsid w:val="00A35D6B"/>
    <w:rsid w:val="00A363CE"/>
    <w:rsid w:val="00A36AE7"/>
    <w:rsid w:val="00A36AEC"/>
    <w:rsid w:val="00A36B56"/>
    <w:rsid w:val="00A36F15"/>
    <w:rsid w:val="00A37147"/>
    <w:rsid w:val="00A372BB"/>
    <w:rsid w:val="00A3731E"/>
    <w:rsid w:val="00A3732E"/>
    <w:rsid w:val="00A37C4B"/>
    <w:rsid w:val="00A37FBA"/>
    <w:rsid w:val="00A40053"/>
    <w:rsid w:val="00A4007D"/>
    <w:rsid w:val="00A400BA"/>
    <w:rsid w:val="00A4015B"/>
    <w:rsid w:val="00A40A82"/>
    <w:rsid w:val="00A40D73"/>
    <w:rsid w:val="00A41533"/>
    <w:rsid w:val="00A417F1"/>
    <w:rsid w:val="00A41ABF"/>
    <w:rsid w:val="00A41DB2"/>
    <w:rsid w:val="00A41F14"/>
    <w:rsid w:val="00A4250A"/>
    <w:rsid w:val="00A42BDE"/>
    <w:rsid w:val="00A43062"/>
    <w:rsid w:val="00A43091"/>
    <w:rsid w:val="00A43311"/>
    <w:rsid w:val="00A43A41"/>
    <w:rsid w:val="00A4474E"/>
    <w:rsid w:val="00A44797"/>
    <w:rsid w:val="00A4487C"/>
    <w:rsid w:val="00A44CDE"/>
    <w:rsid w:val="00A44E3D"/>
    <w:rsid w:val="00A44E6D"/>
    <w:rsid w:val="00A4508F"/>
    <w:rsid w:val="00A4534E"/>
    <w:rsid w:val="00A45506"/>
    <w:rsid w:val="00A4555C"/>
    <w:rsid w:val="00A45605"/>
    <w:rsid w:val="00A457DC"/>
    <w:rsid w:val="00A459EF"/>
    <w:rsid w:val="00A45B31"/>
    <w:rsid w:val="00A45CD0"/>
    <w:rsid w:val="00A45F7C"/>
    <w:rsid w:val="00A460AC"/>
    <w:rsid w:val="00A4621B"/>
    <w:rsid w:val="00A46BA4"/>
    <w:rsid w:val="00A46C25"/>
    <w:rsid w:val="00A46F62"/>
    <w:rsid w:val="00A47932"/>
    <w:rsid w:val="00A504F2"/>
    <w:rsid w:val="00A507D8"/>
    <w:rsid w:val="00A51437"/>
    <w:rsid w:val="00A51618"/>
    <w:rsid w:val="00A518B8"/>
    <w:rsid w:val="00A51964"/>
    <w:rsid w:val="00A51BA9"/>
    <w:rsid w:val="00A51F35"/>
    <w:rsid w:val="00A52353"/>
    <w:rsid w:val="00A5258A"/>
    <w:rsid w:val="00A5277B"/>
    <w:rsid w:val="00A527D9"/>
    <w:rsid w:val="00A52B04"/>
    <w:rsid w:val="00A53474"/>
    <w:rsid w:val="00A5354C"/>
    <w:rsid w:val="00A53E86"/>
    <w:rsid w:val="00A5404C"/>
    <w:rsid w:val="00A541B0"/>
    <w:rsid w:val="00A54C14"/>
    <w:rsid w:val="00A54CD4"/>
    <w:rsid w:val="00A55494"/>
    <w:rsid w:val="00A5609B"/>
    <w:rsid w:val="00A56772"/>
    <w:rsid w:val="00A56903"/>
    <w:rsid w:val="00A572D2"/>
    <w:rsid w:val="00A575F5"/>
    <w:rsid w:val="00A57947"/>
    <w:rsid w:val="00A57F0B"/>
    <w:rsid w:val="00A60512"/>
    <w:rsid w:val="00A6079A"/>
    <w:rsid w:val="00A612D7"/>
    <w:rsid w:val="00A61AC8"/>
    <w:rsid w:val="00A62BAA"/>
    <w:rsid w:val="00A62F03"/>
    <w:rsid w:val="00A63040"/>
    <w:rsid w:val="00A635A4"/>
    <w:rsid w:val="00A635E8"/>
    <w:rsid w:val="00A63619"/>
    <w:rsid w:val="00A637B4"/>
    <w:rsid w:val="00A639A0"/>
    <w:rsid w:val="00A63A91"/>
    <w:rsid w:val="00A640A2"/>
    <w:rsid w:val="00A642B2"/>
    <w:rsid w:val="00A6451E"/>
    <w:rsid w:val="00A64827"/>
    <w:rsid w:val="00A64FAE"/>
    <w:rsid w:val="00A64FF9"/>
    <w:rsid w:val="00A65334"/>
    <w:rsid w:val="00A65ACA"/>
    <w:rsid w:val="00A65BA9"/>
    <w:rsid w:val="00A65BB2"/>
    <w:rsid w:val="00A66626"/>
    <w:rsid w:val="00A66655"/>
    <w:rsid w:val="00A6676D"/>
    <w:rsid w:val="00A66780"/>
    <w:rsid w:val="00A66C36"/>
    <w:rsid w:val="00A66CC3"/>
    <w:rsid w:val="00A67490"/>
    <w:rsid w:val="00A70001"/>
    <w:rsid w:val="00A702BB"/>
    <w:rsid w:val="00A703DE"/>
    <w:rsid w:val="00A70A04"/>
    <w:rsid w:val="00A70B39"/>
    <w:rsid w:val="00A70B70"/>
    <w:rsid w:val="00A70E1B"/>
    <w:rsid w:val="00A71160"/>
    <w:rsid w:val="00A7121D"/>
    <w:rsid w:val="00A71251"/>
    <w:rsid w:val="00A71471"/>
    <w:rsid w:val="00A719F1"/>
    <w:rsid w:val="00A71AF3"/>
    <w:rsid w:val="00A71B3C"/>
    <w:rsid w:val="00A721AC"/>
    <w:rsid w:val="00A72307"/>
    <w:rsid w:val="00A72763"/>
    <w:rsid w:val="00A7365A"/>
    <w:rsid w:val="00A73995"/>
    <w:rsid w:val="00A73A68"/>
    <w:rsid w:val="00A73EF3"/>
    <w:rsid w:val="00A73F47"/>
    <w:rsid w:val="00A74055"/>
    <w:rsid w:val="00A7431A"/>
    <w:rsid w:val="00A7539C"/>
    <w:rsid w:val="00A75ED4"/>
    <w:rsid w:val="00A76155"/>
    <w:rsid w:val="00A76CB0"/>
    <w:rsid w:val="00A77369"/>
    <w:rsid w:val="00A77853"/>
    <w:rsid w:val="00A779AB"/>
    <w:rsid w:val="00A77A9C"/>
    <w:rsid w:val="00A801AF"/>
    <w:rsid w:val="00A8051A"/>
    <w:rsid w:val="00A80B9A"/>
    <w:rsid w:val="00A80D92"/>
    <w:rsid w:val="00A8159C"/>
    <w:rsid w:val="00A81744"/>
    <w:rsid w:val="00A81977"/>
    <w:rsid w:val="00A81F54"/>
    <w:rsid w:val="00A82288"/>
    <w:rsid w:val="00A823C1"/>
    <w:rsid w:val="00A82484"/>
    <w:rsid w:val="00A824F6"/>
    <w:rsid w:val="00A82902"/>
    <w:rsid w:val="00A830D4"/>
    <w:rsid w:val="00A833EA"/>
    <w:rsid w:val="00A834D9"/>
    <w:rsid w:val="00A836D5"/>
    <w:rsid w:val="00A83840"/>
    <w:rsid w:val="00A83D28"/>
    <w:rsid w:val="00A83E32"/>
    <w:rsid w:val="00A83F22"/>
    <w:rsid w:val="00A83F6D"/>
    <w:rsid w:val="00A83F70"/>
    <w:rsid w:val="00A83FDE"/>
    <w:rsid w:val="00A840DC"/>
    <w:rsid w:val="00A8521D"/>
    <w:rsid w:val="00A85574"/>
    <w:rsid w:val="00A855FA"/>
    <w:rsid w:val="00A8580E"/>
    <w:rsid w:val="00A85921"/>
    <w:rsid w:val="00A85FAD"/>
    <w:rsid w:val="00A8603E"/>
    <w:rsid w:val="00A8678D"/>
    <w:rsid w:val="00A86958"/>
    <w:rsid w:val="00A86A1F"/>
    <w:rsid w:val="00A86D60"/>
    <w:rsid w:val="00A86EF1"/>
    <w:rsid w:val="00A8705F"/>
    <w:rsid w:val="00A87475"/>
    <w:rsid w:val="00A878BA"/>
    <w:rsid w:val="00A87B79"/>
    <w:rsid w:val="00A910A9"/>
    <w:rsid w:val="00A915C8"/>
    <w:rsid w:val="00A91712"/>
    <w:rsid w:val="00A91BEF"/>
    <w:rsid w:val="00A92086"/>
    <w:rsid w:val="00A920FB"/>
    <w:rsid w:val="00A9237C"/>
    <w:rsid w:val="00A9252A"/>
    <w:rsid w:val="00A9263D"/>
    <w:rsid w:val="00A927A1"/>
    <w:rsid w:val="00A92D7E"/>
    <w:rsid w:val="00A92E0D"/>
    <w:rsid w:val="00A934A8"/>
    <w:rsid w:val="00A93850"/>
    <w:rsid w:val="00A9398E"/>
    <w:rsid w:val="00A93CC0"/>
    <w:rsid w:val="00A93CF8"/>
    <w:rsid w:val="00A9413B"/>
    <w:rsid w:val="00A94AB5"/>
    <w:rsid w:val="00A94ABD"/>
    <w:rsid w:val="00A9500E"/>
    <w:rsid w:val="00A952A4"/>
    <w:rsid w:val="00A955D9"/>
    <w:rsid w:val="00A95B9F"/>
    <w:rsid w:val="00A95EF5"/>
    <w:rsid w:val="00A960FC"/>
    <w:rsid w:val="00A96A46"/>
    <w:rsid w:val="00A97416"/>
    <w:rsid w:val="00A977A7"/>
    <w:rsid w:val="00A97A8B"/>
    <w:rsid w:val="00AA0004"/>
    <w:rsid w:val="00AA05BA"/>
    <w:rsid w:val="00AA0746"/>
    <w:rsid w:val="00AA087E"/>
    <w:rsid w:val="00AA0AE7"/>
    <w:rsid w:val="00AA1219"/>
    <w:rsid w:val="00AA1423"/>
    <w:rsid w:val="00AA14EE"/>
    <w:rsid w:val="00AA1680"/>
    <w:rsid w:val="00AA1715"/>
    <w:rsid w:val="00AA1B3D"/>
    <w:rsid w:val="00AA1EB0"/>
    <w:rsid w:val="00AA1F3B"/>
    <w:rsid w:val="00AA1FBD"/>
    <w:rsid w:val="00AA20DE"/>
    <w:rsid w:val="00AA2A46"/>
    <w:rsid w:val="00AA2C4A"/>
    <w:rsid w:val="00AA3028"/>
    <w:rsid w:val="00AA340C"/>
    <w:rsid w:val="00AA36B2"/>
    <w:rsid w:val="00AA3829"/>
    <w:rsid w:val="00AA3876"/>
    <w:rsid w:val="00AA3D1F"/>
    <w:rsid w:val="00AA41AB"/>
    <w:rsid w:val="00AA4405"/>
    <w:rsid w:val="00AA49CF"/>
    <w:rsid w:val="00AA4F3A"/>
    <w:rsid w:val="00AA4F58"/>
    <w:rsid w:val="00AA5263"/>
    <w:rsid w:val="00AA55D0"/>
    <w:rsid w:val="00AA5648"/>
    <w:rsid w:val="00AA59AC"/>
    <w:rsid w:val="00AA5A2C"/>
    <w:rsid w:val="00AA5ACE"/>
    <w:rsid w:val="00AA5C41"/>
    <w:rsid w:val="00AA5CF9"/>
    <w:rsid w:val="00AA5F15"/>
    <w:rsid w:val="00AA6176"/>
    <w:rsid w:val="00AA61FD"/>
    <w:rsid w:val="00AA63D5"/>
    <w:rsid w:val="00AA64EE"/>
    <w:rsid w:val="00AA6506"/>
    <w:rsid w:val="00AA6550"/>
    <w:rsid w:val="00AA6905"/>
    <w:rsid w:val="00AA6973"/>
    <w:rsid w:val="00AA6C5B"/>
    <w:rsid w:val="00AA6EC3"/>
    <w:rsid w:val="00AA6F14"/>
    <w:rsid w:val="00AA7316"/>
    <w:rsid w:val="00AA759C"/>
    <w:rsid w:val="00AA7993"/>
    <w:rsid w:val="00AA7B1B"/>
    <w:rsid w:val="00AA7D32"/>
    <w:rsid w:val="00AA7E29"/>
    <w:rsid w:val="00AA7E57"/>
    <w:rsid w:val="00AB02C3"/>
    <w:rsid w:val="00AB1226"/>
    <w:rsid w:val="00AB12AA"/>
    <w:rsid w:val="00AB1301"/>
    <w:rsid w:val="00AB1622"/>
    <w:rsid w:val="00AB1692"/>
    <w:rsid w:val="00AB1906"/>
    <w:rsid w:val="00AB1DB2"/>
    <w:rsid w:val="00AB1F33"/>
    <w:rsid w:val="00AB2536"/>
    <w:rsid w:val="00AB2887"/>
    <w:rsid w:val="00AB2F28"/>
    <w:rsid w:val="00AB38A0"/>
    <w:rsid w:val="00AB3E44"/>
    <w:rsid w:val="00AB5503"/>
    <w:rsid w:val="00AB550B"/>
    <w:rsid w:val="00AB56D8"/>
    <w:rsid w:val="00AB58EC"/>
    <w:rsid w:val="00AB5A58"/>
    <w:rsid w:val="00AB5B0D"/>
    <w:rsid w:val="00AB6E6C"/>
    <w:rsid w:val="00AB6F96"/>
    <w:rsid w:val="00AC0122"/>
    <w:rsid w:val="00AC058B"/>
    <w:rsid w:val="00AC0C30"/>
    <w:rsid w:val="00AC11F5"/>
    <w:rsid w:val="00AC1571"/>
    <w:rsid w:val="00AC1626"/>
    <w:rsid w:val="00AC1D41"/>
    <w:rsid w:val="00AC2208"/>
    <w:rsid w:val="00AC25B6"/>
    <w:rsid w:val="00AC2B5B"/>
    <w:rsid w:val="00AC2C12"/>
    <w:rsid w:val="00AC2CF1"/>
    <w:rsid w:val="00AC2DC9"/>
    <w:rsid w:val="00AC2DF5"/>
    <w:rsid w:val="00AC2EAD"/>
    <w:rsid w:val="00AC2F7C"/>
    <w:rsid w:val="00AC36B3"/>
    <w:rsid w:val="00AC38EF"/>
    <w:rsid w:val="00AC3907"/>
    <w:rsid w:val="00AC3F1D"/>
    <w:rsid w:val="00AC4179"/>
    <w:rsid w:val="00AC42CF"/>
    <w:rsid w:val="00AC446D"/>
    <w:rsid w:val="00AC44A9"/>
    <w:rsid w:val="00AC51A0"/>
    <w:rsid w:val="00AC51D5"/>
    <w:rsid w:val="00AC54ED"/>
    <w:rsid w:val="00AC5571"/>
    <w:rsid w:val="00AC56AE"/>
    <w:rsid w:val="00AC59B5"/>
    <w:rsid w:val="00AC5D8A"/>
    <w:rsid w:val="00AC5DA9"/>
    <w:rsid w:val="00AC6120"/>
    <w:rsid w:val="00AC65FC"/>
    <w:rsid w:val="00AC6636"/>
    <w:rsid w:val="00AC6729"/>
    <w:rsid w:val="00AC689E"/>
    <w:rsid w:val="00AC6BE1"/>
    <w:rsid w:val="00AC6CF1"/>
    <w:rsid w:val="00AC705A"/>
    <w:rsid w:val="00AC7C0E"/>
    <w:rsid w:val="00AD00C4"/>
    <w:rsid w:val="00AD0141"/>
    <w:rsid w:val="00AD078E"/>
    <w:rsid w:val="00AD08D0"/>
    <w:rsid w:val="00AD0961"/>
    <w:rsid w:val="00AD0A0B"/>
    <w:rsid w:val="00AD0C1E"/>
    <w:rsid w:val="00AD0CD5"/>
    <w:rsid w:val="00AD1674"/>
    <w:rsid w:val="00AD17E6"/>
    <w:rsid w:val="00AD209A"/>
    <w:rsid w:val="00AD2B35"/>
    <w:rsid w:val="00AD2BBE"/>
    <w:rsid w:val="00AD2D06"/>
    <w:rsid w:val="00AD3133"/>
    <w:rsid w:val="00AD3A16"/>
    <w:rsid w:val="00AD3BBD"/>
    <w:rsid w:val="00AD3C22"/>
    <w:rsid w:val="00AD4011"/>
    <w:rsid w:val="00AD4165"/>
    <w:rsid w:val="00AD4658"/>
    <w:rsid w:val="00AD4BE6"/>
    <w:rsid w:val="00AD4DA1"/>
    <w:rsid w:val="00AD5364"/>
    <w:rsid w:val="00AD5390"/>
    <w:rsid w:val="00AD58EC"/>
    <w:rsid w:val="00AD59FD"/>
    <w:rsid w:val="00AD5EB8"/>
    <w:rsid w:val="00AD6080"/>
    <w:rsid w:val="00AD6D63"/>
    <w:rsid w:val="00AD79C3"/>
    <w:rsid w:val="00AD7A17"/>
    <w:rsid w:val="00AD7DDC"/>
    <w:rsid w:val="00AD7DDD"/>
    <w:rsid w:val="00AE0AB6"/>
    <w:rsid w:val="00AE0B62"/>
    <w:rsid w:val="00AE0C43"/>
    <w:rsid w:val="00AE0D49"/>
    <w:rsid w:val="00AE122D"/>
    <w:rsid w:val="00AE1AB9"/>
    <w:rsid w:val="00AE20C6"/>
    <w:rsid w:val="00AE22CF"/>
    <w:rsid w:val="00AE26CD"/>
    <w:rsid w:val="00AE271D"/>
    <w:rsid w:val="00AE2761"/>
    <w:rsid w:val="00AE2F66"/>
    <w:rsid w:val="00AE39E7"/>
    <w:rsid w:val="00AE4096"/>
    <w:rsid w:val="00AE40F2"/>
    <w:rsid w:val="00AE47E7"/>
    <w:rsid w:val="00AE4CD8"/>
    <w:rsid w:val="00AE4E4B"/>
    <w:rsid w:val="00AE4E6C"/>
    <w:rsid w:val="00AE4E85"/>
    <w:rsid w:val="00AE5623"/>
    <w:rsid w:val="00AE654D"/>
    <w:rsid w:val="00AE6C12"/>
    <w:rsid w:val="00AE6C4C"/>
    <w:rsid w:val="00AE754C"/>
    <w:rsid w:val="00AE7627"/>
    <w:rsid w:val="00AE79F1"/>
    <w:rsid w:val="00AE7FD5"/>
    <w:rsid w:val="00AF001F"/>
    <w:rsid w:val="00AF0363"/>
    <w:rsid w:val="00AF03B6"/>
    <w:rsid w:val="00AF03BD"/>
    <w:rsid w:val="00AF08AA"/>
    <w:rsid w:val="00AF08E7"/>
    <w:rsid w:val="00AF09E9"/>
    <w:rsid w:val="00AF0B0C"/>
    <w:rsid w:val="00AF0C08"/>
    <w:rsid w:val="00AF0FE4"/>
    <w:rsid w:val="00AF10B2"/>
    <w:rsid w:val="00AF139D"/>
    <w:rsid w:val="00AF18B1"/>
    <w:rsid w:val="00AF1EB4"/>
    <w:rsid w:val="00AF26CF"/>
    <w:rsid w:val="00AF2CEE"/>
    <w:rsid w:val="00AF3086"/>
    <w:rsid w:val="00AF3531"/>
    <w:rsid w:val="00AF3707"/>
    <w:rsid w:val="00AF37DA"/>
    <w:rsid w:val="00AF404C"/>
    <w:rsid w:val="00AF41C2"/>
    <w:rsid w:val="00AF4879"/>
    <w:rsid w:val="00AF4C4E"/>
    <w:rsid w:val="00AF4CA2"/>
    <w:rsid w:val="00AF511D"/>
    <w:rsid w:val="00AF5153"/>
    <w:rsid w:val="00AF523A"/>
    <w:rsid w:val="00AF53BE"/>
    <w:rsid w:val="00AF5B4F"/>
    <w:rsid w:val="00AF673E"/>
    <w:rsid w:val="00AF67DF"/>
    <w:rsid w:val="00AF68E7"/>
    <w:rsid w:val="00AF69C2"/>
    <w:rsid w:val="00AF6D2E"/>
    <w:rsid w:val="00AF720F"/>
    <w:rsid w:val="00B004E8"/>
    <w:rsid w:val="00B00FBE"/>
    <w:rsid w:val="00B01145"/>
    <w:rsid w:val="00B0123C"/>
    <w:rsid w:val="00B01306"/>
    <w:rsid w:val="00B0136A"/>
    <w:rsid w:val="00B013A1"/>
    <w:rsid w:val="00B01824"/>
    <w:rsid w:val="00B01D8F"/>
    <w:rsid w:val="00B01F10"/>
    <w:rsid w:val="00B0279A"/>
    <w:rsid w:val="00B02839"/>
    <w:rsid w:val="00B029E4"/>
    <w:rsid w:val="00B02D1E"/>
    <w:rsid w:val="00B03799"/>
    <w:rsid w:val="00B037C0"/>
    <w:rsid w:val="00B03A4E"/>
    <w:rsid w:val="00B03D26"/>
    <w:rsid w:val="00B04154"/>
    <w:rsid w:val="00B0416E"/>
    <w:rsid w:val="00B0428F"/>
    <w:rsid w:val="00B047E2"/>
    <w:rsid w:val="00B047E7"/>
    <w:rsid w:val="00B04EEE"/>
    <w:rsid w:val="00B0530F"/>
    <w:rsid w:val="00B05C71"/>
    <w:rsid w:val="00B061FE"/>
    <w:rsid w:val="00B06594"/>
    <w:rsid w:val="00B0690D"/>
    <w:rsid w:val="00B06AAB"/>
    <w:rsid w:val="00B06AB0"/>
    <w:rsid w:val="00B06BB0"/>
    <w:rsid w:val="00B0717B"/>
    <w:rsid w:val="00B072C0"/>
    <w:rsid w:val="00B07652"/>
    <w:rsid w:val="00B076AE"/>
    <w:rsid w:val="00B07D6B"/>
    <w:rsid w:val="00B07FB6"/>
    <w:rsid w:val="00B1056F"/>
    <w:rsid w:val="00B10693"/>
    <w:rsid w:val="00B107F9"/>
    <w:rsid w:val="00B10849"/>
    <w:rsid w:val="00B108C2"/>
    <w:rsid w:val="00B10F89"/>
    <w:rsid w:val="00B1113B"/>
    <w:rsid w:val="00B11267"/>
    <w:rsid w:val="00B113AD"/>
    <w:rsid w:val="00B11977"/>
    <w:rsid w:val="00B11A4F"/>
    <w:rsid w:val="00B12133"/>
    <w:rsid w:val="00B122A0"/>
    <w:rsid w:val="00B129A4"/>
    <w:rsid w:val="00B12D85"/>
    <w:rsid w:val="00B12EF6"/>
    <w:rsid w:val="00B1302E"/>
    <w:rsid w:val="00B131B0"/>
    <w:rsid w:val="00B131DD"/>
    <w:rsid w:val="00B1382B"/>
    <w:rsid w:val="00B13CC5"/>
    <w:rsid w:val="00B13F34"/>
    <w:rsid w:val="00B14281"/>
    <w:rsid w:val="00B1447C"/>
    <w:rsid w:val="00B148D2"/>
    <w:rsid w:val="00B14AAD"/>
    <w:rsid w:val="00B14C55"/>
    <w:rsid w:val="00B14D2C"/>
    <w:rsid w:val="00B14D9A"/>
    <w:rsid w:val="00B14F22"/>
    <w:rsid w:val="00B15A36"/>
    <w:rsid w:val="00B15ACF"/>
    <w:rsid w:val="00B15D25"/>
    <w:rsid w:val="00B16185"/>
    <w:rsid w:val="00B16789"/>
    <w:rsid w:val="00B167F2"/>
    <w:rsid w:val="00B16BED"/>
    <w:rsid w:val="00B16D35"/>
    <w:rsid w:val="00B17327"/>
    <w:rsid w:val="00B178D3"/>
    <w:rsid w:val="00B17A45"/>
    <w:rsid w:val="00B17AAD"/>
    <w:rsid w:val="00B17BF1"/>
    <w:rsid w:val="00B17DD6"/>
    <w:rsid w:val="00B20170"/>
    <w:rsid w:val="00B20175"/>
    <w:rsid w:val="00B20301"/>
    <w:rsid w:val="00B20344"/>
    <w:rsid w:val="00B20544"/>
    <w:rsid w:val="00B20787"/>
    <w:rsid w:val="00B208B2"/>
    <w:rsid w:val="00B20938"/>
    <w:rsid w:val="00B20B81"/>
    <w:rsid w:val="00B20C96"/>
    <w:rsid w:val="00B20D42"/>
    <w:rsid w:val="00B21139"/>
    <w:rsid w:val="00B21653"/>
    <w:rsid w:val="00B219E2"/>
    <w:rsid w:val="00B21AED"/>
    <w:rsid w:val="00B22066"/>
    <w:rsid w:val="00B22678"/>
    <w:rsid w:val="00B2275A"/>
    <w:rsid w:val="00B22840"/>
    <w:rsid w:val="00B2287C"/>
    <w:rsid w:val="00B22AD3"/>
    <w:rsid w:val="00B23184"/>
    <w:rsid w:val="00B23EA6"/>
    <w:rsid w:val="00B240AF"/>
    <w:rsid w:val="00B24163"/>
    <w:rsid w:val="00B25167"/>
    <w:rsid w:val="00B259E9"/>
    <w:rsid w:val="00B25E48"/>
    <w:rsid w:val="00B26173"/>
    <w:rsid w:val="00B26793"/>
    <w:rsid w:val="00B26C06"/>
    <w:rsid w:val="00B26FDE"/>
    <w:rsid w:val="00B27359"/>
    <w:rsid w:val="00B27410"/>
    <w:rsid w:val="00B275CC"/>
    <w:rsid w:val="00B279C3"/>
    <w:rsid w:val="00B30039"/>
    <w:rsid w:val="00B30159"/>
    <w:rsid w:val="00B3056C"/>
    <w:rsid w:val="00B30FA8"/>
    <w:rsid w:val="00B3157D"/>
    <w:rsid w:val="00B317DE"/>
    <w:rsid w:val="00B31BD8"/>
    <w:rsid w:val="00B31CE2"/>
    <w:rsid w:val="00B32135"/>
    <w:rsid w:val="00B3229B"/>
    <w:rsid w:val="00B3234D"/>
    <w:rsid w:val="00B328A0"/>
    <w:rsid w:val="00B3376A"/>
    <w:rsid w:val="00B33C72"/>
    <w:rsid w:val="00B33DA7"/>
    <w:rsid w:val="00B33F75"/>
    <w:rsid w:val="00B3441E"/>
    <w:rsid w:val="00B34551"/>
    <w:rsid w:val="00B34B14"/>
    <w:rsid w:val="00B34D80"/>
    <w:rsid w:val="00B35034"/>
    <w:rsid w:val="00B35318"/>
    <w:rsid w:val="00B3533E"/>
    <w:rsid w:val="00B3541C"/>
    <w:rsid w:val="00B35894"/>
    <w:rsid w:val="00B35960"/>
    <w:rsid w:val="00B35B72"/>
    <w:rsid w:val="00B35DA8"/>
    <w:rsid w:val="00B35FC6"/>
    <w:rsid w:val="00B36119"/>
    <w:rsid w:val="00B362EA"/>
    <w:rsid w:val="00B362F4"/>
    <w:rsid w:val="00B36F24"/>
    <w:rsid w:val="00B37318"/>
    <w:rsid w:val="00B37C86"/>
    <w:rsid w:val="00B37D0C"/>
    <w:rsid w:val="00B37D99"/>
    <w:rsid w:val="00B37F2F"/>
    <w:rsid w:val="00B40FAD"/>
    <w:rsid w:val="00B41180"/>
    <w:rsid w:val="00B411EA"/>
    <w:rsid w:val="00B41543"/>
    <w:rsid w:val="00B415B5"/>
    <w:rsid w:val="00B41880"/>
    <w:rsid w:val="00B41DDB"/>
    <w:rsid w:val="00B41F6F"/>
    <w:rsid w:val="00B424F4"/>
    <w:rsid w:val="00B4275B"/>
    <w:rsid w:val="00B436B3"/>
    <w:rsid w:val="00B43A6B"/>
    <w:rsid w:val="00B43DAB"/>
    <w:rsid w:val="00B43EBA"/>
    <w:rsid w:val="00B441BA"/>
    <w:rsid w:val="00B44220"/>
    <w:rsid w:val="00B44476"/>
    <w:rsid w:val="00B447EF"/>
    <w:rsid w:val="00B44982"/>
    <w:rsid w:val="00B44BDB"/>
    <w:rsid w:val="00B44FEB"/>
    <w:rsid w:val="00B4514A"/>
    <w:rsid w:val="00B45232"/>
    <w:rsid w:val="00B454C6"/>
    <w:rsid w:val="00B455E3"/>
    <w:rsid w:val="00B456E2"/>
    <w:rsid w:val="00B45961"/>
    <w:rsid w:val="00B45CC3"/>
    <w:rsid w:val="00B4658A"/>
    <w:rsid w:val="00B4675B"/>
    <w:rsid w:val="00B46A06"/>
    <w:rsid w:val="00B46DF3"/>
    <w:rsid w:val="00B470C1"/>
    <w:rsid w:val="00B4713B"/>
    <w:rsid w:val="00B47147"/>
    <w:rsid w:val="00B4749D"/>
    <w:rsid w:val="00B47ED2"/>
    <w:rsid w:val="00B50087"/>
    <w:rsid w:val="00B505B2"/>
    <w:rsid w:val="00B50FCB"/>
    <w:rsid w:val="00B51465"/>
    <w:rsid w:val="00B51B28"/>
    <w:rsid w:val="00B51E4D"/>
    <w:rsid w:val="00B51EC7"/>
    <w:rsid w:val="00B5258E"/>
    <w:rsid w:val="00B52BA1"/>
    <w:rsid w:val="00B5346A"/>
    <w:rsid w:val="00B53498"/>
    <w:rsid w:val="00B54110"/>
    <w:rsid w:val="00B5430A"/>
    <w:rsid w:val="00B545D3"/>
    <w:rsid w:val="00B54A5E"/>
    <w:rsid w:val="00B5519C"/>
    <w:rsid w:val="00B557E7"/>
    <w:rsid w:val="00B55B6B"/>
    <w:rsid w:val="00B55C32"/>
    <w:rsid w:val="00B562AF"/>
    <w:rsid w:val="00B563E8"/>
    <w:rsid w:val="00B565C3"/>
    <w:rsid w:val="00B567DC"/>
    <w:rsid w:val="00B568F6"/>
    <w:rsid w:val="00B56CED"/>
    <w:rsid w:val="00B56D1D"/>
    <w:rsid w:val="00B56DEC"/>
    <w:rsid w:val="00B57017"/>
    <w:rsid w:val="00B57343"/>
    <w:rsid w:val="00B57629"/>
    <w:rsid w:val="00B57700"/>
    <w:rsid w:val="00B57D19"/>
    <w:rsid w:val="00B6006D"/>
    <w:rsid w:val="00B6008A"/>
    <w:rsid w:val="00B60317"/>
    <w:rsid w:val="00B60835"/>
    <w:rsid w:val="00B60AED"/>
    <w:rsid w:val="00B60DEB"/>
    <w:rsid w:val="00B60E25"/>
    <w:rsid w:val="00B6139B"/>
    <w:rsid w:val="00B616AE"/>
    <w:rsid w:val="00B61C37"/>
    <w:rsid w:val="00B61D27"/>
    <w:rsid w:val="00B61D58"/>
    <w:rsid w:val="00B621E4"/>
    <w:rsid w:val="00B626DF"/>
    <w:rsid w:val="00B62971"/>
    <w:rsid w:val="00B63258"/>
    <w:rsid w:val="00B6350C"/>
    <w:rsid w:val="00B63A26"/>
    <w:rsid w:val="00B63E61"/>
    <w:rsid w:val="00B642E7"/>
    <w:rsid w:val="00B644D5"/>
    <w:rsid w:val="00B64B50"/>
    <w:rsid w:val="00B64BFB"/>
    <w:rsid w:val="00B64CE0"/>
    <w:rsid w:val="00B650EA"/>
    <w:rsid w:val="00B65194"/>
    <w:rsid w:val="00B654C4"/>
    <w:rsid w:val="00B6601A"/>
    <w:rsid w:val="00B6647E"/>
    <w:rsid w:val="00B664AC"/>
    <w:rsid w:val="00B66535"/>
    <w:rsid w:val="00B66762"/>
    <w:rsid w:val="00B669A0"/>
    <w:rsid w:val="00B669BE"/>
    <w:rsid w:val="00B66A4F"/>
    <w:rsid w:val="00B66B88"/>
    <w:rsid w:val="00B670B2"/>
    <w:rsid w:val="00B674A7"/>
    <w:rsid w:val="00B674D3"/>
    <w:rsid w:val="00B70554"/>
    <w:rsid w:val="00B70874"/>
    <w:rsid w:val="00B70AB1"/>
    <w:rsid w:val="00B712B3"/>
    <w:rsid w:val="00B718AE"/>
    <w:rsid w:val="00B71956"/>
    <w:rsid w:val="00B71D6A"/>
    <w:rsid w:val="00B71DE2"/>
    <w:rsid w:val="00B71FBC"/>
    <w:rsid w:val="00B72075"/>
    <w:rsid w:val="00B72309"/>
    <w:rsid w:val="00B7235D"/>
    <w:rsid w:val="00B728FF"/>
    <w:rsid w:val="00B7299B"/>
    <w:rsid w:val="00B72A1A"/>
    <w:rsid w:val="00B73617"/>
    <w:rsid w:val="00B73791"/>
    <w:rsid w:val="00B73D27"/>
    <w:rsid w:val="00B73E11"/>
    <w:rsid w:val="00B73E24"/>
    <w:rsid w:val="00B74537"/>
    <w:rsid w:val="00B747B2"/>
    <w:rsid w:val="00B74A20"/>
    <w:rsid w:val="00B74C50"/>
    <w:rsid w:val="00B74D23"/>
    <w:rsid w:val="00B74ECB"/>
    <w:rsid w:val="00B75174"/>
    <w:rsid w:val="00B753A1"/>
    <w:rsid w:val="00B75727"/>
    <w:rsid w:val="00B757A3"/>
    <w:rsid w:val="00B75A4F"/>
    <w:rsid w:val="00B75F08"/>
    <w:rsid w:val="00B75F60"/>
    <w:rsid w:val="00B7697B"/>
    <w:rsid w:val="00B76997"/>
    <w:rsid w:val="00B76E18"/>
    <w:rsid w:val="00B76E33"/>
    <w:rsid w:val="00B77192"/>
    <w:rsid w:val="00B775A2"/>
    <w:rsid w:val="00B77613"/>
    <w:rsid w:val="00B776A1"/>
    <w:rsid w:val="00B77957"/>
    <w:rsid w:val="00B77FF6"/>
    <w:rsid w:val="00B8040B"/>
    <w:rsid w:val="00B80611"/>
    <w:rsid w:val="00B80A02"/>
    <w:rsid w:val="00B80B40"/>
    <w:rsid w:val="00B80CA5"/>
    <w:rsid w:val="00B81238"/>
    <w:rsid w:val="00B81561"/>
    <w:rsid w:val="00B817D7"/>
    <w:rsid w:val="00B819C0"/>
    <w:rsid w:val="00B81C1E"/>
    <w:rsid w:val="00B820A5"/>
    <w:rsid w:val="00B824C8"/>
    <w:rsid w:val="00B8252C"/>
    <w:rsid w:val="00B82B91"/>
    <w:rsid w:val="00B82DA1"/>
    <w:rsid w:val="00B82F22"/>
    <w:rsid w:val="00B83183"/>
    <w:rsid w:val="00B83502"/>
    <w:rsid w:val="00B836B7"/>
    <w:rsid w:val="00B83F56"/>
    <w:rsid w:val="00B846E9"/>
    <w:rsid w:val="00B84729"/>
    <w:rsid w:val="00B84B88"/>
    <w:rsid w:val="00B84D30"/>
    <w:rsid w:val="00B84D96"/>
    <w:rsid w:val="00B84EFB"/>
    <w:rsid w:val="00B84F3A"/>
    <w:rsid w:val="00B85020"/>
    <w:rsid w:val="00B85AF0"/>
    <w:rsid w:val="00B86237"/>
    <w:rsid w:val="00B86413"/>
    <w:rsid w:val="00B86BFC"/>
    <w:rsid w:val="00B86DD4"/>
    <w:rsid w:val="00B86E7A"/>
    <w:rsid w:val="00B87CC5"/>
    <w:rsid w:val="00B87F74"/>
    <w:rsid w:val="00B901D1"/>
    <w:rsid w:val="00B901E6"/>
    <w:rsid w:val="00B902CB"/>
    <w:rsid w:val="00B90DED"/>
    <w:rsid w:val="00B90E93"/>
    <w:rsid w:val="00B9188F"/>
    <w:rsid w:val="00B91A31"/>
    <w:rsid w:val="00B91A34"/>
    <w:rsid w:val="00B9216D"/>
    <w:rsid w:val="00B9253A"/>
    <w:rsid w:val="00B9257B"/>
    <w:rsid w:val="00B92A26"/>
    <w:rsid w:val="00B92B8E"/>
    <w:rsid w:val="00B92C97"/>
    <w:rsid w:val="00B9328C"/>
    <w:rsid w:val="00B9347B"/>
    <w:rsid w:val="00B93A25"/>
    <w:rsid w:val="00B9404F"/>
    <w:rsid w:val="00B943B9"/>
    <w:rsid w:val="00B962BC"/>
    <w:rsid w:val="00B96914"/>
    <w:rsid w:val="00B96D64"/>
    <w:rsid w:val="00B9782F"/>
    <w:rsid w:val="00B9786B"/>
    <w:rsid w:val="00BA018A"/>
    <w:rsid w:val="00BA03E5"/>
    <w:rsid w:val="00BA045E"/>
    <w:rsid w:val="00BA04B2"/>
    <w:rsid w:val="00BA0845"/>
    <w:rsid w:val="00BA09E8"/>
    <w:rsid w:val="00BA136E"/>
    <w:rsid w:val="00BA1964"/>
    <w:rsid w:val="00BA1BE2"/>
    <w:rsid w:val="00BA2048"/>
    <w:rsid w:val="00BA243B"/>
    <w:rsid w:val="00BA267B"/>
    <w:rsid w:val="00BA271B"/>
    <w:rsid w:val="00BA2B3D"/>
    <w:rsid w:val="00BA2E63"/>
    <w:rsid w:val="00BA3364"/>
    <w:rsid w:val="00BA3820"/>
    <w:rsid w:val="00BA3859"/>
    <w:rsid w:val="00BA4072"/>
    <w:rsid w:val="00BA5109"/>
    <w:rsid w:val="00BA5184"/>
    <w:rsid w:val="00BA5210"/>
    <w:rsid w:val="00BA562A"/>
    <w:rsid w:val="00BA583B"/>
    <w:rsid w:val="00BA5B36"/>
    <w:rsid w:val="00BA6098"/>
    <w:rsid w:val="00BA6144"/>
    <w:rsid w:val="00BA6699"/>
    <w:rsid w:val="00BA6C81"/>
    <w:rsid w:val="00BA6CFD"/>
    <w:rsid w:val="00BA7E47"/>
    <w:rsid w:val="00BB0CC0"/>
    <w:rsid w:val="00BB1395"/>
    <w:rsid w:val="00BB1950"/>
    <w:rsid w:val="00BB1A30"/>
    <w:rsid w:val="00BB1BD8"/>
    <w:rsid w:val="00BB1F56"/>
    <w:rsid w:val="00BB1FA9"/>
    <w:rsid w:val="00BB222B"/>
    <w:rsid w:val="00BB24C8"/>
    <w:rsid w:val="00BB3057"/>
    <w:rsid w:val="00BB3440"/>
    <w:rsid w:val="00BB4407"/>
    <w:rsid w:val="00BB474C"/>
    <w:rsid w:val="00BB47AC"/>
    <w:rsid w:val="00BB47D3"/>
    <w:rsid w:val="00BB4AA9"/>
    <w:rsid w:val="00BB4C63"/>
    <w:rsid w:val="00BB5604"/>
    <w:rsid w:val="00BB565E"/>
    <w:rsid w:val="00BB5865"/>
    <w:rsid w:val="00BB5909"/>
    <w:rsid w:val="00BB59D9"/>
    <w:rsid w:val="00BB5E94"/>
    <w:rsid w:val="00BB6853"/>
    <w:rsid w:val="00BB6AB2"/>
    <w:rsid w:val="00BB6BF5"/>
    <w:rsid w:val="00BB746D"/>
    <w:rsid w:val="00BB7666"/>
    <w:rsid w:val="00BC012E"/>
    <w:rsid w:val="00BC01B3"/>
    <w:rsid w:val="00BC0891"/>
    <w:rsid w:val="00BC097E"/>
    <w:rsid w:val="00BC0B65"/>
    <w:rsid w:val="00BC0E90"/>
    <w:rsid w:val="00BC10BC"/>
    <w:rsid w:val="00BC138B"/>
    <w:rsid w:val="00BC1AE6"/>
    <w:rsid w:val="00BC1D0A"/>
    <w:rsid w:val="00BC2B1D"/>
    <w:rsid w:val="00BC33B0"/>
    <w:rsid w:val="00BC33B5"/>
    <w:rsid w:val="00BC4377"/>
    <w:rsid w:val="00BC44E0"/>
    <w:rsid w:val="00BC49C8"/>
    <w:rsid w:val="00BC4B0F"/>
    <w:rsid w:val="00BC4B63"/>
    <w:rsid w:val="00BC4CEA"/>
    <w:rsid w:val="00BC4D2D"/>
    <w:rsid w:val="00BC4F20"/>
    <w:rsid w:val="00BC53F2"/>
    <w:rsid w:val="00BC56BE"/>
    <w:rsid w:val="00BC5B98"/>
    <w:rsid w:val="00BC5E82"/>
    <w:rsid w:val="00BC619B"/>
    <w:rsid w:val="00BC61E9"/>
    <w:rsid w:val="00BC6907"/>
    <w:rsid w:val="00BC6CA1"/>
    <w:rsid w:val="00BC6F3D"/>
    <w:rsid w:val="00BC709B"/>
    <w:rsid w:val="00BC72FE"/>
    <w:rsid w:val="00BC7B81"/>
    <w:rsid w:val="00BC7BB1"/>
    <w:rsid w:val="00BD02DE"/>
    <w:rsid w:val="00BD047C"/>
    <w:rsid w:val="00BD04AB"/>
    <w:rsid w:val="00BD059D"/>
    <w:rsid w:val="00BD09D8"/>
    <w:rsid w:val="00BD0BBC"/>
    <w:rsid w:val="00BD0E1D"/>
    <w:rsid w:val="00BD1055"/>
    <w:rsid w:val="00BD18BB"/>
    <w:rsid w:val="00BD18FF"/>
    <w:rsid w:val="00BD1FBB"/>
    <w:rsid w:val="00BD2561"/>
    <w:rsid w:val="00BD2AC3"/>
    <w:rsid w:val="00BD2B21"/>
    <w:rsid w:val="00BD33B8"/>
    <w:rsid w:val="00BD45D4"/>
    <w:rsid w:val="00BD4625"/>
    <w:rsid w:val="00BD4AE4"/>
    <w:rsid w:val="00BD511B"/>
    <w:rsid w:val="00BD527D"/>
    <w:rsid w:val="00BD5559"/>
    <w:rsid w:val="00BD5936"/>
    <w:rsid w:val="00BD5A3F"/>
    <w:rsid w:val="00BD688E"/>
    <w:rsid w:val="00BD69CC"/>
    <w:rsid w:val="00BD6D18"/>
    <w:rsid w:val="00BD6D1A"/>
    <w:rsid w:val="00BD7494"/>
    <w:rsid w:val="00BD7C16"/>
    <w:rsid w:val="00BD7DDA"/>
    <w:rsid w:val="00BE00A8"/>
    <w:rsid w:val="00BE03D3"/>
    <w:rsid w:val="00BE05A6"/>
    <w:rsid w:val="00BE09B6"/>
    <w:rsid w:val="00BE143C"/>
    <w:rsid w:val="00BE145F"/>
    <w:rsid w:val="00BE14F8"/>
    <w:rsid w:val="00BE15F2"/>
    <w:rsid w:val="00BE17F5"/>
    <w:rsid w:val="00BE1852"/>
    <w:rsid w:val="00BE1A3C"/>
    <w:rsid w:val="00BE1BD3"/>
    <w:rsid w:val="00BE2163"/>
    <w:rsid w:val="00BE226F"/>
    <w:rsid w:val="00BE24E1"/>
    <w:rsid w:val="00BE26C1"/>
    <w:rsid w:val="00BE2B45"/>
    <w:rsid w:val="00BE2ED4"/>
    <w:rsid w:val="00BE38AA"/>
    <w:rsid w:val="00BE39C1"/>
    <w:rsid w:val="00BE3D0E"/>
    <w:rsid w:val="00BE4288"/>
    <w:rsid w:val="00BE43CF"/>
    <w:rsid w:val="00BE4A48"/>
    <w:rsid w:val="00BE4D1C"/>
    <w:rsid w:val="00BE5361"/>
    <w:rsid w:val="00BE5A52"/>
    <w:rsid w:val="00BE5B69"/>
    <w:rsid w:val="00BE6624"/>
    <w:rsid w:val="00BE6DCD"/>
    <w:rsid w:val="00BE6F33"/>
    <w:rsid w:val="00BE6FF4"/>
    <w:rsid w:val="00BE72EB"/>
    <w:rsid w:val="00BE73ED"/>
    <w:rsid w:val="00BE76B8"/>
    <w:rsid w:val="00BE7E31"/>
    <w:rsid w:val="00BE7E98"/>
    <w:rsid w:val="00BF0034"/>
    <w:rsid w:val="00BF0495"/>
    <w:rsid w:val="00BF088D"/>
    <w:rsid w:val="00BF0BC4"/>
    <w:rsid w:val="00BF0E1B"/>
    <w:rsid w:val="00BF10C8"/>
    <w:rsid w:val="00BF13FF"/>
    <w:rsid w:val="00BF142F"/>
    <w:rsid w:val="00BF1D96"/>
    <w:rsid w:val="00BF20A8"/>
    <w:rsid w:val="00BF22A2"/>
    <w:rsid w:val="00BF239D"/>
    <w:rsid w:val="00BF24A4"/>
    <w:rsid w:val="00BF3009"/>
    <w:rsid w:val="00BF32B5"/>
    <w:rsid w:val="00BF34F4"/>
    <w:rsid w:val="00BF38DE"/>
    <w:rsid w:val="00BF395D"/>
    <w:rsid w:val="00BF39BA"/>
    <w:rsid w:val="00BF40B6"/>
    <w:rsid w:val="00BF4213"/>
    <w:rsid w:val="00BF4837"/>
    <w:rsid w:val="00BF5ADC"/>
    <w:rsid w:val="00BF5B6A"/>
    <w:rsid w:val="00BF674E"/>
    <w:rsid w:val="00BF6BB3"/>
    <w:rsid w:val="00BF792D"/>
    <w:rsid w:val="00BF7A0D"/>
    <w:rsid w:val="00BF7F90"/>
    <w:rsid w:val="00C00363"/>
    <w:rsid w:val="00C003BE"/>
    <w:rsid w:val="00C003FE"/>
    <w:rsid w:val="00C0097F"/>
    <w:rsid w:val="00C00CD8"/>
    <w:rsid w:val="00C00E81"/>
    <w:rsid w:val="00C01013"/>
    <w:rsid w:val="00C01021"/>
    <w:rsid w:val="00C019E9"/>
    <w:rsid w:val="00C01C25"/>
    <w:rsid w:val="00C023A7"/>
    <w:rsid w:val="00C02416"/>
    <w:rsid w:val="00C02574"/>
    <w:rsid w:val="00C0266F"/>
    <w:rsid w:val="00C02824"/>
    <w:rsid w:val="00C02E64"/>
    <w:rsid w:val="00C02E83"/>
    <w:rsid w:val="00C03514"/>
    <w:rsid w:val="00C0390D"/>
    <w:rsid w:val="00C039B2"/>
    <w:rsid w:val="00C040EE"/>
    <w:rsid w:val="00C0449C"/>
    <w:rsid w:val="00C0462A"/>
    <w:rsid w:val="00C04C32"/>
    <w:rsid w:val="00C05125"/>
    <w:rsid w:val="00C052AE"/>
    <w:rsid w:val="00C0544F"/>
    <w:rsid w:val="00C055DC"/>
    <w:rsid w:val="00C060F6"/>
    <w:rsid w:val="00C065D2"/>
    <w:rsid w:val="00C06A5D"/>
    <w:rsid w:val="00C06BBC"/>
    <w:rsid w:val="00C07A1D"/>
    <w:rsid w:val="00C10505"/>
    <w:rsid w:val="00C105C3"/>
    <w:rsid w:val="00C10C59"/>
    <w:rsid w:val="00C10C92"/>
    <w:rsid w:val="00C11171"/>
    <w:rsid w:val="00C1127D"/>
    <w:rsid w:val="00C11405"/>
    <w:rsid w:val="00C1155D"/>
    <w:rsid w:val="00C115F2"/>
    <w:rsid w:val="00C1194B"/>
    <w:rsid w:val="00C11A75"/>
    <w:rsid w:val="00C11C70"/>
    <w:rsid w:val="00C11E43"/>
    <w:rsid w:val="00C11F84"/>
    <w:rsid w:val="00C121B7"/>
    <w:rsid w:val="00C1223D"/>
    <w:rsid w:val="00C12277"/>
    <w:rsid w:val="00C12D8E"/>
    <w:rsid w:val="00C12E3B"/>
    <w:rsid w:val="00C12FCC"/>
    <w:rsid w:val="00C131DA"/>
    <w:rsid w:val="00C1360F"/>
    <w:rsid w:val="00C1363E"/>
    <w:rsid w:val="00C13F96"/>
    <w:rsid w:val="00C14D86"/>
    <w:rsid w:val="00C15B7C"/>
    <w:rsid w:val="00C164AF"/>
    <w:rsid w:val="00C164CD"/>
    <w:rsid w:val="00C16558"/>
    <w:rsid w:val="00C16EF7"/>
    <w:rsid w:val="00C16F6F"/>
    <w:rsid w:val="00C174C7"/>
    <w:rsid w:val="00C1768F"/>
    <w:rsid w:val="00C179A8"/>
    <w:rsid w:val="00C17A3E"/>
    <w:rsid w:val="00C200AB"/>
    <w:rsid w:val="00C20610"/>
    <w:rsid w:val="00C20B49"/>
    <w:rsid w:val="00C20BD2"/>
    <w:rsid w:val="00C20F75"/>
    <w:rsid w:val="00C21674"/>
    <w:rsid w:val="00C21CE3"/>
    <w:rsid w:val="00C21D5B"/>
    <w:rsid w:val="00C22150"/>
    <w:rsid w:val="00C22DD1"/>
    <w:rsid w:val="00C237ED"/>
    <w:rsid w:val="00C23C18"/>
    <w:rsid w:val="00C23C36"/>
    <w:rsid w:val="00C23DCD"/>
    <w:rsid w:val="00C2437E"/>
    <w:rsid w:val="00C24688"/>
    <w:rsid w:val="00C246DE"/>
    <w:rsid w:val="00C24DE5"/>
    <w:rsid w:val="00C25A0E"/>
    <w:rsid w:val="00C25C52"/>
    <w:rsid w:val="00C25CA8"/>
    <w:rsid w:val="00C25E73"/>
    <w:rsid w:val="00C262C9"/>
    <w:rsid w:val="00C262CB"/>
    <w:rsid w:val="00C2666A"/>
    <w:rsid w:val="00C268AC"/>
    <w:rsid w:val="00C2699B"/>
    <w:rsid w:val="00C26ADA"/>
    <w:rsid w:val="00C26AF0"/>
    <w:rsid w:val="00C26C9B"/>
    <w:rsid w:val="00C26D20"/>
    <w:rsid w:val="00C27105"/>
    <w:rsid w:val="00C2717D"/>
    <w:rsid w:val="00C2751E"/>
    <w:rsid w:val="00C27B9C"/>
    <w:rsid w:val="00C27CC2"/>
    <w:rsid w:val="00C27CE0"/>
    <w:rsid w:val="00C27DAF"/>
    <w:rsid w:val="00C27EDD"/>
    <w:rsid w:val="00C30082"/>
    <w:rsid w:val="00C3035E"/>
    <w:rsid w:val="00C30CD4"/>
    <w:rsid w:val="00C3121D"/>
    <w:rsid w:val="00C314FB"/>
    <w:rsid w:val="00C320AB"/>
    <w:rsid w:val="00C32419"/>
    <w:rsid w:val="00C32602"/>
    <w:rsid w:val="00C328D2"/>
    <w:rsid w:val="00C33048"/>
    <w:rsid w:val="00C331D1"/>
    <w:rsid w:val="00C33647"/>
    <w:rsid w:val="00C33823"/>
    <w:rsid w:val="00C33F46"/>
    <w:rsid w:val="00C34379"/>
    <w:rsid w:val="00C34A52"/>
    <w:rsid w:val="00C34B2B"/>
    <w:rsid w:val="00C351A7"/>
    <w:rsid w:val="00C35304"/>
    <w:rsid w:val="00C35387"/>
    <w:rsid w:val="00C3581C"/>
    <w:rsid w:val="00C35FB5"/>
    <w:rsid w:val="00C35FE0"/>
    <w:rsid w:val="00C36000"/>
    <w:rsid w:val="00C3615C"/>
    <w:rsid w:val="00C36B9E"/>
    <w:rsid w:val="00C372A4"/>
    <w:rsid w:val="00C3734D"/>
    <w:rsid w:val="00C37A09"/>
    <w:rsid w:val="00C37BE7"/>
    <w:rsid w:val="00C37FE7"/>
    <w:rsid w:val="00C40512"/>
    <w:rsid w:val="00C407D9"/>
    <w:rsid w:val="00C40B2B"/>
    <w:rsid w:val="00C40D95"/>
    <w:rsid w:val="00C40E9E"/>
    <w:rsid w:val="00C40EBA"/>
    <w:rsid w:val="00C410AB"/>
    <w:rsid w:val="00C4172C"/>
    <w:rsid w:val="00C41B7C"/>
    <w:rsid w:val="00C4200C"/>
    <w:rsid w:val="00C420CF"/>
    <w:rsid w:val="00C43D65"/>
    <w:rsid w:val="00C43DD3"/>
    <w:rsid w:val="00C43DDB"/>
    <w:rsid w:val="00C4427E"/>
    <w:rsid w:val="00C4448F"/>
    <w:rsid w:val="00C446BF"/>
    <w:rsid w:val="00C44803"/>
    <w:rsid w:val="00C45387"/>
    <w:rsid w:val="00C45441"/>
    <w:rsid w:val="00C45459"/>
    <w:rsid w:val="00C45964"/>
    <w:rsid w:val="00C45B78"/>
    <w:rsid w:val="00C46426"/>
    <w:rsid w:val="00C46AC9"/>
    <w:rsid w:val="00C46BD0"/>
    <w:rsid w:val="00C46DBE"/>
    <w:rsid w:val="00C46ED6"/>
    <w:rsid w:val="00C4737B"/>
    <w:rsid w:val="00C47A71"/>
    <w:rsid w:val="00C47D95"/>
    <w:rsid w:val="00C50400"/>
    <w:rsid w:val="00C50A84"/>
    <w:rsid w:val="00C50C39"/>
    <w:rsid w:val="00C50C49"/>
    <w:rsid w:val="00C51345"/>
    <w:rsid w:val="00C518D7"/>
    <w:rsid w:val="00C52292"/>
    <w:rsid w:val="00C52506"/>
    <w:rsid w:val="00C52688"/>
    <w:rsid w:val="00C52DD3"/>
    <w:rsid w:val="00C53859"/>
    <w:rsid w:val="00C53C0B"/>
    <w:rsid w:val="00C53F1D"/>
    <w:rsid w:val="00C54295"/>
    <w:rsid w:val="00C545EC"/>
    <w:rsid w:val="00C549DD"/>
    <w:rsid w:val="00C54AE1"/>
    <w:rsid w:val="00C54C6D"/>
    <w:rsid w:val="00C54D2B"/>
    <w:rsid w:val="00C5536A"/>
    <w:rsid w:val="00C558CE"/>
    <w:rsid w:val="00C5624E"/>
    <w:rsid w:val="00C56368"/>
    <w:rsid w:val="00C563B0"/>
    <w:rsid w:val="00C56F9E"/>
    <w:rsid w:val="00C5712B"/>
    <w:rsid w:val="00C5743E"/>
    <w:rsid w:val="00C57692"/>
    <w:rsid w:val="00C577AD"/>
    <w:rsid w:val="00C577BC"/>
    <w:rsid w:val="00C57806"/>
    <w:rsid w:val="00C57CEC"/>
    <w:rsid w:val="00C601E7"/>
    <w:rsid w:val="00C605AB"/>
    <w:rsid w:val="00C605BB"/>
    <w:rsid w:val="00C60883"/>
    <w:rsid w:val="00C60D7C"/>
    <w:rsid w:val="00C60E57"/>
    <w:rsid w:val="00C61411"/>
    <w:rsid w:val="00C6154E"/>
    <w:rsid w:val="00C61A80"/>
    <w:rsid w:val="00C6279D"/>
    <w:rsid w:val="00C62843"/>
    <w:rsid w:val="00C628D3"/>
    <w:rsid w:val="00C62A38"/>
    <w:rsid w:val="00C62CA0"/>
    <w:rsid w:val="00C62D3A"/>
    <w:rsid w:val="00C63833"/>
    <w:rsid w:val="00C6396B"/>
    <w:rsid w:val="00C63CC8"/>
    <w:rsid w:val="00C6493A"/>
    <w:rsid w:val="00C6497F"/>
    <w:rsid w:val="00C64F3B"/>
    <w:rsid w:val="00C651AD"/>
    <w:rsid w:val="00C651E0"/>
    <w:rsid w:val="00C654D1"/>
    <w:rsid w:val="00C655DB"/>
    <w:rsid w:val="00C65A2A"/>
    <w:rsid w:val="00C65C70"/>
    <w:rsid w:val="00C65CA2"/>
    <w:rsid w:val="00C65D2D"/>
    <w:rsid w:val="00C6654E"/>
    <w:rsid w:val="00C6670B"/>
    <w:rsid w:val="00C66ED4"/>
    <w:rsid w:val="00C67387"/>
    <w:rsid w:val="00C6759F"/>
    <w:rsid w:val="00C67B00"/>
    <w:rsid w:val="00C67CF2"/>
    <w:rsid w:val="00C7029C"/>
    <w:rsid w:val="00C709CB"/>
    <w:rsid w:val="00C70A27"/>
    <w:rsid w:val="00C70FCD"/>
    <w:rsid w:val="00C71A2E"/>
    <w:rsid w:val="00C71DD1"/>
    <w:rsid w:val="00C72239"/>
    <w:rsid w:val="00C722E7"/>
    <w:rsid w:val="00C728B6"/>
    <w:rsid w:val="00C72C3B"/>
    <w:rsid w:val="00C72C7E"/>
    <w:rsid w:val="00C730D0"/>
    <w:rsid w:val="00C731A5"/>
    <w:rsid w:val="00C73CAD"/>
    <w:rsid w:val="00C7454B"/>
    <w:rsid w:val="00C7462E"/>
    <w:rsid w:val="00C7484B"/>
    <w:rsid w:val="00C754F7"/>
    <w:rsid w:val="00C75FC8"/>
    <w:rsid w:val="00C7629A"/>
    <w:rsid w:val="00C764FA"/>
    <w:rsid w:val="00C7653F"/>
    <w:rsid w:val="00C76582"/>
    <w:rsid w:val="00C766ED"/>
    <w:rsid w:val="00C7679C"/>
    <w:rsid w:val="00C770A4"/>
    <w:rsid w:val="00C80323"/>
    <w:rsid w:val="00C80B2B"/>
    <w:rsid w:val="00C80D8F"/>
    <w:rsid w:val="00C810E3"/>
    <w:rsid w:val="00C81A17"/>
    <w:rsid w:val="00C81A27"/>
    <w:rsid w:val="00C81B0D"/>
    <w:rsid w:val="00C81C1F"/>
    <w:rsid w:val="00C81F9B"/>
    <w:rsid w:val="00C822FA"/>
    <w:rsid w:val="00C8285B"/>
    <w:rsid w:val="00C82D02"/>
    <w:rsid w:val="00C82E04"/>
    <w:rsid w:val="00C83896"/>
    <w:rsid w:val="00C83A8F"/>
    <w:rsid w:val="00C83C49"/>
    <w:rsid w:val="00C83EF3"/>
    <w:rsid w:val="00C83F48"/>
    <w:rsid w:val="00C8408F"/>
    <w:rsid w:val="00C84598"/>
    <w:rsid w:val="00C8494C"/>
    <w:rsid w:val="00C8498E"/>
    <w:rsid w:val="00C85363"/>
    <w:rsid w:val="00C85C62"/>
    <w:rsid w:val="00C85F9E"/>
    <w:rsid w:val="00C8629A"/>
    <w:rsid w:val="00C864E5"/>
    <w:rsid w:val="00C8659A"/>
    <w:rsid w:val="00C86A90"/>
    <w:rsid w:val="00C86E50"/>
    <w:rsid w:val="00C87174"/>
    <w:rsid w:val="00C87219"/>
    <w:rsid w:val="00C8766F"/>
    <w:rsid w:val="00C87F0C"/>
    <w:rsid w:val="00C9048B"/>
    <w:rsid w:val="00C907EF"/>
    <w:rsid w:val="00C90A8E"/>
    <w:rsid w:val="00C91398"/>
    <w:rsid w:val="00C914FE"/>
    <w:rsid w:val="00C91B24"/>
    <w:rsid w:val="00C91C60"/>
    <w:rsid w:val="00C91EE2"/>
    <w:rsid w:val="00C91FBE"/>
    <w:rsid w:val="00C9221E"/>
    <w:rsid w:val="00C924B3"/>
    <w:rsid w:val="00C9270F"/>
    <w:rsid w:val="00C92B09"/>
    <w:rsid w:val="00C92FBB"/>
    <w:rsid w:val="00C932BA"/>
    <w:rsid w:val="00C93565"/>
    <w:rsid w:val="00C935A0"/>
    <w:rsid w:val="00C9365D"/>
    <w:rsid w:val="00C93C8F"/>
    <w:rsid w:val="00C93CBB"/>
    <w:rsid w:val="00C94392"/>
    <w:rsid w:val="00C94A61"/>
    <w:rsid w:val="00C950FA"/>
    <w:rsid w:val="00C953BC"/>
    <w:rsid w:val="00C954F9"/>
    <w:rsid w:val="00C95565"/>
    <w:rsid w:val="00C955E0"/>
    <w:rsid w:val="00C95641"/>
    <w:rsid w:val="00C9585E"/>
    <w:rsid w:val="00C958DC"/>
    <w:rsid w:val="00C95AE1"/>
    <w:rsid w:val="00C95DED"/>
    <w:rsid w:val="00C96802"/>
    <w:rsid w:val="00C968AE"/>
    <w:rsid w:val="00C96AA7"/>
    <w:rsid w:val="00C96AFB"/>
    <w:rsid w:val="00C96C75"/>
    <w:rsid w:val="00C97277"/>
    <w:rsid w:val="00C976A9"/>
    <w:rsid w:val="00C97C64"/>
    <w:rsid w:val="00C97FE4"/>
    <w:rsid w:val="00CA02DE"/>
    <w:rsid w:val="00CA0541"/>
    <w:rsid w:val="00CA09BB"/>
    <w:rsid w:val="00CA0CC7"/>
    <w:rsid w:val="00CA0CE8"/>
    <w:rsid w:val="00CA169D"/>
    <w:rsid w:val="00CA1A40"/>
    <w:rsid w:val="00CA1C0E"/>
    <w:rsid w:val="00CA213A"/>
    <w:rsid w:val="00CA22EE"/>
    <w:rsid w:val="00CA2344"/>
    <w:rsid w:val="00CA25D5"/>
    <w:rsid w:val="00CA2C31"/>
    <w:rsid w:val="00CA3142"/>
    <w:rsid w:val="00CA3658"/>
    <w:rsid w:val="00CA39F6"/>
    <w:rsid w:val="00CA39FB"/>
    <w:rsid w:val="00CA3C10"/>
    <w:rsid w:val="00CA402D"/>
    <w:rsid w:val="00CA41DF"/>
    <w:rsid w:val="00CA4677"/>
    <w:rsid w:val="00CA468E"/>
    <w:rsid w:val="00CA4C51"/>
    <w:rsid w:val="00CA4D4A"/>
    <w:rsid w:val="00CA4DBF"/>
    <w:rsid w:val="00CA4E26"/>
    <w:rsid w:val="00CA4F9F"/>
    <w:rsid w:val="00CA553D"/>
    <w:rsid w:val="00CA59E5"/>
    <w:rsid w:val="00CA5E5F"/>
    <w:rsid w:val="00CA6EC5"/>
    <w:rsid w:val="00CA713B"/>
    <w:rsid w:val="00CA71E5"/>
    <w:rsid w:val="00CA734A"/>
    <w:rsid w:val="00CA74AE"/>
    <w:rsid w:val="00CA7591"/>
    <w:rsid w:val="00CA7D24"/>
    <w:rsid w:val="00CA7E3E"/>
    <w:rsid w:val="00CA7EAC"/>
    <w:rsid w:val="00CB06D2"/>
    <w:rsid w:val="00CB0714"/>
    <w:rsid w:val="00CB0CAF"/>
    <w:rsid w:val="00CB0D45"/>
    <w:rsid w:val="00CB0F49"/>
    <w:rsid w:val="00CB0F5D"/>
    <w:rsid w:val="00CB0FA8"/>
    <w:rsid w:val="00CB12AD"/>
    <w:rsid w:val="00CB172C"/>
    <w:rsid w:val="00CB1BA8"/>
    <w:rsid w:val="00CB1DA6"/>
    <w:rsid w:val="00CB209F"/>
    <w:rsid w:val="00CB2173"/>
    <w:rsid w:val="00CB2F9C"/>
    <w:rsid w:val="00CB36B1"/>
    <w:rsid w:val="00CB3832"/>
    <w:rsid w:val="00CB3981"/>
    <w:rsid w:val="00CB3B14"/>
    <w:rsid w:val="00CB3E32"/>
    <w:rsid w:val="00CB46A6"/>
    <w:rsid w:val="00CB5123"/>
    <w:rsid w:val="00CB5189"/>
    <w:rsid w:val="00CB5561"/>
    <w:rsid w:val="00CB56AC"/>
    <w:rsid w:val="00CB56E5"/>
    <w:rsid w:val="00CB5C0E"/>
    <w:rsid w:val="00CB5FC4"/>
    <w:rsid w:val="00CB5FFE"/>
    <w:rsid w:val="00CB66BC"/>
    <w:rsid w:val="00CB6AB0"/>
    <w:rsid w:val="00CB6C89"/>
    <w:rsid w:val="00CB6EE7"/>
    <w:rsid w:val="00CB75A2"/>
    <w:rsid w:val="00CB781A"/>
    <w:rsid w:val="00CB7B9F"/>
    <w:rsid w:val="00CB7D31"/>
    <w:rsid w:val="00CB7D45"/>
    <w:rsid w:val="00CB7FF5"/>
    <w:rsid w:val="00CC04E3"/>
    <w:rsid w:val="00CC067D"/>
    <w:rsid w:val="00CC0E96"/>
    <w:rsid w:val="00CC128D"/>
    <w:rsid w:val="00CC13E2"/>
    <w:rsid w:val="00CC168D"/>
    <w:rsid w:val="00CC1B7C"/>
    <w:rsid w:val="00CC1E70"/>
    <w:rsid w:val="00CC23FE"/>
    <w:rsid w:val="00CC2A42"/>
    <w:rsid w:val="00CC2ABB"/>
    <w:rsid w:val="00CC2E52"/>
    <w:rsid w:val="00CC36A0"/>
    <w:rsid w:val="00CC37A3"/>
    <w:rsid w:val="00CC389C"/>
    <w:rsid w:val="00CC3B40"/>
    <w:rsid w:val="00CC3B65"/>
    <w:rsid w:val="00CC3E9E"/>
    <w:rsid w:val="00CC40C4"/>
    <w:rsid w:val="00CC4CB0"/>
    <w:rsid w:val="00CC5482"/>
    <w:rsid w:val="00CC57E6"/>
    <w:rsid w:val="00CC5F29"/>
    <w:rsid w:val="00CC6008"/>
    <w:rsid w:val="00CC6AE3"/>
    <w:rsid w:val="00CC715E"/>
    <w:rsid w:val="00CC730D"/>
    <w:rsid w:val="00CC7A4D"/>
    <w:rsid w:val="00CC7B5D"/>
    <w:rsid w:val="00CD02EE"/>
    <w:rsid w:val="00CD16D4"/>
    <w:rsid w:val="00CD218D"/>
    <w:rsid w:val="00CD2794"/>
    <w:rsid w:val="00CD3116"/>
    <w:rsid w:val="00CD39EB"/>
    <w:rsid w:val="00CD403C"/>
    <w:rsid w:val="00CD458E"/>
    <w:rsid w:val="00CD4596"/>
    <w:rsid w:val="00CD45CB"/>
    <w:rsid w:val="00CD47D9"/>
    <w:rsid w:val="00CD48E8"/>
    <w:rsid w:val="00CD4AB8"/>
    <w:rsid w:val="00CD4D02"/>
    <w:rsid w:val="00CD5004"/>
    <w:rsid w:val="00CD5C17"/>
    <w:rsid w:val="00CD6D8C"/>
    <w:rsid w:val="00CD6DDD"/>
    <w:rsid w:val="00CD707D"/>
    <w:rsid w:val="00CD7543"/>
    <w:rsid w:val="00CD7744"/>
    <w:rsid w:val="00CD7999"/>
    <w:rsid w:val="00CD79D2"/>
    <w:rsid w:val="00CE0129"/>
    <w:rsid w:val="00CE03A1"/>
    <w:rsid w:val="00CE048D"/>
    <w:rsid w:val="00CE0641"/>
    <w:rsid w:val="00CE0C37"/>
    <w:rsid w:val="00CE1259"/>
    <w:rsid w:val="00CE1DD6"/>
    <w:rsid w:val="00CE27C5"/>
    <w:rsid w:val="00CE45E0"/>
    <w:rsid w:val="00CE4783"/>
    <w:rsid w:val="00CE4CD4"/>
    <w:rsid w:val="00CE543C"/>
    <w:rsid w:val="00CE5459"/>
    <w:rsid w:val="00CE58E3"/>
    <w:rsid w:val="00CE5B3C"/>
    <w:rsid w:val="00CE5BAC"/>
    <w:rsid w:val="00CE6167"/>
    <w:rsid w:val="00CE62F7"/>
    <w:rsid w:val="00CE639E"/>
    <w:rsid w:val="00CE67E9"/>
    <w:rsid w:val="00CE6E8E"/>
    <w:rsid w:val="00CE7F77"/>
    <w:rsid w:val="00CF03C0"/>
    <w:rsid w:val="00CF0979"/>
    <w:rsid w:val="00CF0C27"/>
    <w:rsid w:val="00CF10A0"/>
    <w:rsid w:val="00CF175F"/>
    <w:rsid w:val="00CF1F3F"/>
    <w:rsid w:val="00CF2020"/>
    <w:rsid w:val="00CF2261"/>
    <w:rsid w:val="00CF22C6"/>
    <w:rsid w:val="00CF2CFF"/>
    <w:rsid w:val="00CF2F67"/>
    <w:rsid w:val="00CF3075"/>
    <w:rsid w:val="00CF3292"/>
    <w:rsid w:val="00CF385A"/>
    <w:rsid w:val="00CF3BAE"/>
    <w:rsid w:val="00CF3D48"/>
    <w:rsid w:val="00CF3F36"/>
    <w:rsid w:val="00CF454F"/>
    <w:rsid w:val="00CF4B21"/>
    <w:rsid w:val="00CF511B"/>
    <w:rsid w:val="00CF53EB"/>
    <w:rsid w:val="00CF5A4E"/>
    <w:rsid w:val="00CF61B6"/>
    <w:rsid w:val="00CF70F1"/>
    <w:rsid w:val="00CF70F4"/>
    <w:rsid w:val="00CF7452"/>
    <w:rsid w:val="00CF7C9E"/>
    <w:rsid w:val="00CF7CC5"/>
    <w:rsid w:val="00CF7D00"/>
    <w:rsid w:val="00CF7D96"/>
    <w:rsid w:val="00D00A3D"/>
    <w:rsid w:val="00D00AEB"/>
    <w:rsid w:val="00D00D71"/>
    <w:rsid w:val="00D00D81"/>
    <w:rsid w:val="00D00FA7"/>
    <w:rsid w:val="00D010F4"/>
    <w:rsid w:val="00D01106"/>
    <w:rsid w:val="00D012D7"/>
    <w:rsid w:val="00D0132B"/>
    <w:rsid w:val="00D0140F"/>
    <w:rsid w:val="00D01734"/>
    <w:rsid w:val="00D01AD1"/>
    <w:rsid w:val="00D01AF3"/>
    <w:rsid w:val="00D01ECC"/>
    <w:rsid w:val="00D02028"/>
    <w:rsid w:val="00D02036"/>
    <w:rsid w:val="00D02113"/>
    <w:rsid w:val="00D02701"/>
    <w:rsid w:val="00D02958"/>
    <w:rsid w:val="00D02C6E"/>
    <w:rsid w:val="00D02FE5"/>
    <w:rsid w:val="00D0344D"/>
    <w:rsid w:val="00D034BB"/>
    <w:rsid w:val="00D03B18"/>
    <w:rsid w:val="00D03BF0"/>
    <w:rsid w:val="00D03EBF"/>
    <w:rsid w:val="00D04047"/>
    <w:rsid w:val="00D04056"/>
    <w:rsid w:val="00D047EB"/>
    <w:rsid w:val="00D04877"/>
    <w:rsid w:val="00D04885"/>
    <w:rsid w:val="00D049FB"/>
    <w:rsid w:val="00D05081"/>
    <w:rsid w:val="00D0568D"/>
    <w:rsid w:val="00D05826"/>
    <w:rsid w:val="00D05D60"/>
    <w:rsid w:val="00D05E66"/>
    <w:rsid w:val="00D0623C"/>
    <w:rsid w:val="00D06581"/>
    <w:rsid w:val="00D06591"/>
    <w:rsid w:val="00D06880"/>
    <w:rsid w:val="00D06D5E"/>
    <w:rsid w:val="00D06FAC"/>
    <w:rsid w:val="00D06FCE"/>
    <w:rsid w:val="00D070E1"/>
    <w:rsid w:val="00D07943"/>
    <w:rsid w:val="00D07E13"/>
    <w:rsid w:val="00D1012D"/>
    <w:rsid w:val="00D108D1"/>
    <w:rsid w:val="00D1090D"/>
    <w:rsid w:val="00D10AEC"/>
    <w:rsid w:val="00D10CE1"/>
    <w:rsid w:val="00D10ED5"/>
    <w:rsid w:val="00D10F0A"/>
    <w:rsid w:val="00D11045"/>
    <w:rsid w:val="00D114A7"/>
    <w:rsid w:val="00D11726"/>
    <w:rsid w:val="00D11B39"/>
    <w:rsid w:val="00D1220B"/>
    <w:rsid w:val="00D124F5"/>
    <w:rsid w:val="00D1261A"/>
    <w:rsid w:val="00D12A6D"/>
    <w:rsid w:val="00D13613"/>
    <w:rsid w:val="00D137C3"/>
    <w:rsid w:val="00D14124"/>
    <w:rsid w:val="00D14329"/>
    <w:rsid w:val="00D14695"/>
    <w:rsid w:val="00D1488E"/>
    <w:rsid w:val="00D14A2A"/>
    <w:rsid w:val="00D14FDD"/>
    <w:rsid w:val="00D154E0"/>
    <w:rsid w:val="00D15623"/>
    <w:rsid w:val="00D1568D"/>
    <w:rsid w:val="00D15996"/>
    <w:rsid w:val="00D159F1"/>
    <w:rsid w:val="00D15B5F"/>
    <w:rsid w:val="00D15BE2"/>
    <w:rsid w:val="00D15C5A"/>
    <w:rsid w:val="00D15F9B"/>
    <w:rsid w:val="00D165A6"/>
    <w:rsid w:val="00D16756"/>
    <w:rsid w:val="00D174F6"/>
    <w:rsid w:val="00D17A52"/>
    <w:rsid w:val="00D17D62"/>
    <w:rsid w:val="00D2053C"/>
    <w:rsid w:val="00D2068D"/>
    <w:rsid w:val="00D20748"/>
    <w:rsid w:val="00D20BD9"/>
    <w:rsid w:val="00D20C05"/>
    <w:rsid w:val="00D21498"/>
    <w:rsid w:val="00D2151E"/>
    <w:rsid w:val="00D2155E"/>
    <w:rsid w:val="00D21887"/>
    <w:rsid w:val="00D21B57"/>
    <w:rsid w:val="00D21DAC"/>
    <w:rsid w:val="00D22038"/>
    <w:rsid w:val="00D2260E"/>
    <w:rsid w:val="00D226E4"/>
    <w:rsid w:val="00D22999"/>
    <w:rsid w:val="00D22A7F"/>
    <w:rsid w:val="00D22B1B"/>
    <w:rsid w:val="00D22C19"/>
    <w:rsid w:val="00D22D85"/>
    <w:rsid w:val="00D22E74"/>
    <w:rsid w:val="00D22F71"/>
    <w:rsid w:val="00D23E91"/>
    <w:rsid w:val="00D2419D"/>
    <w:rsid w:val="00D249F8"/>
    <w:rsid w:val="00D24AFC"/>
    <w:rsid w:val="00D24B5F"/>
    <w:rsid w:val="00D25005"/>
    <w:rsid w:val="00D250F5"/>
    <w:rsid w:val="00D25406"/>
    <w:rsid w:val="00D256DC"/>
    <w:rsid w:val="00D257A9"/>
    <w:rsid w:val="00D25B34"/>
    <w:rsid w:val="00D25D50"/>
    <w:rsid w:val="00D25FA7"/>
    <w:rsid w:val="00D26117"/>
    <w:rsid w:val="00D26706"/>
    <w:rsid w:val="00D26A88"/>
    <w:rsid w:val="00D26C89"/>
    <w:rsid w:val="00D273B3"/>
    <w:rsid w:val="00D277AB"/>
    <w:rsid w:val="00D279FC"/>
    <w:rsid w:val="00D27EEA"/>
    <w:rsid w:val="00D27FF6"/>
    <w:rsid w:val="00D300AB"/>
    <w:rsid w:val="00D30333"/>
    <w:rsid w:val="00D30429"/>
    <w:rsid w:val="00D30639"/>
    <w:rsid w:val="00D307A2"/>
    <w:rsid w:val="00D3084A"/>
    <w:rsid w:val="00D30AF8"/>
    <w:rsid w:val="00D30D44"/>
    <w:rsid w:val="00D30FDF"/>
    <w:rsid w:val="00D31519"/>
    <w:rsid w:val="00D31540"/>
    <w:rsid w:val="00D317E1"/>
    <w:rsid w:val="00D317E4"/>
    <w:rsid w:val="00D319CF"/>
    <w:rsid w:val="00D31B6C"/>
    <w:rsid w:val="00D31C9D"/>
    <w:rsid w:val="00D31CF2"/>
    <w:rsid w:val="00D31D58"/>
    <w:rsid w:val="00D31E65"/>
    <w:rsid w:val="00D31F72"/>
    <w:rsid w:val="00D32165"/>
    <w:rsid w:val="00D323D1"/>
    <w:rsid w:val="00D3276F"/>
    <w:rsid w:val="00D32889"/>
    <w:rsid w:val="00D32B0A"/>
    <w:rsid w:val="00D32C4E"/>
    <w:rsid w:val="00D32E5A"/>
    <w:rsid w:val="00D3365C"/>
    <w:rsid w:val="00D33B43"/>
    <w:rsid w:val="00D33EE5"/>
    <w:rsid w:val="00D3437E"/>
    <w:rsid w:val="00D347C4"/>
    <w:rsid w:val="00D34C2F"/>
    <w:rsid w:val="00D34C79"/>
    <w:rsid w:val="00D34D62"/>
    <w:rsid w:val="00D351E3"/>
    <w:rsid w:val="00D35225"/>
    <w:rsid w:val="00D359EE"/>
    <w:rsid w:val="00D35F38"/>
    <w:rsid w:val="00D3607A"/>
    <w:rsid w:val="00D36563"/>
    <w:rsid w:val="00D36B3F"/>
    <w:rsid w:val="00D36D95"/>
    <w:rsid w:val="00D37045"/>
    <w:rsid w:val="00D3729E"/>
    <w:rsid w:val="00D375A3"/>
    <w:rsid w:val="00D37705"/>
    <w:rsid w:val="00D401CA"/>
    <w:rsid w:val="00D410EC"/>
    <w:rsid w:val="00D41800"/>
    <w:rsid w:val="00D419AF"/>
    <w:rsid w:val="00D41B49"/>
    <w:rsid w:val="00D41EAA"/>
    <w:rsid w:val="00D424FD"/>
    <w:rsid w:val="00D427FE"/>
    <w:rsid w:val="00D42B09"/>
    <w:rsid w:val="00D42CF8"/>
    <w:rsid w:val="00D42D9C"/>
    <w:rsid w:val="00D42EE1"/>
    <w:rsid w:val="00D43909"/>
    <w:rsid w:val="00D4391B"/>
    <w:rsid w:val="00D43FF7"/>
    <w:rsid w:val="00D443A2"/>
    <w:rsid w:val="00D446BC"/>
    <w:rsid w:val="00D44711"/>
    <w:rsid w:val="00D44BD5"/>
    <w:rsid w:val="00D44D3F"/>
    <w:rsid w:val="00D44DA2"/>
    <w:rsid w:val="00D45357"/>
    <w:rsid w:val="00D45907"/>
    <w:rsid w:val="00D4594C"/>
    <w:rsid w:val="00D45AF9"/>
    <w:rsid w:val="00D45F74"/>
    <w:rsid w:val="00D46857"/>
    <w:rsid w:val="00D468A9"/>
    <w:rsid w:val="00D46C1E"/>
    <w:rsid w:val="00D471B7"/>
    <w:rsid w:val="00D47335"/>
    <w:rsid w:val="00D47A57"/>
    <w:rsid w:val="00D47B0C"/>
    <w:rsid w:val="00D47CC8"/>
    <w:rsid w:val="00D47EF6"/>
    <w:rsid w:val="00D50125"/>
    <w:rsid w:val="00D501BC"/>
    <w:rsid w:val="00D50548"/>
    <w:rsid w:val="00D50AE4"/>
    <w:rsid w:val="00D50C76"/>
    <w:rsid w:val="00D516A8"/>
    <w:rsid w:val="00D51796"/>
    <w:rsid w:val="00D51830"/>
    <w:rsid w:val="00D51B2F"/>
    <w:rsid w:val="00D51E29"/>
    <w:rsid w:val="00D51E32"/>
    <w:rsid w:val="00D521EC"/>
    <w:rsid w:val="00D52690"/>
    <w:rsid w:val="00D52AA2"/>
    <w:rsid w:val="00D52D8C"/>
    <w:rsid w:val="00D535C9"/>
    <w:rsid w:val="00D535E6"/>
    <w:rsid w:val="00D53ECD"/>
    <w:rsid w:val="00D55094"/>
    <w:rsid w:val="00D5541A"/>
    <w:rsid w:val="00D55585"/>
    <w:rsid w:val="00D555A6"/>
    <w:rsid w:val="00D55B43"/>
    <w:rsid w:val="00D560B2"/>
    <w:rsid w:val="00D5657B"/>
    <w:rsid w:val="00D566E4"/>
    <w:rsid w:val="00D56900"/>
    <w:rsid w:val="00D56AB5"/>
    <w:rsid w:val="00D57479"/>
    <w:rsid w:val="00D57D6D"/>
    <w:rsid w:val="00D60409"/>
    <w:rsid w:val="00D6048C"/>
    <w:rsid w:val="00D6051A"/>
    <w:rsid w:val="00D60590"/>
    <w:rsid w:val="00D60809"/>
    <w:rsid w:val="00D608E2"/>
    <w:rsid w:val="00D609F4"/>
    <w:rsid w:val="00D60F17"/>
    <w:rsid w:val="00D61310"/>
    <w:rsid w:val="00D61843"/>
    <w:rsid w:val="00D618B4"/>
    <w:rsid w:val="00D61B05"/>
    <w:rsid w:val="00D61D3E"/>
    <w:rsid w:val="00D6234C"/>
    <w:rsid w:val="00D6302E"/>
    <w:rsid w:val="00D63379"/>
    <w:rsid w:val="00D639B7"/>
    <w:rsid w:val="00D63F2C"/>
    <w:rsid w:val="00D63FD2"/>
    <w:rsid w:val="00D6401F"/>
    <w:rsid w:val="00D642CA"/>
    <w:rsid w:val="00D646E0"/>
    <w:rsid w:val="00D64E1F"/>
    <w:rsid w:val="00D64E9B"/>
    <w:rsid w:val="00D64F1D"/>
    <w:rsid w:val="00D65361"/>
    <w:rsid w:val="00D65EE7"/>
    <w:rsid w:val="00D661E8"/>
    <w:rsid w:val="00D6699C"/>
    <w:rsid w:val="00D67310"/>
    <w:rsid w:val="00D674DB"/>
    <w:rsid w:val="00D6761A"/>
    <w:rsid w:val="00D677B7"/>
    <w:rsid w:val="00D67E70"/>
    <w:rsid w:val="00D70105"/>
    <w:rsid w:val="00D701FE"/>
    <w:rsid w:val="00D703D9"/>
    <w:rsid w:val="00D70468"/>
    <w:rsid w:val="00D70AF3"/>
    <w:rsid w:val="00D71022"/>
    <w:rsid w:val="00D711BB"/>
    <w:rsid w:val="00D7129E"/>
    <w:rsid w:val="00D717D6"/>
    <w:rsid w:val="00D71A02"/>
    <w:rsid w:val="00D722A1"/>
    <w:rsid w:val="00D7254C"/>
    <w:rsid w:val="00D728F9"/>
    <w:rsid w:val="00D7325A"/>
    <w:rsid w:val="00D73291"/>
    <w:rsid w:val="00D732C0"/>
    <w:rsid w:val="00D7359A"/>
    <w:rsid w:val="00D737C7"/>
    <w:rsid w:val="00D74B12"/>
    <w:rsid w:val="00D74D2C"/>
    <w:rsid w:val="00D75700"/>
    <w:rsid w:val="00D75990"/>
    <w:rsid w:val="00D75D30"/>
    <w:rsid w:val="00D76064"/>
    <w:rsid w:val="00D7628F"/>
    <w:rsid w:val="00D76342"/>
    <w:rsid w:val="00D766C3"/>
    <w:rsid w:val="00D76949"/>
    <w:rsid w:val="00D76A44"/>
    <w:rsid w:val="00D76AB9"/>
    <w:rsid w:val="00D76B41"/>
    <w:rsid w:val="00D76BBB"/>
    <w:rsid w:val="00D7711F"/>
    <w:rsid w:val="00D771CB"/>
    <w:rsid w:val="00D77418"/>
    <w:rsid w:val="00D776FE"/>
    <w:rsid w:val="00D77A70"/>
    <w:rsid w:val="00D77C36"/>
    <w:rsid w:val="00D805E6"/>
    <w:rsid w:val="00D80BEC"/>
    <w:rsid w:val="00D81178"/>
    <w:rsid w:val="00D8150C"/>
    <w:rsid w:val="00D8159B"/>
    <w:rsid w:val="00D82166"/>
    <w:rsid w:val="00D829FC"/>
    <w:rsid w:val="00D82D24"/>
    <w:rsid w:val="00D839A0"/>
    <w:rsid w:val="00D839A7"/>
    <w:rsid w:val="00D83C89"/>
    <w:rsid w:val="00D840D3"/>
    <w:rsid w:val="00D84633"/>
    <w:rsid w:val="00D849AD"/>
    <w:rsid w:val="00D84DA5"/>
    <w:rsid w:val="00D852C7"/>
    <w:rsid w:val="00D85884"/>
    <w:rsid w:val="00D85A01"/>
    <w:rsid w:val="00D85DB2"/>
    <w:rsid w:val="00D85DE4"/>
    <w:rsid w:val="00D86229"/>
    <w:rsid w:val="00D864AB"/>
    <w:rsid w:val="00D8702C"/>
    <w:rsid w:val="00D8726B"/>
    <w:rsid w:val="00D87731"/>
    <w:rsid w:val="00D877A1"/>
    <w:rsid w:val="00D87D4E"/>
    <w:rsid w:val="00D9010F"/>
    <w:rsid w:val="00D90133"/>
    <w:rsid w:val="00D90190"/>
    <w:rsid w:val="00D9032B"/>
    <w:rsid w:val="00D90B8A"/>
    <w:rsid w:val="00D90C1D"/>
    <w:rsid w:val="00D90FE4"/>
    <w:rsid w:val="00D90FF3"/>
    <w:rsid w:val="00D9114F"/>
    <w:rsid w:val="00D914E6"/>
    <w:rsid w:val="00D91A1B"/>
    <w:rsid w:val="00D91AFF"/>
    <w:rsid w:val="00D91D10"/>
    <w:rsid w:val="00D926FD"/>
    <w:rsid w:val="00D92CE6"/>
    <w:rsid w:val="00D92F8D"/>
    <w:rsid w:val="00D9311A"/>
    <w:rsid w:val="00D937A5"/>
    <w:rsid w:val="00D93B70"/>
    <w:rsid w:val="00D940FC"/>
    <w:rsid w:val="00D94108"/>
    <w:rsid w:val="00D9423B"/>
    <w:rsid w:val="00D948B4"/>
    <w:rsid w:val="00D949B7"/>
    <w:rsid w:val="00D94C95"/>
    <w:rsid w:val="00D94FA8"/>
    <w:rsid w:val="00D951F3"/>
    <w:rsid w:val="00D952DA"/>
    <w:rsid w:val="00D955C6"/>
    <w:rsid w:val="00D95C4F"/>
    <w:rsid w:val="00D95D85"/>
    <w:rsid w:val="00D95DB9"/>
    <w:rsid w:val="00D95FF8"/>
    <w:rsid w:val="00D96025"/>
    <w:rsid w:val="00D96349"/>
    <w:rsid w:val="00D96E49"/>
    <w:rsid w:val="00D96FE2"/>
    <w:rsid w:val="00D977B7"/>
    <w:rsid w:val="00D9789E"/>
    <w:rsid w:val="00D97DF9"/>
    <w:rsid w:val="00DA012F"/>
    <w:rsid w:val="00DA07E0"/>
    <w:rsid w:val="00DA0A62"/>
    <w:rsid w:val="00DA0A73"/>
    <w:rsid w:val="00DA0A7F"/>
    <w:rsid w:val="00DA0B4E"/>
    <w:rsid w:val="00DA0C11"/>
    <w:rsid w:val="00DA1160"/>
    <w:rsid w:val="00DA146C"/>
    <w:rsid w:val="00DA19DA"/>
    <w:rsid w:val="00DA1A78"/>
    <w:rsid w:val="00DA1F7F"/>
    <w:rsid w:val="00DA2052"/>
    <w:rsid w:val="00DA2126"/>
    <w:rsid w:val="00DA2647"/>
    <w:rsid w:val="00DA2653"/>
    <w:rsid w:val="00DA2C6E"/>
    <w:rsid w:val="00DA2E5A"/>
    <w:rsid w:val="00DA3527"/>
    <w:rsid w:val="00DA3FED"/>
    <w:rsid w:val="00DA4307"/>
    <w:rsid w:val="00DA435C"/>
    <w:rsid w:val="00DA4832"/>
    <w:rsid w:val="00DA49DF"/>
    <w:rsid w:val="00DA4B1D"/>
    <w:rsid w:val="00DA501F"/>
    <w:rsid w:val="00DA55E9"/>
    <w:rsid w:val="00DA57FF"/>
    <w:rsid w:val="00DA681D"/>
    <w:rsid w:val="00DA6DFB"/>
    <w:rsid w:val="00DA72C6"/>
    <w:rsid w:val="00DA756B"/>
    <w:rsid w:val="00DA7649"/>
    <w:rsid w:val="00DA78AF"/>
    <w:rsid w:val="00DA7A88"/>
    <w:rsid w:val="00DA7B9F"/>
    <w:rsid w:val="00DA7DAF"/>
    <w:rsid w:val="00DB02E5"/>
    <w:rsid w:val="00DB055E"/>
    <w:rsid w:val="00DB0706"/>
    <w:rsid w:val="00DB0E51"/>
    <w:rsid w:val="00DB117C"/>
    <w:rsid w:val="00DB126E"/>
    <w:rsid w:val="00DB12E7"/>
    <w:rsid w:val="00DB1646"/>
    <w:rsid w:val="00DB1815"/>
    <w:rsid w:val="00DB1931"/>
    <w:rsid w:val="00DB1BC5"/>
    <w:rsid w:val="00DB2555"/>
    <w:rsid w:val="00DB25F3"/>
    <w:rsid w:val="00DB266E"/>
    <w:rsid w:val="00DB33F4"/>
    <w:rsid w:val="00DB3B2A"/>
    <w:rsid w:val="00DB3C97"/>
    <w:rsid w:val="00DB4131"/>
    <w:rsid w:val="00DB44BA"/>
    <w:rsid w:val="00DB455E"/>
    <w:rsid w:val="00DB4A02"/>
    <w:rsid w:val="00DB4B51"/>
    <w:rsid w:val="00DB50CB"/>
    <w:rsid w:val="00DB52FC"/>
    <w:rsid w:val="00DB551E"/>
    <w:rsid w:val="00DB5916"/>
    <w:rsid w:val="00DB5C2B"/>
    <w:rsid w:val="00DB5D5A"/>
    <w:rsid w:val="00DB5E9E"/>
    <w:rsid w:val="00DB64B8"/>
    <w:rsid w:val="00DB69C6"/>
    <w:rsid w:val="00DB74EA"/>
    <w:rsid w:val="00DB7695"/>
    <w:rsid w:val="00DC0032"/>
    <w:rsid w:val="00DC0299"/>
    <w:rsid w:val="00DC036E"/>
    <w:rsid w:val="00DC06E3"/>
    <w:rsid w:val="00DC0EEB"/>
    <w:rsid w:val="00DC10E0"/>
    <w:rsid w:val="00DC126A"/>
    <w:rsid w:val="00DC128C"/>
    <w:rsid w:val="00DC15BD"/>
    <w:rsid w:val="00DC1648"/>
    <w:rsid w:val="00DC16F2"/>
    <w:rsid w:val="00DC18CB"/>
    <w:rsid w:val="00DC1902"/>
    <w:rsid w:val="00DC1F0F"/>
    <w:rsid w:val="00DC2088"/>
    <w:rsid w:val="00DC212C"/>
    <w:rsid w:val="00DC2691"/>
    <w:rsid w:val="00DC2D1C"/>
    <w:rsid w:val="00DC2E84"/>
    <w:rsid w:val="00DC306F"/>
    <w:rsid w:val="00DC3272"/>
    <w:rsid w:val="00DC3681"/>
    <w:rsid w:val="00DC3686"/>
    <w:rsid w:val="00DC3952"/>
    <w:rsid w:val="00DC39E1"/>
    <w:rsid w:val="00DC4FA6"/>
    <w:rsid w:val="00DC524A"/>
    <w:rsid w:val="00DC52DC"/>
    <w:rsid w:val="00DC52EB"/>
    <w:rsid w:val="00DC599C"/>
    <w:rsid w:val="00DC5CF8"/>
    <w:rsid w:val="00DC5DB5"/>
    <w:rsid w:val="00DC5F5E"/>
    <w:rsid w:val="00DC61AF"/>
    <w:rsid w:val="00DC68DC"/>
    <w:rsid w:val="00DC6C3E"/>
    <w:rsid w:val="00DC6EA1"/>
    <w:rsid w:val="00DC719D"/>
    <w:rsid w:val="00DC73D7"/>
    <w:rsid w:val="00DC73E9"/>
    <w:rsid w:val="00DC745F"/>
    <w:rsid w:val="00DC7483"/>
    <w:rsid w:val="00DC787D"/>
    <w:rsid w:val="00DC7E5E"/>
    <w:rsid w:val="00DD00AF"/>
    <w:rsid w:val="00DD05EE"/>
    <w:rsid w:val="00DD082C"/>
    <w:rsid w:val="00DD0882"/>
    <w:rsid w:val="00DD0AC1"/>
    <w:rsid w:val="00DD0B83"/>
    <w:rsid w:val="00DD0FD5"/>
    <w:rsid w:val="00DD171F"/>
    <w:rsid w:val="00DD1949"/>
    <w:rsid w:val="00DD1BA7"/>
    <w:rsid w:val="00DD2441"/>
    <w:rsid w:val="00DD2574"/>
    <w:rsid w:val="00DD2988"/>
    <w:rsid w:val="00DD2B90"/>
    <w:rsid w:val="00DD2B97"/>
    <w:rsid w:val="00DD2C1C"/>
    <w:rsid w:val="00DD2E31"/>
    <w:rsid w:val="00DD3088"/>
    <w:rsid w:val="00DD31A0"/>
    <w:rsid w:val="00DD34B9"/>
    <w:rsid w:val="00DD3981"/>
    <w:rsid w:val="00DD3A62"/>
    <w:rsid w:val="00DD3C8F"/>
    <w:rsid w:val="00DD3F63"/>
    <w:rsid w:val="00DD4275"/>
    <w:rsid w:val="00DD4610"/>
    <w:rsid w:val="00DD4870"/>
    <w:rsid w:val="00DD5039"/>
    <w:rsid w:val="00DD58E3"/>
    <w:rsid w:val="00DD5B85"/>
    <w:rsid w:val="00DD5F79"/>
    <w:rsid w:val="00DD60C3"/>
    <w:rsid w:val="00DD6375"/>
    <w:rsid w:val="00DD699F"/>
    <w:rsid w:val="00DD6B70"/>
    <w:rsid w:val="00DD6C4A"/>
    <w:rsid w:val="00DD6CBD"/>
    <w:rsid w:val="00DD6E4F"/>
    <w:rsid w:val="00DD6F13"/>
    <w:rsid w:val="00DD6F3D"/>
    <w:rsid w:val="00DD7101"/>
    <w:rsid w:val="00DD71EB"/>
    <w:rsid w:val="00DE0295"/>
    <w:rsid w:val="00DE0305"/>
    <w:rsid w:val="00DE0B1F"/>
    <w:rsid w:val="00DE0CFD"/>
    <w:rsid w:val="00DE0F71"/>
    <w:rsid w:val="00DE10BA"/>
    <w:rsid w:val="00DE14CF"/>
    <w:rsid w:val="00DE1E53"/>
    <w:rsid w:val="00DE1F76"/>
    <w:rsid w:val="00DE202E"/>
    <w:rsid w:val="00DE20E9"/>
    <w:rsid w:val="00DE24B5"/>
    <w:rsid w:val="00DE26C3"/>
    <w:rsid w:val="00DE27E3"/>
    <w:rsid w:val="00DE2AE2"/>
    <w:rsid w:val="00DE2B62"/>
    <w:rsid w:val="00DE2DD7"/>
    <w:rsid w:val="00DE35BB"/>
    <w:rsid w:val="00DE36F1"/>
    <w:rsid w:val="00DE3DA7"/>
    <w:rsid w:val="00DE48D4"/>
    <w:rsid w:val="00DE52F4"/>
    <w:rsid w:val="00DE5833"/>
    <w:rsid w:val="00DE59BB"/>
    <w:rsid w:val="00DE5DCD"/>
    <w:rsid w:val="00DE65C6"/>
    <w:rsid w:val="00DE67C7"/>
    <w:rsid w:val="00DE70AD"/>
    <w:rsid w:val="00DE7229"/>
    <w:rsid w:val="00DE734B"/>
    <w:rsid w:val="00DE7927"/>
    <w:rsid w:val="00DE7E11"/>
    <w:rsid w:val="00DF0037"/>
    <w:rsid w:val="00DF004B"/>
    <w:rsid w:val="00DF015A"/>
    <w:rsid w:val="00DF0308"/>
    <w:rsid w:val="00DF0396"/>
    <w:rsid w:val="00DF0576"/>
    <w:rsid w:val="00DF085E"/>
    <w:rsid w:val="00DF090D"/>
    <w:rsid w:val="00DF0CFA"/>
    <w:rsid w:val="00DF12F7"/>
    <w:rsid w:val="00DF178B"/>
    <w:rsid w:val="00DF1DFF"/>
    <w:rsid w:val="00DF20FD"/>
    <w:rsid w:val="00DF2354"/>
    <w:rsid w:val="00DF2C8B"/>
    <w:rsid w:val="00DF3839"/>
    <w:rsid w:val="00DF3DEB"/>
    <w:rsid w:val="00DF3E72"/>
    <w:rsid w:val="00DF4234"/>
    <w:rsid w:val="00DF4689"/>
    <w:rsid w:val="00DF46BE"/>
    <w:rsid w:val="00DF49DD"/>
    <w:rsid w:val="00DF4A57"/>
    <w:rsid w:val="00DF4C2A"/>
    <w:rsid w:val="00DF4FE0"/>
    <w:rsid w:val="00DF5104"/>
    <w:rsid w:val="00DF5DCA"/>
    <w:rsid w:val="00DF620C"/>
    <w:rsid w:val="00DF6254"/>
    <w:rsid w:val="00DF66A8"/>
    <w:rsid w:val="00DF6708"/>
    <w:rsid w:val="00DF6863"/>
    <w:rsid w:val="00DF6C45"/>
    <w:rsid w:val="00DF6D4E"/>
    <w:rsid w:val="00DF70D5"/>
    <w:rsid w:val="00DF72CD"/>
    <w:rsid w:val="00DF7507"/>
    <w:rsid w:val="00DF7C53"/>
    <w:rsid w:val="00E000A7"/>
    <w:rsid w:val="00E001A3"/>
    <w:rsid w:val="00E00348"/>
    <w:rsid w:val="00E006BE"/>
    <w:rsid w:val="00E0070E"/>
    <w:rsid w:val="00E009AC"/>
    <w:rsid w:val="00E00A76"/>
    <w:rsid w:val="00E00E35"/>
    <w:rsid w:val="00E01361"/>
    <w:rsid w:val="00E018E4"/>
    <w:rsid w:val="00E01AC5"/>
    <w:rsid w:val="00E01F3B"/>
    <w:rsid w:val="00E020B1"/>
    <w:rsid w:val="00E0223A"/>
    <w:rsid w:val="00E025C5"/>
    <w:rsid w:val="00E026F1"/>
    <w:rsid w:val="00E028CF"/>
    <w:rsid w:val="00E02AC9"/>
    <w:rsid w:val="00E02FB5"/>
    <w:rsid w:val="00E02FD6"/>
    <w:rsid w:val="00E032E8"/>
    <w:rsid w:val="00E037B1"/>
    <w:rsid w:val="00E0387D"/>
    <w:rsid w:val="00E03CE8"/>
    <w:rsid w:val="00E03D06"/>
    <w:rsid w:val="00E03DB5"/>
    <w:rsid w:val="00E03DE7"/>
    <w:rsid w:val="00E04290"/>
    <w:rsid w:val="00E045C4"/>
    <w:rsid w:val="00E04888"/>
    <w:rsid w:val="00E04967"/>
    <w:rsid w:val="00E052A4"/>
    <w:rsid w:val="00E05D99"/>
    <w:rsid w:val="00E05E7A"/>
    <w:rsid w:val="00E05EDE"/>
    <w:rsid w:val="00E065B7"/>
    <w:rsid w:val="00E0663E"/>
    <w:rsid w:val="00E06731"/>
    <w:rsid w:val="00E06C72"/>
    <w:rsid w:val="00E06D42"/>
    <w:rsid w:val="00E06E75"/>
    <w:rsid w:val="00E06F11"/>
    <w:rsid w:val="00E07283"/>
    <w:rsid w:val="00E076C6"/>
    <w:rsid w:val="00E07C2F"/>
    <w:rsid w:val="00E07D14"/>
    <w:rsid w:val="00E07DE8"/>
    <w:rsid w:val="00E10CCE"/>
    <w:rsid w:val="00E10E8E"/>
    <w:rsid w:val="00E11230"/>
    <w:rsid w:val="00E11B32"/>
    <w:rsid w:val="00E11B7D"/>
    <w:rsid w:val="00E11F8F"/>
    <w:rsid w:val="00E12237"/>
    <w:rsid w:val="00E12A2D"/>
    <w:rsid w:val="00E12FB9"/>
    <w:rsid w:val="00E139AE"/>
    <w:rsid w:val="00E1407E"/>
    <w:rsid w:val="00E1418F"/>
    <w:rsid w:val="00E141D1"/>
    <w:rsid w:val="00E14232"/>
    <w:rsid w:val="00E148B1"/>
    <w:rsid w:val="00E152BD"/>
    <w:rsid w:val="00E1567F"/>
    <w:rsid w:val="00E157D0"/>
    <w:rsid w:val="00E15B1F"/>
    <w:rsid w:val="00E15C1C"/>
    <w:rsid w:val="00E15DA7"/>
    <w:rsid w:val="00E15DE5"/>
    <w:rsid w:val="00E15E32"/>
    <w:rsid w:val="00E15EAA"/>
    <w:rsid w:val="00E1601B"/>
    <w:rsid w:val="00E16377"/>
    <w:rsid w:val="00E1647F"/>
    <w:rsid w:val="00E169D3"/>
    <w:rsid w:val="00E16FE9"/>
    <w:rsid w:val="00E17312"/>
    <w:rsid w:val="00E175F6"/>
    <w:rsid w:val="00E17694"/>
    <w:rsid w:val="00E1774D"/>
    <w:rsid w:val="00E17811"/>
    <w:rsid w:val="00E1797A"/>
    <w:rsid w:val="00E200D4"/>
    <w:rsid w:val="00E20901"/>
    <w:rsid w:val="00E2095F"/>
    <w:rsid w:val="00E20D33"/>
    <w:rsid w:val="00E2109C"/>
    <w:rsid w:val="00E210CE"/>
    <w:rsid w:val="00E21174"/>
    <w:rsid w:val="00E2136A"/>
    <w:rsid w:val="00E21F1E"/>
    <w:rsid w:val="00E220B2"/>
    <w:rsid w:val="00E2260F"/>
    <w:rsid w:val="00E22BBD"/>
    <w:rsid w:val="00E22BCF"/>
    <w:rsid w:val="00E23A5D"/>
    <w:rsid w:val="00E23C23"/>
    <w:rsid w:val="00E23C3E"/>
    <w:rsid w:val="00E23C90"/>
    <w:rsid w:val="00E24D0A"/>
    <w:rsid w:val="00E24FDD"/>
    <w:rsid w:val="00E2512F"/>
    <w:rsid w:val="00E25430"/>
    <w:rsid w:val="00E2568C"/>
    <w:rsid w:val="00E2595B"/>
    <w:rsid w:val="00E25A95"/>
    <w:rsid w:val="00E25DCC"/>
    <w:rsid w:val="00E25F42"/>
    <w:rsid w:val="00E26285"/>
    <w:rsid w:val="00E26436"/>
    <w:rsid w:val="00E26731"/>
    <w:rsid w:val="00E26918"/>
    <w:rsid w:val="00E26FC5"/>
    <w:rsid w:val="00E27B5F"/>
    <w:rsid w:val="00E27C8E"/>
    <w:rsid w:val="00E27DAE"/>
    <w:rsid w:val="00E27E92"/>
    <w:rsid w:val="00E27FBC"/>
    <w:rsid w:val="00E304D7"/>
    <w:rsid w:val="00E30C43"/>
    <w:rsid w:val="00E30E7F"/>
    <w:rsid w:val="00E30F48"/>
    <w:rsid w:val="00E31857"/>
    <w:rsid w:val="00E319D0"/>
    <w:rsid w:val="00E31FB4"/>
    <w:rsid w:val="00E321A7"/>
    <w:rsid w:val="00E3280D"/>
    <w:rsid w:val="00E328A9"/>
    <w:rsid w:val="00E328EE"/>
    <w:rsid w:val="00E32B14"/>
    <w:rsid w:val="00E32B52"/>
    <w:rsid w:val="00E33AAD"/>
    <w:rsid w:val="00E3457B"/>
    <w:rsid w:val="00E3477C"/>
    <w:rsid w:val="00E34A98"/>
    <w:rsid w:val="00E350A7"/>
    <w:rsid w:val="00E35535"/>
    <w:rsid w:val="00E35B51"/>
    <w:rsid w:val="00E35C70"/>
    <w:rsid w:val="00E35CFF"/>
    <w:rsid w:val="00E35F36"/>
    <w:rsid w:val="00E36656"/>
    <w:rsid w:val="00E37133"/>
    <w:rsid w:val="00E373C2"/>
    <w:rsid w:val="00E37BB6"/>
    <w:rsid w:val="00E40601"/>
    <w:rsid w:val="00E40629"/>
    <w:rsid w:val="00E4063B"/>
    <w:rsid w:val="00E406B6"/>
    <w:rsid w:val="00E4089B"/>
    <w:rsid w:val="00E40BA6"/>
    <w:rsid w:val="00E4113F"/>
    <w:rsid w:val="00E4115F"/>
    <w:rsid w:val="00E41226"/>
    <w:rsid w:val="00E412B4"/>
    <w:rsid w:val="00E4165D"/>
    <w:rsid w:val="00E41914"/>
    <w:rsid w:val="00E41A73"/>
    <w:rsid w:val="00E41C26"/>
    <w:rsid w:val="00E41CF7"/>
    <w:rsid w:val="00E41D32"/>
    <w:rsid w:val="00E421B4"/>
    <w:rsid w:val="00E422B9"/>
    <w:rsid w:val="00E424BF"/>
    <w:rsid w:val="00E42A35"/>
    <w:rsid w:val="00E42E81"/>
    <w:rsid w:val="00E42F17"/>
    <w:rsid w:val="00E43086"/>
    <w:rsid w:val="00E431B3"/>
    <w:rsid w:val="00E433CA"/>
    <w:rsid w:val="00E437BA"/>
    <w:rsid w:val="00E439CE"/>
    <w:rsid w:val="00E43A7A"/>
    <w:rsid w:val="00E43C11"/>
    <w:rsid w:val="00E43C8D"/>
    <w:rsid w:val="00E43CA6"/>
    <w:rsid w:val="00E43CD4"/>
    <w:rsid w:val="00E44166"/>
    <w:rsid w:val="00E44409"/>
    <w:rsid w:val="00E44D8F"/>
    <w:rsid w:val="00E44F77"/>
    <w:rsid w:val="00E451C8"/>
    <w:rsid w:val="00E4536E"/>
    <w:rsid w:val="00E45A55"/>
    <w:rsid w:val="00E45F8A"/>
    <w:rsid w:val="00E45FFD"/>
    <w:rsid w:val="00E467F6"/>
    <w:rsid w:val="00E4688E"/>
    <w:rsid w:val="00E46DA0"/>
    <w:rsid w:val="00E4710A"/>
    <w:rsid w:val="00E47362"/>
    <w:rsid w:val="00E47B0C"/>
    <w:rsid w:val="00E502E4"/>
    <w:rsid w:val="00E50C39"/>
    <w:rsid w:val="00E50FC5"/>
    <w:rsid w:val="00E51322"/>
    <w:rsid w:val="00E513C5"/>
    <w:rsid w:val="00E515F7"/>
    <w:rsid w:val="00E51602"/>
    <w:rsid w:val="00E51871"/>
    <w:rsid w:val="00E51D92"/>
    <w:rsid w:val="00E52DD4"/>
    <w:rsid w:val="00E53441"/>
    <w:rsid w:val="00E53857"/>
    <w:rsid w:val="00E5402B"/>
    <w:rsid w:val="00E54408"/>
    <w:rsid w:val="00E54488"/>
    <w:rsid w:val="00E54870"/>
    <w:rsid w:val="00E548E5"/>
    <w:rsid w:val="00E55051"/>
    <w:rsid w:val="00E550F5"/>
    <w:rsid w:val="00E554C8"/>
    <w:rsid w:val="00E5556E"/>
    <w:rsid w:val="00E55BD6"/>
    <w:rsid w:val="00E56092"/>
    <w:rsid w:val="00E5694E"/>
    <w:rsid w:val="00E56951"/>
    <w:rsid w:val="00E56A4B"/>
    <w:rsid w:val="00E56BFE"/>
    <w:rsid w:val="00E56C31"/>
    <w:rsid w:val="00E56EF4"/>
    <w:rsid w:val="00E57AD4"/>
    <w:rsid w:val="00E57C59"/>
    <w:rsid w:val="00E57E1C"/>
    <w:rsid w:val="00E60256"/>
    <w:rsid w:val="00E603E1"/>
    <w:rsid w:val="00E60DB9"/>
    <w:rsid w:val="00E612E6"/>
    <w:rsid w:val="00E61357"/>
    <w:rsid w:val="00E6137F"/>
    <w:rsid w:val="00E613F0"/>
    <w:rsid w:val="00E6142C"/>
    <w:rsid w:val="00E615A4"/>
    <w:rsid w:val="00E61BF2"/>
    <w:rsid w:val="00E61D80"/>
    <w:rsid w:val="00E6215E"/>
    <w:rsid w:val="00E6229F"/>
    <w:rsid w:val="00E628A2"/>
    <w:rsid w:val="00E628E1"/>
    <w:rsid w:val="00E629DB"/>
    <w:rsid w:val="00E636CB"/>
    <w:rsid w:val="00E63746"/>
    <w:rsid w:val="00E63DFA"/>
    <w:rsid w:val="00E6400A"/>
    <w:rsid w:val="00E64129"/>
    <w:rsid w:val="00E6480E"/>
    <w:rsid w:val="00E64860"/>
    <w:rsid w:val="00E648DE"/>
    <w:rsid w:val="00E6495A"/>
    <w:rsid w:val="00E65181"/>
    <w:rsid w:val="00E65194"/>
    <w:rsid w:val="00E6557C"/>
    <w:rsid w:val="00E65980"/>
    <w:rsid w:val="00E65AC7"/>
    <w:rsid w:val="00E65C50"/>
    <w:rsid w:val="00E65CF8"/>
    <w:rsid w:val="00E65DA8"/>
    <w:rsid w:val="00E65EB5"/>
    <w:rsid w:val="00E65F08"/>
    <w:rsid w:val="00E65FC1"/>
    <w:rsid w:val="00E66234"/>
    <w:rsid w:val="00E66689"/>
    <w:rsid w:val="00E66A01"/>
    <w:rsid w:val="00E66C31"/>
    <w:rsid w:val="00E66DDC"/>
    <w:rsid w:val="00E66FD1"/>
    <w:rsid w:val="00E67B97"/>
    <w:rsid w:val="00E67BD9"/>
    <w:rsid w:val="00E67C49"/>
    <w:rsid w:val="00E70244"/>
    <w:rsid w:val="00E70C8D"/>
    <w:rsid w:val="00E71242"/>
    <w:rsid w:val="00E717E7"/>
    <w:rsid w:val="00E718B9"/>
    <w:rsid w:val="00E71B2E"/>
    <w:rsid w:val="00E71C17"/>
    <w:rsid w:val="00E71CF5"/>
    <w:rsid w:val="00E71E43"/>
    <w:rsid w:val="00E71F0D"/>
    <w:rsid w:val="00E71FF3"/>
    <w:rsid w:val="00E728FF"/>
    <w:rsid w:val="00E72AB6"/>
    <w:rsid w:val="00E732B0"/>
    <w:rsid w:val="00E732C2"/>
    <w:rsid w:val="00E732D5"/>
    <w:rsid w:val="00E73819"/>
    <w:rsid w:val="00E73B81"/>
    <w:rsid w:val="00E73B9F"/>
    <w:rsid w:val="00E73BD6"/>
    <w:rsid w:val="00E7449B"/>
    <w:rsid w:val="00E7454C"/>
    <w:rsid w:val="00E7455D"/>
    <w:rsid w:val="00E745FF"/>
    <w:rsid w:val="00E74A8B"/>
    <w:rsid w:val="00E74EEA"/>
    <w:rsid w:val="00E759F5"/>
    <w:rsid w:val="00E75A3F"/>
    <w:rsid w:val="00E7617D"/>
    <w:rsid w:val="00E76364"/>
    <w:rsid w:val="00E76366"/>
    <w:rsid w:val="00E76820"/>
    <w:rsid w:val="00E7690F"/>
    <w:rsid w:val="00E76B86"/>
    <w:rsid w:val="00E76CD7"/>
    <w:rsid w:val="00E76D55"/>
    <w:rsid w:val="00E77AA4"/>
    <w:rsid w:val="00E77D4D"/>
    <w:rsid w:val="00E77F91"/>
    <w:rsid w:val="00E80053"/>
    <w:rsid w:val="00E8014E"/>
    <w:rsid w:val="00E802C2"/>
    <w:rsid w:val="00E80336"/>
    <w:rsid w:val="00E8055A"/>
    <w:rsid w:val="00E80996"/>
    <w:rsid w:val="00E80BDA"/>
    <w:rsid w:val="00E80D91"/>
    <w:rsid w:val="00E81456"/>
    <w:rsid w:val="00E81623"/>
    <w:rsid w:val="00E81990"/>
    <w:rsid w:val="00E81E08"/>
    <w:rsid w:val="00E82667"/>
    <w:rsid w:val="00E82837"/>
    <w:rsid w:val="00E82BF7"/>
    <w:rsid w:val="00E8338D"/>
    <w:rsid w:val="00E83525"/>
    <w:rsid w:val="00E836B5"/>
    <w:rsid w:val="00E8380B"/>
    <w:rsid w:val="00E83834"/>
    <w:rsid w:val="00E843C4"/>
    <w:rsid w:val="00E84CD7"/>
    <w:rsid w:val="00E84FF7"/>
    <w:rsid w:val="00E85161"/>
    <w:rsid w:val="00E85456"/>
    <w:rsid w:val="00E85B8B"/>
    <w:rsid w:val="00E85D2B"/>
    <w:rsid w:val="00E85D36"/>
    <w:rsid w:val="00E85E78"/>
    <w:rsid w:val="00E863AE"/>
    <w:rsid w:val="00E86403"/>
    <w:rsid w:val="00E86750"/>
    <w:rsid w:val="00E86BC6"/>
    <w:rsid w:val="00E8709B"/>
    <w:rsid w:val="00E872CD"/>
    <w:rsid w:val="00E877A5"/>
    <w:rsid w:val="00E87991"/>
    <w:rsid w:val="00E87BCD"/>
    <w:rsid w:val="00E9065E"/>
    <w:rsid w:val="00E908A6"/>
    <w:rsid w:val="00E90F3F"/>
    <w:rsid w:val="00E91338"/>
    <w:rsid w:val="00E91652"/>
    <w:rsid w:val="00E919D3"/>
    <w:rsid w:val="00E9265F"/>
    <w:rsid w:val="00E9292C"/>
    <w:rsid w:val="00E92D70"/>
    <w:rsid w:val="00E9316B"/>
    <w:rsid w:val="00E93D16"/>
    <w:rsid w:val="00E93F9C"/>
    <w:rsid w:val="00E950A6"/>
    <w:rsid w:val="00E9563C"/>
    <w:rsid w:val="00E95776"/>
    <w:rsid w:val="00E95A37"/>
    <w:rsid w:val="00E9602F"/>
    <w:rsid w:val="00E96834"/>
    <w:rsid w:val="00E96852"/>
    <w:rsid w:val="00E96980"/>
    <w:rsid w:val="00E9711D"/>
    <w:rsid w:val="00E9717D"/>
    <w:rsid w:val="00E97225"/>
    <w:rsid w:val="00E97F48"/>
    <w:rsid w:val="00E97F5F"/>
    <w:rsid w:val="00EA0788"/>
    <w:rsid w:val="00EA0B62"/>
    <w:rsid w:val="00EA0F99"/>
    <w:rsid w:val="00EA10AC"/>
    <w:rsid w:val="00EA174E"/>
    <w:rsid w:val="00EA19C6"/>
    <w:rsid w:val="00EA1C76"/>
    <w:rsid w:val="00EA2489"/>
    <w:rsid w:val="00EA2593"/>
    <w:rsid w:val="00EA2754"/>
    <w:rsid w:val="00EA278D"/>
    <w:rsid w:val="00EA349A"/>
    <w:rsid w:val="00EA3756"/>
    <w:rsid w:val="00EA3823"/>
    <w:rsid w:val="00EA3C24"/>
    <w:rsid w:val="00EA40F8"/>
    <w:rsid w:val="00EA4589"/>
    <w:rsid w:val="00EA473C"/>
    <w:rsid w:val="00EA4C6A"/>
    <w:rsid w:val="00EA4DFF"/>
    <w:rsid w:val="00EA50B9"/>
    <w:rsid w:val="00EA54F9"/>
    <w:rsid w:val="00EA5A23"/>
    <w:rsid w:val="00EA5B8C"/>
    <w:rsid w:val="00EA5F70"/>
    <w:rsid w:val="00EA5F9B"/>
    <w:rsid w:val="00EA5FFB"/>
    <w:rsid w:val="00EA66AD"/>
    <w:rsid w:val="00EA6930"/>
    <w:rsid w:val="00EA6A8C"/>
    <w:rsid w:val="00EA6F05"/>
    <w:rsid w:val="00EA726D"/>
    <w:rsid w:val="00EA72DB"/>
    <w:rsid w:val="00EA7570"/>
    <w:rsid w:val="00EA7740"/>
    <w:rsid w:val="00EB0350"/>
    <w:rsid w:val="00EB03AC"/>
    <w:rsid w:val="00EB09B1"/>
    <w:rsid w:val="00EB0B4A"/>
    <w:rsid w:val="00EB12EB"/>
    <w:rsid w:val="00EB1ABC"/>
    <w:rsid w:val="00EB1B35"/>
    <w:rsid w:val="00EB1D58"/>
    <w:rsid w:val="00EB2088"/>
    <w:rsid w:val="00EB214C"/>
    <w:rsid w:val="00EB2169"/>
    <w:rsid w:val="00EB21DD"/>
    <w:rsid w:val="00EB263C"/>
    <w:rsid w:val="00EB295B"/>
    <w:rsid w:val="00EB2993"/>
    <w:rsid w:val="00EB2CDA"/>
    <w:rsid w:val="00EB2D39"/>
    <w:rsid w:val="00EB323A"/>
    <w:rsid w:val="00EB34D7"/>
    <w:rsid w:val="00EB4104"/>
    <w:rsid w:val="00EB41A4"/>
    <w:rsid w:val="00EB4435"/>
    <w:rsid w:val="00EB46FD"/>
    <w:rsid w:val="00EB4A88"/>
    <w:rsid w:val="00EB4DD5"/>
    <w:rsid w:val="00EB4EFD"/>
    <w:rsid w:val="00EB5156"/>
    <w:rsid w:val="00EB54E6"/>
    <w:rsid w:val="00EB5A05"/>
    <w:rsid w:val="00EB5C95"/>
    <w:rsid w:val="00EB5F79"/>
    <w:rsid w:val="00EB6126"/>
    <w:rsid w:val="00EB6692"/>
    <w:rsid w:val="00EB6CF6"/>
    <w:rsid w:val="00EB6F60"/>
    <w:rsid w:val="00EB71C5"/>
    <w:rsid w:val="00EB774A"/>
    <w:rsid w:val="00EB77F8"/>
    <w:rsid w:val="00EB7979"/>
    <w:rsid w:val="00EB7E12"/>
    <w:rsid w:val="00EB7F3F"/>
    <w:rsid w:val="00EC0076"/>
    <w:rsid w:val="00EC0672"/>
    <w:rsid w:val="00EC0E36"/>
    <w:rsid w:val="00EC11E8"/>
    <w:rsid w:val="00EC130C"/>
    <w:rsid w:val="00EC1593"/>
    <w:rsid w:val="00EC18F2"/>
    <w:rsid w:val="00EC1A44"/>
    <w:rsid w:val="00EC1B47"/>
    <w:rsid w:val="00EC1FD3"/>
    <w:rsid w:val="00EC2024"/>
    <w:rsid w:val="00EC2032"/>
    <w:rsid w:val="00EC22D7"/>
    <w:rsid w:val="00EC24C7"/>
    <w:rsid w:val="00EC272B"/>
    <w:rsid w:val="00EC2996"/>
    <w:rsid w:val="00EC29AA"/>
    <w:rsid w:val="00EC2ADC"/>
    <w:rsid w:val="00EC2EE4"/>
    <w:rsid w:val="00EC317A"/>
    <w:rsid w:val="00EC3637"/>
    <w:rsid w:val="00EC37E0"/>
    <w:rsid w:val="00EC3AE3"/>
    <w:rsid w:val="00EC3B6A"/>
    <w:rsid w:val="00EC3E06"/>
    <w:rsid w:val="00EC4A0A"/>
    <w:rsid w:val="00EC4A21"/>
    <w:rsid w:val="00EC4B7A"/>
    <w:rsid w:val="00EC4D48"/>
    <w:rsid w:val="00EC5119"/>
    <w:rsid w:val="00EC5341"/>
    <w:rsid w:val="00EC5712"/>
    <w:rsid w:val="00EC5A62"/>
    <w:rsid w:val="00EC6381"/>
    <w:rsid w:val="00EC64C3"/>
    <w:rsid w:val="00EC6B24"/>
    <w:rsid w:val="00EC6BF4"/>
    <w:rsid w:val="00EC6FC8"/>
    <w:rsid w:val="00EC770A"/>
    <w:rsid w:val="00EC79CC"/>
    <w:rsid w:val="00EC7D16"/>
    <w:rsid w:val="00ED0024"/>
    <w:rsid w:val="00ED007F"/>
    <w:rsid w:val="00ED0131"/>
    <w:rsid w:val="00ED0459"/>
    <w:rsid w:val="00ED055C"/>
    <w:rsid w:val="00ED0913"/>
    <w:rsid w:val="00ED0B40"/>
    <w:rsid w:val="00ED0BED"/>
    <w:rsid w:val="00ED0D67"/>
    <w:rsid w:val="00ED0FE0"/>
    <w:rsid w:val="00ED12FF"/>
    <w:rsid w:val="00ED15D7"/>
    <w:rsid w:val="00ED1AF5"/>
    <w:rsid w:val="00ED2919"/>
    <w:rsid w:val="00ED29B3"/>
    <w:rsid w:val="00ED2A58"/>
    <w:rsid w:val="00ED2DD3"/>
    <w:rsid w:val="00ED2E4C"/>
    <w:rsid w:val="00ED303F"/>
    <w:rsid w:val="00ED332A"/>
    <w:rsid w:val="00ED3606"/>
    <w:rsid w:val="00ED3ADA"/>
    <w:rsid w:val="00ED3C36"/>
    <w:rsid w:val="00ED3DF2"/>
    <w:rsid w:val="00ED3E21"/>
    <w:rsid w:val="00ED3FE6"/>
    <w:rsid w:val="00ED434C"/>
    <w:rsid w:val="00ED43FE"/>
    <w:rsid w:val="00ED4659"/>
    <w:rsid w:val="00ED4A2F"/>
    <w:rsid w:val="00ED4B48"/>
    <w:rsid w:val="00ED4C86"/>
    <w:rsid w:val="00ED4DD6"/>
    <w:rsid w:val="00ED4FDB"/>
    <w:rsid w:val="00ED56DB"/>
    <w:rsid w:val="00ED5830"/>
    <w:rsid w:val="00ED5CFA"/>
    <w:rsid w:val="00ED5DCF"/>
    <w:rsid w:val="00ED6849"/>
    <w:rsid w:val="00ED6875"/>
    <w:rsid w:val="00ED76C8"/>
    <w:rsid w:val="00EE00C9"/>
    <w:rsid w:val="00EE01E7"/>
    <w:rsid w:val="00EE0839"/>
    <w:rsid w:val="00EE0C9A"/>
    <w:rsid w:val="00EE0EC1"/>
    <w:rsid w:val="00EE0FE4"/>
    <w:rsid w:val="00EE1262"/>
    <w:rsid w:val="00EE1B29"/>
    <w:rsid w:val="00EE1DDA"/>
    <w:rsid w:val="00EE1E95"/>
    <w:rsid w:val="00EE206C"/>
    <w:rsid w:val="00EE263A"/>
    <w:rsid w:val="00EE2AC2"/>
    <w:rsid w:val="00EE2C4A"/>
    <w:rsid w:val="00EE3685"/>
    <w:rsid w:val="00EE38AD"/>
    <w:rsid w:val="00EE3B4E"/>
    <w:rsid w:val="00EE3D97"/>
    <w:rsid w:val="00EE3FEA"/>
    <w:rsid w:val="00EE49B0"/>
    <w:rsid w:val="00EE4B5F"/>
    <w:rsid w:val="00EE4E35"/>
    <w:rsid w:val="00EE5629"/>
    <w:rsid w:val="00EE5F1B"/>
    <w:rsid w:val="00EE63D1"/>
    <w:rsid w:val="00EE6BCD"/>
    <w:rsid w:val="00EE70BF"/>
    <w:rsid w:val="00EE728E"/>
    <w:rsid w:val="00EE754A"/>
    <w:rsid w:val="00EE7586"/>
    <w:rsid w:val="00EF0783"/>
    <w:rsid w:val="00EF0F27"/>
    <w:rsid w:val="00EF12A2"/>
    <w:rsid w:val="00EF1596"/>
    <w:rsid w:val="00EF1975"/>
    <w:rsid w:val="00EF19D0"/>
    <w:rsid w:val="00EF22C5"/>
    <w:rsid w:val="00EF28F4"/>
    <w:rsid w:val="00EF2AE7"/>
    <w:rsid w:val="00EF3084"/>
    <w:rsid w:val="00EF3141"/>
    <w:rsid w:val="00EF3472"/>
    <w:rsid w:val="00EF361B"/>
    <w:rsid w:val="00EF36EA"/>
    <w:rsid w:val="00EF3820"/>
    <w:rsid w:val="00EF3BFF"/>
    <w:rsid w:val="00EF3C00"/>
    <w:rsid w:val="00EF44B4"/>
    <w:rsid w:val="00EF463E"/>
    <w:rsid w:val="00EF4840"/>
    <w:rsid w:val="00EF4E03"/>
    <w:rsid w:val="00EF4EC3"/>
    <w:rsid w:val="00EF5073"/>
    <w:rsid w:val="00EF514F"/>
    <w:rsid w:val="00EF5304"/>
    <w:rsid w:val="00EF56E1"/>
    <w:rsid w:val="00EF581A"/>
    <w:rsid w:val="00EF5A44"/>
    <w:rsid w:val="00EF5D38"/>
    <w:rsid w:val="00EF5FED"/>
    <w:rsid w:val="00EF68EC"/>
    <w:rsid w:val="00EF69EF"/>
    <w:rsid w:val="00EF6F78"/>
    <w:rsid w:val="00EF7154"/>
    <w:rsid w:val="00EF71BE"/>
    <w:rsid w:val="00EF7439"/>
    <w:rsid w:val="00EF75DA"/>
    <w:rsid w:val="00EF7734"/>
    <w:rsid w:val="00EF7A8E"/>
    <w:rsid w:val="00F000D4"/>
    <w:rsid w:val="00F0048C"/>
    <w:rsid w:val="00F00548"/>
    <w:rsid w:val="00F006A1"/>
    <w:rsid w:val="00F00A00"/>
    <w:rsid w:val="00F00B74"/>
    <w:rsid w:val="00F00EFF"/>
    <w:rsid w:val="00F00F37"/>
    <w:rsid w:val="00F013F0"/>
    <w:rsid w:val="00F0150F"/>
    <w:rsid w:val="00F01889"/>
    <w:rsid w:val="00F02D19"/>
    <w:rsid w:val="00F03208"/>
    <w:rsid w:val="00F036C5"/>
    <w:rsid w:val="00F03932"/>
    <w:rsid w:val="00F03B8D"/>
    <w:rsid w:val="00F03C6B"/>
    <w:rsid w:val="00F03CD7"/>
    <w:rsid w:val="00F03E14"/>
    <w:rsid w:val="00F0455B"/>
    <w:rsid w:val="00F04984"/>
    <w:rsid w:val="00F04A77"/>
    <w:rsid w:val="00F04E96"/>
    <w:rsid w:val="00F0533D"/>
    <w:rsid w:val="00F054C5"/>
    <w:rsid w:val="00F0557E"/>
    <w:rsid w:val="00F05621"/>
    <w:rsid w:val="00F05CB5"/>
    <w:rsid w:val="00F05D0C"/>
    <w:rsid w:val="00F05E9D"/>
    <w:rsid w:val="00F05EA1"/>
    <w:rsid w:val="00F05EA5"/>
    <w:rsid w:val="00F065E8"/>
    <w:rsid w:val="00F06649"/>
    <w:rsid w:val="00F0668B"/>
    <w:rsid w:val="00F066B2"/>
    <w:rsid w:val="00F06C9A"/>
    <w:rsid w:val="00F06D28"/>
    <w:rsid w:val="00F071D2"/>
    <w:rsid w:val="00F07F2C"/>
    <w:rsid w:val="00F1001E"/>
    <w:rsid w:val="00F10552"/>
    <w:rsid w:val="00F108FC"/>
    <w:rsid w:val="00F10BEA"/>
    <w:rsid w:val="00F10CE5"/>
    <w:rsid w:val="00F11EEF"/>
    <w:rsid w:val="00F12043"/>
    <w:rsid w:val="00F12CA4"/>
    <w:rsid w:val="00F130B8"/>
    <w:rsid w:val="00F13289"/>
    <w:rsid w:val="00F1336A"/>
    <w:rsid w:val="00F1367C"/>
    <w:rsid w:val="00F13C61"/>
    <w:rsid w:val="00F13CE0"/>
    <w:rsid w:val="00F14051"/>
    <w:rsid w:val="00F1410E"/>
    <w:rsid w:val="00F141EA"/>
    <w:rsid w:val="00F143BE"/>
    <w:rsid w:val="00F143E0"/>
    <w:rsid w:val="00F145CB"/>
    <w:rsid w:val="00F14B42"/>
    <w:rsid w:val="00F14B6C"/>
    <w:rsid w:val="00F15500"/>
    <w:rsid w:val="00F1556E"/>
    <w:rsid w:val="00F156C5"/>
    <w:rsid w:val="00F15B23"/>
    <w:rsid w:val="00F15B89"/>
    <w:rsid w:val="00F15C30"/>
    <w:rsid w:val="00F160AB"/>
    <w:rsid w:val="00F16149"/>
    <w:rsid w:val="00F16A69"/>
    <w:rsid w:val="00F16D87"/>
    <w:rsid w:val="00F16FCE"/>
    <w:rsid w:val="00F1731E"/>
    <w:rsid w:val="00F177CE"/>
    <w:rsid w:val="00F178ED"/>
    <w:rsid w:val="00F17954"/>
    <w:rsid w:val="00F2046B"/>
    <w:rsid w:val="00F208B9"/>
    <w:rsid w:val="00F20AC2"/>
    <w:rsid w:val="00F20DB1"/>
    <w:rsid w:val="00F213AE"/>
    <w:rsid w:val="00F213B1"/>
    <w:rsid w:val="00F213E8"/>
    <w:rsid w:val="00F214E7"/>
    <w:rsid w:val="00F21B24"/>
    <w:rsid w:val="00F21E52"/>
    <w:rsid w:val="00F2263D"/>
    <w:rsid w:val="00F22D7B"/>
    <w:rsid w:val="00F22F6D"/>
    <w:rsid w:val="00F23805"/>
    <w:rsid w:val="00F238DC"/>
    <w:rsid w:val="00F23CE9"/>
    <w:rsid w:val="00F2413F"/>
    <w:rsid w:val="00F247C7"/>
    <w:rsid w:val="00F24A29"/>
    <w:rsid w:val="00F24F7E"/>
    <w:rsid w:val="00F25665"/>
    <w:rsid w:val="00F25A55"/>
    <w:rsid w:val="00F25B92"/>
    <w:rsid w:val="00F265E2"/>
    <w:rsid w:val="00F266D5"/>
    <w:rsid w:val="00F26949"/>
    <w:rsid w:val="00F26AA5"/>
    <w:rsid w:val="00F26D62"/>
    <w:rsid w:val="00F26D7A"/>
    <w:rsid w:val="00F270E3"/>
    <w:rsid w:val="00F272B6"/>
    <w:rsid w:val="00F27514"/>
    <w:rsid w:val="00F277B5"/>
    <w:rsid w:val="00F27AAE"/>
    <w:rsid w:val="00F27AC4"/>
    <w:rsid w:val="00F27B88"/>
    <w:rsid w:val="00F27E29"/>
    <w:rsid w:val="00F3030D"/>
    <w:rsid w:val="00F30734"/>
    <w:rsid w:val="00F316A7"/>
    <w:rsid w:val="00F317AB"/>
    <w:rsid w:val="00F32042"/>
    <w:rsid w:val="00F32702"/>
    <w:rsid w:val="00F33001"/>
    <w:rsid w:val="00F33208"/>
    <w:rsid w:val="00F3344D"/>
    <w:rsid w:val="00F33542"/>
    <w:rsid w:val="00F33975"/>
    <w:rsid w:val="00F3416F"/>
    <w:rsid w:val="00F344FC"/>
    <w:rsid w:val="00F348F6"/>
    <w:rsid w:val="00F349C4"/>
    <w:rsid w:val="00F34BDF"/>
    <w:rsid w:val="00F351F8"/>
    <w:rsid w:val="00F3529E"/>
    <w:rsid w:val="00F3573A"/>
    <w:rsid w:val="00F35AFE"/>
    <w:rsid w:val="00F35BBB"/>
    <w:rsid w:val="00F36019"/>
    <w:rsid w:val="00F365B1"/>
    <w:rsid w:val="00F368E0"/>
    <w:rsid w:val="00F36E45"/>
    <w:rsid w:val="00F370E3"/>
    <w:rsid w:val="00F37ED1"/>
    <w:rsid w:val="00F40312"/>
    <w:rsid w:val="00F4071D"/>
    <w:rsid w:val="00F40A57"/>
    <w:rsid w:val="00F40F17"/>
    <w:rsid w:val="00F40F8D"/>
    <w:rsid w:val="00F417C8"/>
    <w:rsid w:val="00F41852"/>
    <w:rsid w:val="00F41CC9"/>
    <w:rsid w:val="00F4259B"/>
    <w:rsid w:val="00F426E1"/>
    <w:rsid w:val="00F428DF"/>
    <w:rsid w:val="00F42D83"/>
    <w:rsid w:val="00F42E7D"/>
    <w:rsid w:val="00F42E7F"/>
    <w:rsid w:val="00F4315F"/>
    <w:rsid w:val="00F43184"/>
    <w:rsid w:val="00F43395"/>
    <w:rsid w:val="00F433C3"/>
    <w:rsid w:val="00F4351A"/>
    <w:rsid w:val="00F439FB"/>
    <w:rsid w:val="00F43B22"/>
    <w:rsid w:val="00F43F4B"/>
    <w:rsid w:val="00F44A26"/>
    <w:rsid w:val="00F44A43"/>
    <w:rsid w:val="00F44CE5"/>
    <w:rsid w:val="00F45210"/>
    <w:rsid w:val="00F4606E"/>
    <w:rsid w:val="00F463B8"/>
    <w:rsid w:val="00F46678"/>
    <w:rsid w:val="00F4668D"/>
    <w:rsid w:val="00F46E7A"/>
    <w:rsid w:val="00F471BE"/>
    <w:rsid w:val="00F472AC"/>
    <w:rsid w:val="00F47589"/>
    <w:rsid w:val="00F47625"/>
    <w:rsid w:val="00F47D00"/>
    <w:rsid w:val="00F47FBA"/>
    <w:rsid w:val="00F502D5"/>
    <w:rsid w:val="00F502F9"/>
    <w:rsid w:val="00F50308"/>
    <w:rsid w:val="00F50580"/>
    <w:rsid w:val="00F50619"/>
    <w:rsid w:val="00F515F5"/>
    <w:rsid w:val="00F5161B"/>
    <w:rsid w:val="00F51CD3"/>
    <w:rsid w:val="00F51DC0"/>
    <w:rsid w:val="00F5228F"/>
    <w:rsid w:val="00F52639"/>
    <w:rsid w:val="00F53093"/>
    <w:rsid w:val="00F53130"/>
    <w:rsid w:val="00F5326D"/>
    <w:rsid w:val="00F53403"/>
    <w:rsid w:val="00F53561"/>
    <w:rsid w:val="00F5369F"/>
    <w:rsid w:val="00F537D7"/>
    <w:rsid w:val="00F53EB3"/>
    <w:rsid w:val="00F53FB5"/>
    <w:rsid w:val="00F5428E"/>
    <w:rsid w:val="00F54727"/>
    <w:rsid w:val="00F549A0"/>
    <w:rsid w:val="00F54C18"/>
    <w:rsid w:val="00F556AE"/>
    <w:rsid w:val="00F55BE8"/>
    <w:rsid w:val="00F55EE3"/>
    <w:rsid w:val="00F55FD6"/>
    <w:rsid w:val="00F56571"/>
    <w:rsid w:val="00F56E1B"/>
    <w:rsid w:val="00F57338"/>
    <w:rsid w:val="00F57EB7"/>
    <w:rsid w:val="00F6001C"/>
    <w:rsid w:val="00F60096"/>
    <w:rsid w:val="00F600DF"/>
    <w:rsid w:val="00F60310"/>
    <w:rsid w:val="00F60CD3"/>
    <w:rsid w:val="00F60D46"/>
    <w:rsid w:val="00F61068"/>
    <w:rsid w:val="00F61437"/>
    <w:rsid w:val="00F6179D"/>
    <w:rsid w:val="00F618B7"/>
    <w:rsid w:val="00F61AD9"/>
    <w:rsid w:val="00F622B8"/>
    <w:rsid w:val="00F62338"/>
    <w:rsid w:val="00F62458"/>
    <w:rsid w:val="00F626FF"/>
    <w:rsid w:val="00F627D0"/>
    <w:rsid w:val="00F628DA"/>
    <w:rsid w:val="00F62AF2"/>
    <w:rsid w:val="00F62C96"/>
    <w:rsid w:val="00F62EF2"/>
    <w:rsid w:val="00F6304F"/>
    <w:rsid w:val="00F63352"/>
    <w:rsid w:val="00F63D0C"/>
    <w:rsid w:val="00F63DD5"/>
    <w:rsid w:val="00F6406B"/>
    <w:rsid w:val="00F64114"/>
    <w:rsid w:val="00F646AB"/>
    <w:rsid w:val="00F648BD"/>
    <w:rsid w:val="00F64A59"/>
    <w:rsid w:val="00F64B78"/>
    <w:rsid w:val="00F64C0B"/>
    <w:rsid w:val="00F64D83"/>
    <w:rsid w:val="00F64E4A"/>
    <w:rsid w:val="00F6508C"/>
    <w:rsid w:val="00F65AA2"/>
    <w:rsid w:val="00F65C92"/>
    <w:rsid w:val="00F65EA7"/>
    <w:rsid w:val="00F65F38"/>
    <w:rsid w:val="00F662DD"/>
    <w:rsid w:val="00F663B8"/>
    <w:rsid w:val="00F66EC0"/>
    <w:rsid w:val="00F66EFC"/>
    <w:rsid w:val="00F67242"/>
    <w:rsid w:val="00F6757B"/>
    <w:rsid w:val="00F67741"/>
    <w:rsid w:val="00F67C61"/>
    <w:rsid w:val="00F67D4C"/>
    <w:rsid w:val="00F67D9B"/>
    <w:rsid w:val="00F7008C"/>
    <w:rsid w:val="00F700AC"/>
    <w:rsid w:val="00F70103"/>
    <w:rsid w:val="00F70165"/>
    <w:rsid w:val="00F70304"/>
    <w:rsid w:val="00F71638"/>
    <w:rsid w:val="00F71818"/>
    <w:rsid w:val="00F71A91"/>
    <w:rsid w:val="00F71D5E"/>
    <w:rsid w:val="00F71E37"/>
    <w:rsid w:val="00F722D2"/>
    <w:rsid w:val="00F72953"/>
    <w:rsid w:val="00F72B0B"/>
    <w:rsid w:val="00F72E55"/>
    <w:rsid w:val="00F731AD"/>
    <w:rsid w:val="00F73925"/>
    <w:rsid w:val="00F73A99"/>
    <w:rsid w:val="00F73E00"/>
    <w:rsid w:val="00F73F54"/>
    <w:rsid w:val="00F74114"/>
    <w:rsid w:val="00F741F5"/>
    <w:rsid w:val="00F74505"/>
    <w:rsid w:val="00F74B2D"/>
    <w:rsid w:val="00F750B9"/>
    <w:rsid w:val="00F75C77"/>
    <w:rsid w:val="00F75F57"/>
    <w:rsid w:val="00F75FFA"/>
    <w:rsid w:val="00F76484"/>
    <w:rsid w:val="00F7658E"/>
    <w:rsid w:val="00F770A8"/>
    <w:rsid w:val="00F770C5"/>
    <w:rsid w:val="00F772EC"/>
    <w:rsid w:val="00F7744E"/>
    <w:rsid w:val="00F777D6"/>
    <w:rsid w:val="00F778FC"/>
    <w:rsid w:val="00F77AF9"/>
    <w:rsid w:val="00F80067"/>
    <w:rsid w:val="00F80138"/>
    <w:rsid w:val="00F802DE"/>
    <w:rsid w:val="00F806EE"/>
    <w:rsid w:val="00F80BDD"/>
    <w:rsid w:val="00F80BFD"/>
    <w:rsid w:val="00F812C3"/>
    <w:rsid w:val="00F815C6"/>
    <w:rsid w:val="00F816A6"/>
    <w:rsid w:val="00F81C6D"/>
    <w:rsid w:val="00F81D89"/>
    <w:rsid w:val="00F8200E"/>
    <w:rsid w:val="00F82223"/>
    <w:rsid w:val="00F82318"/>
    <w:rsid w:val="00F827FF"/>
    <w:rsid w:val="00F82891"/>
    <w:rsid w:val="00F82FC3"/>
    <w:rsid w:val="00F831DC"/>
    <w:rsid w:val="00F83327"/>
    <w:rsid w:val="00F835F7"/>
    <w:rsid w:val="00F83AE4"/>
    <w:rsid w:val="00F84054"/>
    <w:rsid w:val="00F84A1E"/>
    <w:rsid w:val="00F84C66"/>
    <w:rsid w:val="00F84FFE"/>
    <w:rsid w:val="00F85034"/>
    <w:rsid w:val="00F85890"/>
    <w:rsid w:val="00F85F87"/>
    <w:rsid w:val="00F861B4"/>
    <w:rsid w:val="00F861E3"/>
    <w:rsid w:val="00F863E4"/>
    <w:rsid w:val="00F8643F"/>
    <w:rsid w:val="00F86C02"/>
    <w:rsid w:val="00F86ED4"/>
    <w:rsid w:val="00F872ED"/>
    <w:rsid w:val="00F873F7"/>
    <w:rsid w:val="00F8775D"/>
    <w:rsid w:val="00F87A44"/>
    <w:rsid w:val="00F87CDA"/>
    <w:rsid w:val="00F87DE5"/>
    <w:rsid w:val="00F9035C"/>
    <w:rsid w:val="00F90823"/>
    <w:rsid w:val="00F90EA9"/>
    <w:rsid w:val="00F90F15"/>
    <w:rsid w:val="00F90F66"/>
    <w:rsid w:val="00F91052"/>
    <w:rsid w:val="00F91429"/>
    <w:rsid w:val="00F9144E"/>
    <w:rsid w:val="00F91BA7"/>
    <w:rsid w:val="00F91DDE"/>
    <w:rsid w:val="00F91F1F"/>
    <w:rsid w:val="00F923A4"/>
    <w:rsid w:val="00F92A4B"/>
    <w:rsid w:val="00F92CD9"/>
    <w:rsid w:val="00F931E7"/>
    <w:rsid w:val="00F932F4"/>
    <w:rsid w:val="00F93320"/>
    <w:rsid w:val="00F93358"/>
    <w:rsid w:val="00F93631"/>
    <w:rsid w:val="00F9385F"/>
    <w:rsid w:val="00F93D68"/>
    <w:rsid w:val="00F93F0C"/>
    <w:rsid w:val="00F942AA"/>
    <w:rsid w:val="00F94AEB"/>
    <w:rsid w:val="00F95334"/>
    <w:rsid w:val="00F95667"/>
    <w:rsid w:val="00F95BBE"/>
    <w:rsid w:val="00F95E57"/>
    <w:rsid w:val="00F95F36"/>
    <w:rsid w:val="00F962E3"/>
    <w:rsid w:val="00F96316"/>
    <w:rsid w:val="00F96351"/>
    <w:rsid w:val="00F964C5"/>
    <w:rsid w:val="00F96618"/>
    <w:rsid w:val="00F96744"/>
    <w:rsid w:val="00F97782"/>
    <w:rsid w:val="00FA0222"/>
    <w:rsid w:val="00FA0424"/>
    <w:rsid w:val="00FA0F69"/>
    <w:rsid w:val="00FA103D"/>
    <w:rsid w:val="00FA13C4"/>
    <w:rsid w:val="00FA19B0"/>
    <w:rsid w:val="00FA1BF7"/>
    <w:rsid w:val="00FA1F63"/>
    <w:rsid w:val="00FA20D3"/>
    <w:rsid w:val="00FA21D9"/>
    <w:rsid w:val="00FA23EF"/>
    <w:rsid w:val="00FA2961"/>
    <w:rsid w:val="00FA2A65"/>
    <w:rsid w:val="00FA30F1"/>
    <w:rsid w:val="00FA3CF5"/>
    <w:rsid w:val="00FA4251"/>
    <w:rsid w:val="00FA438B"/>
    <w:rsid w:val="00FA46D7"/>
    <w:rsid w:val="00FA48C1"/>
    <w:rsid w:val="00FA5511"/>
    <w:rsid w:val="00FA5513"/>
    <w:rsid w:val="00FA551B"/>
    <w:rsid w:val="00FA551F"/>
    <w:rsid w:val="00FA5A1C"/>
    <w:rsid w:val="00FA5FE6"/>
    <w:rsid w:val="00FA65B2"/>
    <w:rsid w:val="00FA6654"/>
    <w:rsid w:val="00FA66B4"/>
    <w:rsid w:val="00FA6852"/>
    <w:rsid w:val="00FA700A"/>
    <w:rsid w:val="00FA7975"/>
    <w:rsid w:val="00FB0EA5"/>
    <w:rsid w:val="00FB190E"/>
    <w:rsid w:val="00FB19FA"/>
    <w:rsid w:val="00FB1D5F"/>
    <w:rsid w:val="00FB1E84"/>
    <w:rsid w:val="00FB1F47"/>
    <w:rsid w:val="00FB1FEB"/>
    <w:rsid w:val="00FB2667"/>
    <w:rsid w:val="00FB269C"/>
    <w:rsid w:val="00FB2BBE"/>
    <w:rsid w:val="00FB336A"/>
    <w:rsid w:val="00FB33A2"/>
    <w:rsid w:val="00FB3582"/>
    <w:rsid w:val="00FB38BC"/>
    <w:rsid w:val="00FB3AFC"/>
    <w:rsid w:val="00FB3B24"/>
    <w:rsid w:val="00FB3DE9"/>
    <w:rsid w:val="00FB44EA"/>
    <w:rsid w:val="00FB4B8F"/>
    <w:rsid w:val="00FB4BC7"/>
    <w:rsid w:val="00FB5163"/>
    <w:rsid w:val="00FB58BD"/>
    <w:rsid w:val="00FB62E7"/>
    <w:rsid w:val="00FB66EE"/>
    <w:rsid w:val="00FB6BEC"/>
    <w:rsid w:val="00FB6C73"/>
    <w:rsid w:val="00FB7263"/>
    <w:rsid w:val="00FB7306"/>
    <w:rsid w:val="00FB7520"/>
    <w:rsid w:val="00FB77AE"/>
    <w:rsid w:val="00FB7886"/>
    <w:rsid w:val="00FB7BFD"/>
    <w:rsid w:val="00FB7D73"/>
    <w:rsid w:val="00FB7DCF"/>
    <w:rsid w:val="00FB7E2B"/>
    <w:rsid w:val="00FB7E9E"/>
    <w:rsid w:val="00FC012F"/>
    <w:rsid w:val="00FC0CD7"/>
    <w:rsid w:val="00FC0E4E"/>
    <w:rsid w:val="00FC0E6F"/>
    <w:rsid w:val="00FC126D"/>
    <w:rsid w:val="00FC12E7"/>
    <w:rsid w:val="00FC1A44"/>
    <w:rsid w:val="00FC1DA7"/>
    <w:rsid w:val="00FC1E5A"/>
    <w:rsid w:val="00FC21B3"/>
    <w:rsid w:val="00FC2240"/>
    <w:rsid w:val="00FC2451"/>
    <w:rsid w:val="00FC2862"/>
    <w:rsid w:val="00FC2E1B"/>
    <w:rsid w:val="00FC2FDC"/>
    <w:rsid w:val="00FC31DB"/>
    <w:rsid w:val="00FC3768"/>
    <w:rsid w:val="00FC3987"/>
    <w:rsid w:val="00FC4570"/>
    <w:rsid w:val="00FC45EA"/>
    <w:rsid w:val="00FC4CEC"/>
    <w:rsid w:val="00FC563F"/>
    <w:rsid w:val="00FC588B"/>
    <w:rsid w:val="00FC58CF"/>
    <w:rsid w:val="00FC59BE"/>
    <w:rsid w:val="00FC5AD2"/>
    <w:rsid w:val="00FC5E99"/>
    <w:rsid w:val="00FC6B4B"/>
    <w:rsid w:val="00FC6FB5"/>
    <w:rsid w:val="00FC70BD"/>
    <w:rsid w:val="00FC73A0"/>
    <w:rsid w:val="00FC73CA"/>
    <w:rsid w:val="00FC79F3"/>
    <w:rsid w:val="00FC7C56"/>
    <w:rsid w:val="00FC7F50"/>
    <w:rsid w:val="00FC7F9B"/>
    <w:rsid w:val="00FD06C2"/>
    <w:rsid w:val="00FD0ABE"/>
    <w:rsid w:val="00FD0D9E"/>
    <w:rsid w:val="00FD152A"/>
    <w:rsid w:val="00FD1544"/>
    <w:rsid w:val="00FD1C1F"/>
    <w:rsid w:val="00FD1D19"/>
    <w:rsid w:val="00FD2C1C"/>
    <w:rsid w:val="00FD2F00"/>
    <w:rsid w:val="00FD2F2A"/>
    <w:rsid w:val="00FD317C"/>
    <w:rsid w:val="00FD397C"/>
    <w:rsid w:val="00FD3E57"/>
    <w:rsid w:val="00FD3F9F"/>
    <w:rsid w:val="00FD405A"/>
    <w:rsid w:val="00FD4394"/>
    <w:rsid w:val="00FD4490"/>
    <w:rsid w:val="00FD456A"/>
    <w:rsid w:val="00FD4A76"/>
    <w:rsid w:val="00FD4B30"/>
    <w:rsid w:val="00FD4DC9"/>
    <w:rsid w:val="00FD54A4"/>
    <w:rsid w:val="00FD5537"/>
    <w:rsid w:val="00FD5C29"/>
    <w:rsid w:val="00FD6746"/>
    <w:rsid w:val="00FD6AFC"/>
    <w:rsid w:val="00FD7381"/>
    <w:rsid w:val="00FD7407"/>
    <w:rsid w:val="00FD7559"/>
    <w:rsid w:val="00FD7616"/>
    <w:rsid w:val="00FD7765"/>
    <w:rsid w:val="00FD7804"/>
    <w:rsid w:val="00FD78D0"/>
    <w:rsid w:val="00FE0846"/>
    <w:rsid w:val="00FE08F9"/>
    <w:rsid w:val="00FE0A10"/>
    <w:rsid w:val="00FE0F1F"/>
    <w:rsid w:val="00FE1139"/>
    <w:rsid w:val="00FE148D"/>
    <w:rsid w:val="00FE150D"/>
    <w:rsid w:val="00FE1576"/>
    <w:rsid w:val="00FE157A"/>
    <w:rsid w:val="00FE1BA3"/>
    <w:rsid w:val="00FE1D1B"/>
    <w:rsid w:val="00FE22AC"/>
    <w:rsid w:val="00FE338B"/>
    <w:rsid w:val="00FE3587"/>
    <w:rsid w:val="00FE3F7F"/>
    <w:rsid w:val="00FE4000"/>
    <w:rsid w:val="00FE457A"/>
    <w:rsid w:val="00FE480A"/>
    <w:rsid w:val="00FE4880"/>
    <w:rsid w:val="00FE4CA8"/>
    <w:rsid w:val="00FE5D81"/>
    <w:rsid w:val="00FE5F9C"/>
    <w:rsid w:val="00FE5FBE"/>
    <w:rsid w:val="00FE65F3"/>
    <w:rsid w:val="00FE6652"/>
    <w:rsid w:val="00FE74CA"/>
    <w:rsid w:val="00FE7669"/>
    <w:rsid w:val="00FE7CB0"/>
    <w:rsid w:val="00FE7D77"/>
    <w:rsid w:val="00FF0541"/>
    <w:rsid w:val="00FF0655"/>
    <w:rsid w:val="00FF071C"/>
    <w:rsid w:val="00FF07AB"/>
    <w:rsid w:val="00FF0842"/>
    <w:rsid w:val="00FF0A2C"/>
    <w:rsid w:val="00FF0FFF"/>
    <w:rsid w:val="00FF10C9"/>
    <w:rsid w:val="00FF1451"/>
    <w:rsid w:val="00FF1506"/>
    <w:rsid w:val="00FF1671"/>
    <w:rsid w:val="00FF23C6"/>
    <w:rsid w:val="00FF241F"/>
    <w:rsid w:val="00FF2C6C"/>
    <w:rsid w:val="00FF3D3A"/>
    <w:rsid w:val="00FF3EF6"/>
    <w:rsid w:val="00FF40BF"/>
    <w:rsid w:val="00FF44D6"/>
    <w:rsid w:val="00FF458C"/>
    <w:rsid w:val="00FF5339"/>
    <w:rsid w:val="00FF6482"/>
    <w:rsid w:val="00FF64D5"/>
    <w:rsid w:val="00FF678D"/>
    <w:rsid w:val="00FF7014"/>
    <w:rsid w:val="00FF73EB"/>
    <w:rsid w:val="00FF76D1"/>
    <w:rsid w:val="00FF7E3B"/>
    <w:rsid w:val="27CD9AC1"/>
    <w:rsid w:val="37FF9E3B"/>
    <w:rsid w:val="3BC7635F"/>
    <w:rsid w:val="3FF7F6D5"/>
    <w:rsid w:val="4BFDA1C0"/>
    <w:rsid w:val="4F77C7BD"/>
    <w:rsid w:val="53FF3A33"/>
    <w:rsid w:val="567FFEB5"/>
    <w:rsid w:val="63DF62C4"/>
    <w:rsid w:val="72DFA3CE"/>
    <w:rsid w:val="7EBFD909"/>
    <w:rsid w:val="7EE6B8C0"/>
    <w:rsid w:val="7F2F123D"/>
    <w:rsid w:val="7FBDD5B9"/>
    <w:rsid w:val="7FEC22AB"/>
    <w:rsid w:val="7FFAAC2F"/>
    <w:rsid w:val="7FFF6F36"/>
    <w:rsid w:val="9FFFB42F"/>
    <w:rsid w:val="A7F3D8A2"/>
    <w:rsid w:val="AAF721A4"/>
    <w:rsid w:val="BCA905D8"/>
    <w:rsid w:val="BCFF0F61"/>
    <w:rsid w:val="CD9FDD01"/>
    <w:rsid w:val="E766961A"/>
    <w:rsid w:val="EDE7EF13"/>
    <w:rsid w:val="EFF9D956"/>
    <w:rsid w:val="F7EF5DE9"/>
    <w:rsid w:val="F7FF3073"/>
    <w:rsid w:val="F97F1500"/>
    <w:rsid w:val="F9DFE762"/>
    <w:rsid w:val="FE778BCF"/>
    <w:rsid w:val="FE93679E"/>
    <w:rsid w:val="FEB06748"/>
    <w:rsid w:val="FEBEE75D"/>
    <w:rsid w:val="FFE5B5D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楷体_GB2312" w:cs="Times New Roman"/>
      <w:kern w:val="2"/>
      <w:sz w:val="21"/>
      <w:szCs w:val="24"/>
      <w:lang w:val="en-US" w:eastAsia="zh-CN" w:bidi="ar-SA"/>
    </w:rPr>
  </w:style>
  <w:style w:type="paragraph" w:styleId="2">
    <w:name w:val="heading 1"/>
    <w:basedOn w:val="1"/>
    <w:next w:val="1"/>
    <w:link w:val="5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6"/>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link w:val="6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55"/>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character" w:default="1" w:styleId="18">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6">
    <w:name w:val="Balloon Text"/>
    <w:basedOn w:val="1"/>
    <w:link w:val="57"/>
    <w:unhideWhenUsed/>
    <w:qFormat/>
    <w:uiPriority w:val="99"/>
    <w:rPr>
      <w:sz w:val="18"/>
      <w:szCs w:val="18"/>
    </w:rPr>
  </w:style>
  <w:style w:type="paragraph" w:styleId="7">
    <w:name w:val="Body Text"/>
    <w:basedOn w:val="1"/>
    <w:link w:val="53"/>
    <w:qFormat/>
    <w:uiPriority w:val="0"/>
    <w:pPr>
      <w:spacing w:after="120"/>
    </w:pPr>
  </w:style>
  <w:style w:type="paragraph" w:styleId="8">
    <w:name w:val="caption"/>
    <w:basedOn w:val="1"/>
    <w:next w:val="1"/>
    <w:unhideWhenUsed/>
    <w:qFormat/>
    <w:uiPriority w:val="35"/>
    <w:rPr>
      <w:rFonts w:ascii="等线 Light" w:hAnsi="等线 Light" w:eastAsia="黑体" w:cs="Times New Roman"/>
      <w:sz w:val="20"/>
      <w:szCs w:val="20"/>
    </w:rPr>
  </w:style>
  <w:style w:type="paragraph" w:styleId="9">
    <w:name w:val="annotation text"/>
    <w:basedOn w:val="1"/>
    <w:link w:val="50"/>
    <w:unhideWhenUsed/>
    <w:qFormat/>
    <w:uiPriority w:val="99"/>
    <w:pPr>
      <w:jc w:val="left"/>
    </w:pPr>
  </w:style>
  <w:style w:type="paragraph" w:styleId="10">
    <w:name w:val="annotation subject"/>
    <w:basedOn w:val="9"/>
    <w:next w:val="9"/>
    <w:link w:val="48"/>
    <w:unhideWhenUsed/>
    <w:qFormat/>
    <w:uiPriority w:val="99"/>
    <w:rPr>
      <w:b/>
      <w:bCs/>
    </w:rPr>
  </w:style>
  <w:style w:type="paragraph" w:styleId="11">
    <w:name w:val="footer"/>
    <w:basedOn w:val="1"/>
    <w:link w:val="51"/>
    <w:unhideWhenUsed/>
    <w:qFormat/>
    <w:uiPriority w:val="99"/>
    <w:pPr>
      <w:tabs>
        <w:tab w:val="center" w:pos="4153"/>
        <w:tab w:val="right" w:pos="8306"/>
      </w:tabs>
      <w:snapToGrid w:val="0"/>
      <w:jc w:val="left"/>
    </w:pPr>
    <w:rPr>
      <w:sz w:val="18"/>
      <w:szCs w:val="18"/>
    </w:rPr>
  </w:style>
  <w:style w:type="paragraph" w:styleId="12">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Normal (Web)"/>
    <w:basedOn w:val="1"/>
    <w:unhideWhenUsed/>
    <w:qFormat/>
    <w:uiPriority w:val="99"/>
    <w:pPr>
      <w:widowControl/>
      <w:spacing w:before="100" w:beforeAutospacing="1" w:after="100" w:afterAutospacing="1"/>
      <w:jc w:val="left"/>
    </w:pPr>
    <w:rPr>
      <w:rFonts w:ascii="SimSun" w:hAnsi="SimSun" w:eastAsia="SimSun" w:cs="SimSun"/>
      <w:kern w:val="0"/>
      <w:sz w:val="24"/>
    </w:rPr>
  </w:style>
  <w:style w:type="paragraph" w:styleId="14">
    <w:name w:val="table of figures"/>
    <w:basedOn w:val="15"/>
    <w:next w:val="1"/>
    <w:link w:val="49"/>
    <w:unhideWhenUsed/>
    <w:qFormat/>
    <w:uiPriority w:val="99"/>
    <w:pPr>
      <w:tabs>
        <w:tab w:val="right" w:leader="dot" w:pos="8644"/>
        <w:tab w:val="right" w:leader="dot" w:pos="10649"/>
      </w:tabs>
    </w:pPr>
    <w:rPr>
      <w:b w:val="0"/>
      <w:kern w:val="0"/>
      <w:sz w:val="20"/>
    </w:rPr>
  </w:style>
  <w:style w:type="paragraph" w:styleId="15">
    <w:name w:val="toc 1"/>
    <w:basedOn w:val="1"/>
    <w:next w:val="1"/>
    <w:qFormat/>
    <w:uiPriority w:val="39"/>
    <w:pPr>
      <w:tabs>
        <w:tab w:val="right" w:leader="dot" w:pos="8644"/>
        <w:tab w:val="right" w:leader="dot" w:pos="10649"/>
      </w:tabs>
      <w:kinsoku w:val="0"/>
      <w:spacing w:line="400" w:lineRule="exact"/>
      <w:ind w:left="1050" w:leftChars="500"/>
      <w:jc w:val="right"/>
    </w:pPr>
    <w:rPr>
      <w:rFonts w:cs="Arial"/>
      <w:b/>
      <w:bCs/>
      <w:color w:val="000000"/>
    </w:rPr>
  </w:style>
  <w:style w:type="paragraph" w:styleId="16">
    <w:name w:val="toc 2"/>
    <w:basedOn w:val="1"/>
    <w:next w:val="1"/>
    <w:qFormat/>
    <w:uiPriority w:val="39"/>
    <w:pPr>
      <w:tabs>
        <w:tab w:val="right" w:leader="dot" w:pos="8931"/>
        <w:tab w:val="right" w:leader="dot" w:pos="10649"/>
      </w:tabs>
      <w:ind w:left="1785" w:leftChars="850"/>
      <w:jc w:val="right"/>
    </w:pPr>
  </w:style>
  <w:style w:type="paragraph" w:styleId="17">
    <w:name w:val="toc 3"/>
    <w:basedOn w:val="1"/>
    <w:next w:val="1"/>
    <w:unhideWhenUsed/>
    <w:qFormat/>
    <w:uiPriority w:val="39"/>
    <w:pPr>
      <w:ind w:left="840" w:leftChars="400"/>
    </w:pPr>
  </w:style>
  <w:style w:type="character" w:styleId="19">
    <w:name w:val="annotation reference"/>
    <w:unhideWhenUsed/>
    <w:qFormat/>
    <w:uiPriority w:val="99"/>
    <w:rPr>
      <w:sz w:val="21"/>
      <w:szCs w:val="21"/>
    </w:rPr>
  </w:style>
  <w:style w:type="character" w:styleId="20">
    <w:name w:val="Hyperlink"/>
    <w:unhideWhenUsed/>
    <w:qFormat/>
    <w:uiPriority w:val="99"/>
    <w:rPr>
      <w:color w:val="0000FF"/>
      <w:u w:val="single"/>
    </w:rPr>
  </w:style>
  <w:style w:type="character" w:styleId="21">
    <w:name w:val="Strong"/>
    <w:qFormat/>
    <w:uiPriority w:val="22"/>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4">
    <w:name w:val="齐鲁业绩预测年份"/>
    <w:basedOn w:val="1"/>
    <w:qFormat/>
    <w:uiPriority w:val="0"/>
    <w:pPr>
      <w:jc w:val="right"/>
    </w:pPr>
    <w:rPr>
      <w:b/>
    </w:rPr>
  </w:style>
  <w:style w:type="paragraph" w:customStyle="1" w:styleId="25">
    <w:name w:val="齐鲁首页表头名称"/>
    <w:basedOn w:val="1"/>
    <w:qFormat/>
    <w:uiPriority w:val="0"/>
    <w:rPr>
      <w:rFonts w:ascii="楷体_GB2312"/>
      <w:b/>
      <w:sz w:val="24"/>
    </w:rPr>
  </w:style>
  <w:style w:type="paragraph" w:customStyle="1" w:styleId="26">
    <w:name w:val="样式3"/>
    <w:basedOn w:val="1"/>
    <w:qFormat/>
    <w:uiPriority w:val="0"/>
    <w:pPr>
      <w:tabs>
        <w:tab w:val="right" w:leader="dot" w:pos="12424"/>
      </w:tabs>
      <w:ind w:left="2625" w:leftChars="1250"/>
      <w:jc w:val="left"/>
      <w:outlineLvl w:val="0"/>
    </w:pPr>
    <w:rPr>
      <w:rFonts w:eastAsia="楷体" w:cs="Arial"/>
      <w:b/>
      <w:bCs/>
      <w:color w:val="000000"/>
      <w:sz w:val="28"/>
      <w:szCs w:val="32"/>
    </w:rPr>
  </w:style>
  <w:style w:type="paragraph" w:customStyle="1" w:styleId="27">
    <w:name w:val="图表样式"/>
    <w:basedOn w:val="1"/>
    <w:qFormat/>
    <w:uiPriority w:val="0"/>
    <w:pPr>
      <w:keepNext/>
    </w:pPr>
    <w:rPr>
      <w:rFonts w:eastAsia="楷体" w:cs="Arial"/>
      <w:b/>
      <w:bCs/>
      <w:i/>
      <w:color w:val="000000"/>
      <w:sz w:val="20"/>
    </w:rPr>
  </w:style>
  <w:style w:type="paragraph" w:customStyle="1" w:styleId="28">
    <w:name w:val="齐鲁首页指标数据"/>
    <w:basedOn w:val="1"/>
    <w:qFormat/>
    <w:uiPriority w:val="0"/>
    <w:pPr>
      <w:jc w:val="right"/>
    </w:pPr>
    <w:rPr>
      <w:sz w:val="18"/>
      <w:szCs w:val="18"/>
    </w:rPr>
  </w:style>
  <w:style w:type="paragraph" w:customStyle="1" w:styleId="29">
    <w:name w:val="齐鲁报告类型右"/>
    <w:basedOn w:val="1"/>
    <w:qFormat/>
    <w:uiPriority w:val="0"/>
    <w:pPr>
      <w:framePr w:hSpace="180" w:wrap="around" w:vAnchor="text" w:hAnchor="margin" w:y="-161"/>
      <w:jc w:val="right"/>
    </w:pPr>
    <w:rPr>
      <w:rFonts w:ascii="楷体_GB2312"/>
      <w:b/>
      <w:color w:val="FFFFFF"/>
      <w:sz w:val="28"/>
      <w:szCs w:val="28"/>
    </w:rPr>
  </w:style>
  <w:style w:type="paragraph" w:customStyle="1" w:styleId="30">
    <w:name w:val="齐鲁页脚"/>
    <w:basedOn w:val="1"/>
    <w:qFormat/>
    <w:uiPriority w:val="0"/>
    <w:pPr>
      <w:ind w:right="-56"/>
      <w:jc w:val="right"/>
    </w:pPr>
    <w:rPr>
      <w:rFonts w:ascii="楷体_GB2312"/>
      <w:b/>
    </w:rPr>
  </w:style>
  <w:style w:type="paragraph" w:customStyle="1" w:styleId="31">
    <w:name w:val="齐鲁页眉"/>
    <w:basedOn w:val="1"/>
    <w:qFormat/>
    <w:uiPriority w:val="0"/>
    <w:pPr>
      <w:ind w:right="105"/>
      <w:jc w:val="right"/>
    </w:pPr>
    <w:rPr>
      <w:rFonts w:ascii="楷体_GB2312"/>
      <w:b/>
    </w:rPr>
  </w:style>
  <w:style w:type="paragraph" w:customStyle="1" w:styleId="32">
    <w:name w:val="二级标题三"/>
    <w:basedOn w:val="7"/>
    <w:qFormat/>
    <w:uiPriority w:val="0"/>
    <w:pPr>
      <w:widowControl/>
      <w:numPr>
        <w:ilvl w:val="0"/>
        <w:numId w:val="1"/>
      </w:numPr>
      <w:spacing w:line="240" w:lineRule="exact"/>
    </w:pPr>
  </w:style>
  <w:style w:type="paragraph" w:customStyle="1" w:styleId="33">
    <w:name w:val="样式2"/>
    <w:basedOn w:val="34"/>
    <w:qFormat/>
    <w:uiPriority w:val="0"/>
    <w:pPr>
      <w:widowControl/>
      <w:numPr>
        <w:ilvl w:val="0"/>
        <w:numId w:val="2"/>
      </w:numPr>
      <w:ind w:left="777" w:firstLine="0" w:firstLineChars="0"/>
      <w:jc w:val="left"/>
      <w:outlineLvl w:val="1"/>
    </w:pPr>
    <w:rPr>
      <w:rFonts w:ascii="楷体" w:hAnsi="楷体" w:eastAsia="楷体" w:cs="SimSun"/>
      <w:b/>
      <w:bCs/>
      <w:kern w:val="0"/>
      <w:sz w:val="22"/>
      <w:szCs w:val="22"/>
    </w:rPr>
  </w:style>
  <w:style w:type="paragraph" w:customStyle="1" w:styleId="34">
    <w:name w:val="_Style 33"/>
    <w:basedOn w:val="1"/>
    <w:qFormat/>
    <w:uiPriority w:val="34"/>
    <w:pPr>
      <w:ind w:firstLine="420" w:firstLineChars="200"/>
    </w:pPr>
  </w:style>
  <w:style w:type="paragraph" w:customStyle="1" w:styleId="35">
    <w:name w:val="齐鲁模板标题2"/>
    <w:basedOn w:val="1"/>
    <w:link w:val="52"/>
    <w:qFormat/>
    <w:uiPriority w:val="0"/>
    <w:pPr>
      <w:tabs>
        <w:tab w:val="right" w:leader="dot" w:pos="12424"/>
      </w:tabs>
      <w:spacing w:before="100" w:beforeAutospacing="1" w:after="100" w:afterAutospacing="1" w:line="240" w:lineRule="exact"/>
      <w:ind w:left="2940" w:leftChars="1400"/>
      <w:jc w:val="left"/>
      <w:outlineLvl w:val="1"/>
    </w:pPr>
    <w:rPr>
      <w:b/>
      <w:bCs/>
      <w:szCs w:val="32"/>
    </w:rPr>
  </w:style>
  <w:style w:type="paragraph" w:customStyle="1" w:styleId="36">
    <w:name w:val="样式4"/>
    <w:basedOn w:val="34"/>
    <w:qFormat/>
    <w:uiPriority w:val="0"/>
    <w:pPr>
      <w:widowControl/>
      <w:numPr>
        <w:ilvl w:val="0"/>
        <w:numId w:val="3"/>
      </w:numPr>
      <w:ind w:firstLine="0" w:firstLineChars="0"/>
      <w:jc w:val="left"/>
      <w:outlineLvl w:val="2"/>
    </w:pPr>
    <w:rPr>
      <w:rFonts w:ascii="楷体" w:hAnsi="楷体" w:eastAsia="楷体" w:cs="SimSun"/>
      <w:b/>
      <w:bCs/>
      <w:kern w:val="0"/>
      <w:sz w:val="20"/>
      <w:szCs w:val="20"/>
    </w:rPr>
  </w:style>
  <w:style w:type="paragraph" w:customStyle="1" w:styleId="37">
    <w:name w:val="Default"/>
    <w:qFormat/>
    <w:uiPriority w:val="0"/>
    <w:pPr>
      <w:widowControl w:val="0"/>
      <w:autoSpaceDE w:val="0"/>
      <w:autoSpaceDN w:val="0"/>
      <w:adjustRightInd w:val="0"/>
    </w:pPr>
    <w:rPr>
      <w:rFonts w:ascii="KaiTi" w:hAnsi="KaiTi" w:eastAsia="SimSun" w:cs="KaiTi"/>
      <w:color w:val="000000"/>
      <w:sz w:val="24"/>
      <w:szCs w:val="24"/>
      <w:lang w:val="en-US" w:eastAsia="zh-CN" w:bidi="ar-SA"/>
    </w:rPr>
  </w:style>
  <w:style w:type="paragraph" w:customStyle="1" w:styleId="38">
    <w:name w:val="TemplateDir"/>
    <w:basedOn w:val="7"/>
    <w:next w:val="15"/>
    <w:qFormat/>
    <w:uiPriority w:val="0"/>
    <w:pPr>
      <w:tabs>
        <w:tab w:val="right" w:pos="12424"/>
      </w:tabs>
      <w:spacing w:line="480" w:lineRule="exact"/>
      <w:ind w:left="2205" w:leftChars="1050"/>
      <w:jc w:val="left"/>
    </w:pPr>
    <w:rPr>
      <w:rFonts w:cs="Arial"/>
      <w:b/>
      <w:sz w:val="28"/>
      <w:szCs w:val="21"/>
    </w:rPr>
  </w:style>
  <w:style w:type="paragraph" w:customStyle="1" w:styleId="39">
    <w:name w:val="齐鲁股票类型"/>
    <w:basedOn w:val="1"/>
    <w:qFormat/>
    <w:uiPriority w:val="0"/>
    <w:pPr>
      <w:jc w:val="center"/>
    </w:pPr>
    <w:rPr>
      <w:rFonts w:ascii="楷体_GB2312" w:hAnsi="SimSun"/>
      <w:b/>
      <w:bCs/>
      <w:sz w:val="32"/>
      <w:szCs w:val="32"/>
    </w:rPr>
  </w:style>
  <w:style w:type="paragraph" w:customStyle="1" w:styleId="40">
    <w:name w:val="齐鲁投资要点一"/>
    <w:basedOn w:val="1"/>
    <w:qFormat/>
    <w:uiPriority w:val="0"/>
    <w:pPr>
      <w:numPr>
        <w:ilvl w:val="0"/>
        <w:numId w:val="4"/>
      </w:numPr>
      <w:spacing w:before="156" w:beforeLines="50" w:after="156" w:afterLines="50" w:line="200" w:lineRule="atLeast"/>
    </w:pPr>
    <w:rPr>
      <w:rFonts w:cs="Arial"/>
      <w:b/>
      <w:color w:val="000000"/>
      <w:szCs w:val="21"/>
    </w:rPr>
  </w:style>
  <w:style w:type="paragraph" w:customStyle="1" w:styleId="41">
    <w:name w:val="样式1"/>
    <w:basedOn w:val="34"/>
    <w:qFormat/>
    <w:uiPriority w:val="0"/>
    <w:pPr>
      <w:widowControl/>
      <w:numPr>
        <w:ilvl w:val="0"/>
        <w:numId w:val="5"/>
      </w:numPr>
      <w:ind w:firstLine="0" w:firstLineChars="0"/>
      <w:jc w:val="left"/>
      <w:outlineLvl w:val="0"/>
    </w:pPr>
    <w:rPr>
      <w:rFonts w:ascii="楷体" w:hAnsi="楷体" w:eastAsia="楷体" w:cs="SimSun"/>
      <w:b/>
      <w:bCs/>
      <w:kern w:val="0"/>
      <w:sz w:val="24"/>
    </w:rPr>
  </w:style>
  <w:style w:type="paragraph" w:customStyle="1" w:styleId="42">
    <w:name w:val="齐鲁投资要点二"/>
    <w:basedOn w:val="1"/>
    <w:qFormat/>
    <w:uiPriority w:val="0"/>
    <w:pPr>
      <w:tabs>
        <w:tab w:val="left" w:pos="840"/>
      </w:tabs>
      <w:spacing w:before="156" w:beforeLines="50" w:after="156" w:afterLines="50" w:line="240" w:lineRule="exact"/>
      <w:ind w:left="840" w:hanging="420"/>
    </w:pPr>
    <w:rPr>
      <w:rFonts w:cs="SimSun"/>
      <w:szCs w:val="20"/>
    </w:rPr>
  </w:style>
  <w:style w:type="paragraph" w:customStyle="1" w:styleId="43">
    <w:name w:val="齐鲁报告类型左"/>
    <w:basedOn w:val="1"/>
    <w:qFormat/>
    <w:uiPriority w:val="0"/>
    <w:pPr>
      <w:framePr w:hSpace="180" w:wrap="around" w:vAnchor="text" w:hAnchor="margin" w:y="-161"/>
    </w:pPr>
    <w:rPr>
      <w:rFonts w:ascii="楷体_GB2312"/>
      <w:b/>
      <w:color w:val="FFFFFF"/>
      <w:sz w:val="28"/>
      <w:szCs w:val="28"/>
    </w:rPr>
  </w:style>
  <w:style w:type="character" w:customStyle="1" w:styleId="44">
    <w:name w:val="齐鲁基本状况及作者"/>
    <w:qFormat/>
    <w:uiPriority w:val="0"/>
    <w:rPr>
      <w:rFonts w:ascii="Arial" w:hAnsi="Arial" w:eastAsia="楷体_GB2312"/>
      <w:sz w:val="18"/>
      <w:szCs w:val="18"/>
    </w:rPr>
  </w:style>
  <w:style w:type="character" w:customStyle="1" w:styleId="45">
    <w:name w:val="页眉 Char"/>
    <w:link w:val="12"/>
    <w:qFormat/>
    <w:uiPriority w:val="99"/>
    <w:rPr>
      <w:sz w:val="18"/>
      <w:szCs w:val="18"/>
    </w:rPr>
  </w:style>
  <w:style w:type="character" w:customStyle="1" w:styleId="46">
    <w:name w:val="font01"/>
    <w:qFormat/>
    <w:uiPriority w:val="0"/>
    <w:rPr>
      <w:rFonts w:hint="eastAsia" w:ascii="方正楷体_GBK" w:hAnsi="方正楷体_GBK" w:eastAsia="方正楷体_GBK" w:cs="方正楷体_GBK"/>
      <w:color w:val="000000"/>
      <w:sz w:val="18"/>
      <w:szCs w:val="18"/>
      <w:u w:val="none"/>
    </w:rPr>
  </w:style>
  <w:style w:type="character" w:customStyle="1" w:styleId="47">
    <w:name w:val="apple-converted-space"/>
    <w:qFormat/>
    <w:uiPriority w:val="0"/>
  </w:style>
  <w:style w:type="character" w:customStyle="1" w:styleId="48">
    <w:name w:val="批注主题 字符"/>
    <w:link w:val="10"/>
    <w:semiHidden/>
    <w:qFormat/>
    <w:uiPriority w:val="99"/>
    <w:rPr>
      <w:rFonts w:ascii="Arial" w:hAnsi="Arial" w:eastAsia="楷体_GB2312"/>
      <w:b/>
      <w:bCs/>
      <w:kern w:val="2"/>
      <w:sz w:val="21"/>
      <w:szCs w:val="24"/>
    </w:rPr>
  </w:style>
  <w:style w:type="character" w:customStyle="1" w:styleId="49">
    <w:name w:val="图表目录 Char"/>
    <w:link w:val="14"/>
    <w:semiHidden/>
    <w:qFormat/>
    <w:locked/>
    <w:uiPriority w:val="99"/>
    <w:rPr>
      <w:rFonts w:ascii="Arial" w:hAnsi="Arial" w:eastAsia="楷体_GB2312" w:cs="Arial"/>
      <w:bCs/>
      <w:color w:val="000000"/>
      <w:szCs w:val="24"/>
    </w:rPr>
  </w:style>
  <w:style w:type="character" w:customStyle="1" w:styleId="50">
    <w:name w:val="批注文字 字符"/>
    <w:link w:val="9"/>
    <w:semiHidden/>
    <w:qFormat/>
    <w:uiPriority w:val="99"/>
    <w:rPr>
      <w:rFonts w:ascii="Arial" w:hAnsi="Arial" w:eastAsia="楷体_GB2312"/>
      <w:kern w:val="2"/>
      <w:sz w:val="21"/>
      <w:szCs w:val="24"/>
    </w:rPr>
  </w:style>
  <w:style w:type="character" w:customStyle="1" w:styleId="51">
    <w:name w:val="页脚 Char"/>
    <w:link w:val="11"/>
    <w:qFormat/>
    <w:uiPriority w:val="99"/>
    <w:rPr>
      <w:sz w:val="18"/>
      <w:szCs w:val="18"/>
    </w:rPr>
  </w:style>
  <w:style w:type="character" w:customStyle="1" w:styleId="52">
    <w:name w:val="齐鲁模板标题2 Char"/>
    <w:link w:val="35"/>
    <w:qFormat/>
    <w:uiPriority w:val="0"/>
    <w:rPr>
      <w:rFonts w:ascii="Arial" w:hAnsi="Arial" w:eastAsia="楷体_GB2312" w:cs="Times New Roman"/>
      <w:b/>
      <w:bCs/>
      <w:szCs w:val="32"/>
    </w:rPr>
  </w:style>
  <w:style w:type="character" w:customStyle="1" w:styleId="53">
    <w:name w:val="正文文本 Char"/>
    <w:link w:val="7"/>
    <w:qFormat/>
    <w:uiPriority w:val="0"/>
    <w:rPr>
      <w:rFonts w:ascii="Arial" w:hAnsi="Arial" w:eastAsia="楷体_GB2312" w:cs="Times New Roman"/>
      <w:szCs w:val="24"/>
    </w:rPr>
  </w:style>
  <w:style w:type="character" w:customStyle="1" w:styleId="54">
    <w:name w:val="_Style 53"/>
    <w:unhideWhenUsed/>
    <w:qFormat/>
    <w:uiPriority w:val="99"/>
    <w:rPr>
      <w:color w:val="605E5C"/>
      <w:shd w:val="clear" w:color="auto" w:fill="E1DFDD"/>
    </w:rPr>
  </w:style>
  <w:style w:type="character" w:customStyle="1" w:styleId="55">
    <w:name w:val="标题 4 字符"/>
    <w:link w:val="5"/>
    <w:semiHidden/>
    <w:qFormat/>
    <w:uiPriority w:val="9"/>
    <w:rPr>
      <w:rFonts w:ascii="等线 Light" w:hAnsi="等线 Light" w:eastAsia="等线 Light" w:cs="Times New Roman"/>
      <w:b/>
      <w:bCs/>
      <w:kern w:val="2"/>
      <w:sz w:val="28"/>
      <w:szCs w:val="28"/>
    </w:rPr>
  </w:style>
  <w:style w:type="character" w:customStyle="1" w:styleId="56">
    <w:name w:val="标题 2 字符"/>
    <w:link w:val="3"/>
    <w:semiHidden/>
    <w:qFormat/>
    <w:uiPriority w:val="9"/>
    <w:rPr>
      <w:rFonts w:ascii="等线 Light" w:hAnsi="等线 Light" w:eastAsia="等线 Light" w:cs="Times New Roman"/>
      <w:b/>
      <w:bCs/>
      <w:kern w:val="2"/>
      <w:sz w:val="32"/>
      <w:szCs w:val="32"/>
    </w:rPr>
  </w:style>
  <w:style w:type="character" w:customStyle="1" w:styleId="57">
    <w:name w:val="批注框文本 Char"/>
    <w:link w:val="6"/>
    <w:semiHidden/>
    <w:qFormat/>
    <w:uiPriority w:val="99"/>
    <w:rPr>
      <w:rFonts w:ascii="Arial" w:hAnsi="Arial" w:eastAsia="楷体_GB2312"/>
      <w:kern w:val="2"/>
      <w:sz w:val="18"/>
      <w:szCs w:val="18"/>
    </w:rPr>
  </w:style>
  <w:style w:type="character" w:customStyle="1" w:styleId="58">
    <w:name w:val="font11"/>
    <w:qFormat/>
    <w:uiPriority w:val="0"/>
    <w:rPr>
      <w:rFonts w:hint="eastAsia" w:ascii="方正楷体_GBK" w:hAnsi="方正楷体_GBK" w:eastAsia="方正楷体_GBK" w:cs="方正楷体_GBK"/>
      <w:color w:val="000000"/>
      <w:sz w:val="20"/>
      <w:szCs w:val="20"/>
      <w:u w:val="none"/>
    </w:rPr>
  </w:style>
  <w:style w:type="character" w:customStyle="1" w:styleId="59">
    <w:name w:val="标题 1 字符"/>
    <w:link w:val="2"/>
    <w:qFormat/>
    <w:uiPriority w:val="9"/>
    <w:rPr>
      <w:rFonts w:ascii="Arial" w:hAnsi="Arial" w:eastAsia="楷体_GB2312"/>
      <w:b/>
      <w:bCs/>
      <w:kern w:val="44"/>
      <w:sz w:val="44"/>
      <w:szCs w:val="44"/>
    </w:rPr>
  </w:style>
  <w:style w:type="character" w:customStyle="1" w:styleId="60">
    <w:name w:val="标题 3 字符"/>
    <w:link w:val="4"/>
    <w:semiHidden/>
    <w:qFormat/>
    <w:uiPriority w:val="9"/>
    <w:rPr>
      <w:rFonts w:ascii="Arial" w:hAnsi="Arial" w:eastAsia="楷体_GB2312"/>
      <w:b/>
      <w:bCs/>
      <w:kern w:val="2"/>
      <w:sz w:val="32"/>
      <w:szCs w:val="32"/>
    </w:rPr>
  </w:style>
  <w:style w:type="character" w:customStyle="1" w:styleId="61">
    <w:name w:val="font41"/>
    <w:qFormat/>
    <w:uiPriority w:val="0"/>
    <w:rPr>
      <w:rFonts w:ascii="SimSun" w:hAnsi="SimSun" w:eastAsia="SimSun" w:cs="SimSun"/>
      <w:color w:val="000000"/>
      <w:sz w:val="18"/>
      <w:szCs w:val="18"/>
      <w:u w:val="none"/>
    </w:rPr>
  </w:style>
  <w:style w:type="table" w:customStyle="1" w:styleId="62">
    <w:name w:val="网格型1"/>
    <w:basedOn w:val="22"/>
    <w:qFormat/>
    <w:uiPriority w:val="5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5017</Words>
  <Characters>28600</Characters>
  <Lines>238</Lines>
  <Paragraphs>67</Paragraphs>
  <ScaleCrop>false</ScaleCrop>
  <LinksUpToDate>false</LinksUpToDate>
  <CharactersWithSpaces>33550</CharactersWithSpaces>
  <Application>WPS Office_3.8.0.6081_F1E327BC-269C-435d-A152-05C5408002CA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2020-05-27T18:36:00Z</dcterms:created>
  <dc:creator>user</dc:creator>
  <cp:lastModifiedBy>leon</cp:lastModifiedBy>
  <cp:lastPrinted>2019-12-26T01:10:00Z</cp:lastPrinted>
  <dcterms:modified xsi:type="dcterms:W3CDTF">2022-06-11T20:37:20Z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nkdocver">
    <vt:lpwstr>3</vt:lpwstr>
  </property>
  <property fmtid="{D5CDD505-2E9C-101B-9397-08002B2CF9AE}" pid="3" name="snkdocid">
    <vt:lpwstr>120510</vt:lpwstr>
  </property>
  <property fmtid="{D5CDD505-2E9C-101B-9397-08002B2CF9AE}" pid="4" name="WSURL">
    <vt:lpwstr>http://116.246.24.146:8220/</vt:lpwstr>
  </property>
  <property fmtid="{D5CDD505-2E9C-101B-9397-08002B2CF9AE}" pid="5" name="doctypeid">
    <vt:lpwstr>2</vt:lpwstr>
  </property>
  <property fmtid="{D5CDD505-2E9C-101B-9397-08002B2CF9AE}" pid="6" name="templateid">
    <vt:lpwstr>120510</vt:lpwstr>
  </property>
  <property fmtid="{D5CDD505-2E9C-101B-9397-08002B2CF9AE}" pid="7" name="templatetype">
    <vt:lpwstr>100034</vt:lpwstr>
  </property>
  <property fmtid="{D5CDD505-2E9C-101B-9397-08002B2CF9AE}" pid="8" name="researcherunitid">
    <vt:lpwstr>999000922</vt:lpwstr>
  </property>
  <property fmtid="{D5CDD505-2E9C-101B-9397-08002B2CF9AE}" pid="9" name="authorid2">
    <vt:lpwstr>8196</vt:lpwstr>
  </property>
  <property fmtid="{D5CDD505-2E9C-101B-9397-08002B2CF9AE}" pid="10" name="sname">
    <vt:lpwstr>��ԭ����</vt:lpwstr>
  </property>
  <property fmtid="{D5CDD505-2E9C-101B-9397-08002B2CF9AE}" pid="11" name="stype">
    <vt:lpwstr>2</vt:lpwstr>
  </property>
  <property fmtid="{D5CDD505-2E9C-101B-9397-08002B2CF9AE}" pid="12" name="emptype">
    <vt:lpwstr>����ʦ</vt:lpwstr>
  </property>
  <property fmtid="{D5CDD505-2E9C-101B-9397-08002B2CF9AE}" pid="13" name="hprice">
    <vt:lpwstr/>
  </property>
  <property fmtid="{D5CDD505-2E9C-101B-9397-08002B2CF9AE}" pid="14" name="scode">
    <vt:lpwstr>002448</vt:lpwstr>
  </property>
  <property fmtid="{D5CDD505-2E9C-101B-9397-08002B2CF9AE}" pid="15" name="authortype">
    <vt:lpwstr>����ʦ</vt:lpwstr>
  </property>
  <property fmtid="{D5CDD505-2E9C-101B-9397-08002B2CF9AE}" pid="16" name="qualityno">
    <vt:lpwstr>S0740510120005</vt:lpwstr>
  </property>
  <property fmtid="{D5CDD505-2E9C-101B-9397-08002B2CF9AE}" pid="17" name="targetprice">
    <vt:lpwstr/>
  </property>
  <property fmtid="{D5CDD505-2E9C-101B-9397-08002B2CF9AE}" pid="18" name="empid">
    <vt:lpwstr/>
  </property>
  <property fmtid="{D5CDD505-2E9C-101B-9397-08002B2CF9AE}" pid="19" name="lprice">
    <vt:lpwstr>34</vt:lpwstr>
  </property>
  <property fmtid="{D5CDD505-2E9C-101B-9397-08002B2CF9AE}" pid="20" name="authortypeid">
    <vt:lpwstr>0</vt:lpwstr>
  </property>
  <property fmtid="{D5CDD505-2E9C-101B-9397-08002B2CF9AE}" pid="21" name="authorname">
    <vt:lpwstr>л��</vt:lpwstr>
  </property>
  <property fmtid="{D5CDD505-2E9C-101B-9397-08002B2CF9AE}" pid="22" name="showauthorid">
    <vt:lpwstr/>
  </property>
  <property fmtid="{D5CDD505-2E9C-101B-9397-08002B2CF9AE}" pid="23" name="mktcode">
    <vt:lpwstr>2</vt:lpwstr>
  </property>
  <property fmtid="{D5CDD505-2E9C-101B-9397-08002B2CF9AE}" pid="24" name="investrankname">
    <vt:lpwstr>����</vt:lpwstr>
  </property>
  <property fmtid="{D5CDD505-2E9C-101B-9397-08002B2CF9AE}" pid="25" name="investrank">
    <vt:lpwstr>20</vt:lpwstr>
  </property>
  <property fmtid="{D5CDD505-2E9C-101B-9397-08002B2CF9AE}" pid="26" name="authorid">
    <vt:lpwstr>8196</vt:lpwstr>
  </property>
  <property fmtid="{D5CDD505-2E9C-101B-9397-08002B2CF9AE}" pid="27" name="KSOProductBuildVer">
    <vt:lpwstr>1033-3.8.0.6081</vt:lpwstr>
  </property>
</Properties>
</file>