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Hiragino Sans" w:hAnsi="Hiragino Sans" w:eastAsia="Hiragino Sans"/>
          <w:b/>
          <w:color w:val="163A5F"/>
          <w:sz w:val="40"/>
        </w:rPr>
        <w:t>日本語UI文言レビュー表</w:t>
      </w:r>
    </w:p>
    <w:p>
      <w:pPr>
        <w:spacing w:before="0" w:after="160"/>
      </w:pPr>
      <w:r>
        <w:rPr>
          <w:rFonts w:ascii="Hiragino Sans" w:hAnsi="Hiragino Sans" w:eastAsia="Hiragino Sans" w:cs="Hiragino Sans" w:hint="eastAsia"/>
          <w:b w:val="0"/>
          <w:color w:val="5B6573"/>
          <w:sz w:val="20"/>
        </w:rPr>
        <w:t>英語原文・現在の日本語・競合サイト分析を踏まえた提案日本語  |  改訂日 2026-07-30</w:t>
      </w:r>
    </w:p>
    <w:p>
      <w:pPr>
        <w:spacing w:before="0" w:after="160"/>
      </w:pPr>
      <w:r>
        <w:rPr>
          <w:rFonts w:ascii="Hiragino Sans" w:hAnsi="Hiragino Sans" w:eastAsia="Hiragino Sans" w:cs="Hiragino Sans" w:hint="eastAsia"/>
          <w:b w:val="0"/>
          <w:color w:val="222222"/>
          <w:sz w:val="19"/>
        </w:rPr>
        <w:t>使い方: 黄色の「提案日本語（編集欄）」を直接書き換えてください。今回は英語との1対1対応よりも、Leona Quantumの役割が自然に伝わることを優先しています。編集後のWordファイルをそのまま返してください。</w:t>
      </w:r>
    </w:p>
    <w:p>
      <w:pPr>
        <w:spacing w:before="160" w:after="100"/>
      </w:pPr>
      <w:r>
        <w:rPr>
          <w:rFonts w:ascii="Hiragino Sans" w:hAnsi="Hiragino Sans" w:eastAsia="Hiragino Sans" w:cs="Hiragino Sans" w:hint="eastAsia"/>
          <w:b/>
          <w:color w:val="163A5F"/>
          <w:sz w:val="30"/>
        </w:rPr>
        <w:t>競合サイトから得た表現方針</w:t>
      </w:r>
    </w:p>
    <w:p>
      <w:pPr>
        <w:spacing w:after="140"/>
      </w:pPr>
      <w:r>
        <w:rPr>
          <w:rFonts w:ascii="Hiragino Sans" w:hAnsi="Hiragino Sans" w:eastAsia="Hiragino Sans" w:cs="Hiragino Sans" w:hint="eastAsia"/>
          <w:b w:val="0"/>
          <w:color w:val="222222"/>
          <w:sz w:val="19"/>
        </w:rPr>
        <w:t>国内の量子スタートアップ6社の公式サイトを比較すると、自然な日本語は「技術名」より先に「利用者が得られる成果」を示し、その後に技術、利用範囲、実績を具体化しています。</w:t>
      </w:r>
    </w:p>
    <w:tbl>
      <w:tblPr>
        <w:tblW w:type="dxa" w:w="14400"/>
        <w:jc w:val="left"/>
        <w:tblLayout w:type="fixed"/>
        <w:tblLook w:firstColumn="1" w:firstRow="1" w:lastColumn="0" w:lastRow="0" w:noHBand="0" w:noVBand="1" w:val="04A0"/>
        <w:tblInd w:type="dxa" w:w="110"/>
      </w:tblPr>
      <w:tblGrid>
        <w:gridCol w:w="1700"/>
        <w:gridCol w:w="4300"/>
        <w:gridCol w:w="8400"/>
      </w:tblGrid>
      <w:tr>
        <w:trPr>
          <w:tblHeader/>
        </w:trPr>
        <w:tc>
          <w:tcPr>
            <w:tcW w:type="dxa" w:w="1700"/>
            <w:vAlign w:val="center"/>
            <w:shd w:fill="DCE6F1"/>
            <w:tcMar>
              <w:top w:w="90" w:type="dxa"/>
              <w:start w:w="110" w:type="dxa"/>
              <w:bottom w:w="90" w:type="dxa"/>
              <w:end w:w="110" w:type="dxa"/>
            </w:tcMar>
          </w:tcPr>
          <w:p>
            <w:pPr>
              <w:jc w:val="center"/>
            </w:pPr>
            <w:r/>
            <w:r>
              <w:rPr>
                <w:rFonts w:ascii="Hiragino Sans" w:hAnsi="Hiragino Sans" w:eastAsia="Hiragino Sans" w:cs="Hiragino Sans" w:hint="eastAsia"/>
                <w:b/>
                <w:color w:val="163A5F"/>
                <w:sz w:val="17"/>
              </w:rPr>
              <w:t>企業</w:t>
            </w:r>
          </w:p>
        </w:tc>
        <w:tc>
          <w:tcPr>
            <w:tcW w:type="dxa" w:w="4300"/>
            <w:vAlign w:val="center"/>
            <w:shd w:fill="DCE6F1"/>
            <w:tcMar>
              <w:top w:w="90" w:type="dxa"/>
              <w:start w:w="110" w:type="dxa"/>
              <w:bottom w:w="90" w:type="dxa"/>
              <w:end w:w="110" w:type="dxa"/>
            </w:tcMar>
          </w:tcPr>
          <w:p>
            <w:pPr>
              <w:jc w:val="center"/>
            </w:pPr>
            <w:r/>
            <w:r>
              <w:rPr>
                <w:rFonts w:ascii="Hiragino Sans" w:hAnsi="Hiragino Sans" w:eastAsia="Hiragino Sans" w:cs="Hiragino Sans" w:hint="eastAsia"/>
                <w:b/>
                <w:color w:val="163A5F"/>
                <w:sz w:val="17"/>
              </w:rPr>
              <w:t>表現の特徴</w:t>
            </w:r>
          </w:p>
        </w:tc>
        <w:tc>
          <w:tcPr>
            <w:tcW w:type="dxa" w:w="8400"/>
            <w:vAlign w:val="center"/>
            <w:shd w:fill="DCE6F1"/>
            <w:tcMar>
              <w:top w:w="90" w:type="dxa"/>
              <w:start w:w="110" w:type="dxa"/>
              <w:bottom w:w="90" w:type="dxa"/>
              <w:end w:w="110" w:type="dxa"/>
            </w:tcMar>
          </w:tcPr>
          <w:p>
            <w:pPr>
              <w:jc w:val="center"/>
            </w:pPr>
            <w:r/>
            <w:r>
              <w:rPr>
                <w:rFonts w:ascii="Hiragino Sans" w:hAnsi="Hiragino Sans" w:eastAsia="Hiragino Sans" w:cs="Hiragino Sans" w:hint="eastAsia"/>
                <w:b/>
                <w:color w:val="163A5F"/>
                <w:sz w:val="17"/>
              </w:rPr>
              <w:t>Leona Quantumへの反映</w:t>
            </w:r>
          </w:p>
        </w:tc>
      </w:tr>
      <w:tr>
        <w:trPr/>
        <w:tc>
          <w:tcPr>
            <w:tcW w:type="dxa" w:w="17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color w:val="163A5F"/>
                <w:sz w:val="16"/>
              </w:rPr>
              <w:t>QunaSys</w:t>
            </w:r>
          </w:p>
        </w:tc>
        <w:tc>
          <w:tcPr>
            <w:tcW w:type="dxa" w:w="43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val="0"/>
                <w:color w:val="222222"/>
                <w:sz w:val="16"/>
              </w:rPr>
              <w:t>産業への貢献を最初に示し、利用者別に提供価値を説明</w:t>
            </w:r>
          </w:p>
        </w:tc>
        <w:tc>
          <w:tcPr>
            <w:tcW w:type="dxa" w:w="84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val="0"/>
                <w:color w:val="222222"/>
                <w:sz w:val="16"/>
              </w:rPr>
              <w:t>「何を作るか」より先に「研究や事業にどう役立つか」を伝える。</w:t>
            </w:r>
          </w:p>
        </w:tc>
      </w:tr>
      <w:tr>
        <w:trPr/>
        <w:tc>
          <w:tcPr>
            <w:tcW w:type="dxa" w:w="17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color w:val="163A5F"/>
                <w:sz w:val="16"/>
              </w:rPr>
              <w:t>Quemix</w:t>
            </w:r>
          </w:p>
        </w:tc>
        <w:tc>
          <w:tcPr>
            <w:tcW w:type="dxa" w:w="43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val="0"/>
                <w:color w:val="222222"/>
                <w:sz w:val="16"/>
              </w:rPr>
              <w:t>支援内容をコンサル・人材育成・共同研究・開発に分け、実績で補強</w:t>
            </w:r>
          </w:p>
        </w:tc>
        <w:tc>
          <w:tcPr>
            <w:tcW w:type="dxa" w:w="84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val="0"/>
                <w:color w:val="222222"/>
                <w:sz w:val="16"/>
              </w:rPr>
              <w:t>機能名だけでなく、利用者が受けられる支援と成果を具体的に書く。</w:t>
            </w:r>
          </w:p>
        </w:tc>
      </w:tr>
      <w:tr>
        <w:trPr/>
        <w:tc>
          <w:tcPr>
            <w:tcW w:type="dxa" w:w="17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color w:val="163A5F"/>
                <w:sz w:val="16"/>
              </w:rPr>
              <w:t>blueqat</w:t>
            </w:r>
          </w:p>
        </w:tc>
        <w:tc>
          <w:tcPr>
            <w:tcW w:type="dxa" w:w="43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val="0"/>
                <w:color w:val="222222"/>
                <w:sz w:val="16"/>
              </w:rPr>
              <w:t>短い主張の後に、技術の仕組みと対象領域を具体化</w:t>
            </w:r>
          </w:p>
        </w:tc>
        <w:tc>
          <w:tcPr>
            <w:tcW w:type="dxa" w:w="84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val="0"/>
                <w:color w:val="222222"/>
                <w:sz w:val="16"/>
              </w:rPr>
              <w:t>見出しは短く、本文では専門用語を使いながら意味を説明する。</w:t>
            </w:r>
          </w:p>
        </w:tc>
      </w:tr>
      <w:tr>
        <w:trPr/>
        <w:tc>
          <w:tcPr>
            <w:tcW w:type="dxa" w:w="17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color w:val="163A5F"/>
                <w:sz w:val="16"/>
              </w:rPr>
              <w:t>JIJ</w:t>
            </w:r>
          </w:p>
        </w:tc>
        <w:tc>
          <w:tcPr>
            <w:tcW w:type="dxa" w:w="43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val="0"/>
                <w:color w:val="222222"/>
                <w:sz w:val="16"/>
              </w:rPr>
              <w:t>利用者の課題を起点に、設計・実行・解釈までの流れを提示</w:t>
            </w:r>
          </w:p>
        </w:tc>
        <w:tc>
          <w:tcPr>
            <w:tcW w:type="dxa" w:w="84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val="0"/>
                <w:color w:val="222222"/>
                <w:sz w:val="16"/>
              </w:rPr>
              <w:t>Leona Quantumも、質問から検証・保存までの一連の体験を示す。</w:t>
            </w:r>
          </w:p>
        </w:tc>
      </w:tr>
      <w:tr>
        <w:trPr/>
        <w:tc>
          <w:tcPr>
            <w:tcW w:type="dxa" w:w="17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color w:val="163A5F"/>
                <w:sz w:val="16"/>
              </w:rPr>
              <w:t>Quanmatic</w:t>
            </w:r>
          </w:p>
        </w:tc>
        <w:tc>
          <w:tcPr>
            <w:tcW w:type="dxa" w:w="43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val="0"/>
                <w:color w:val="222222"/>
                <w:sz w:val="16"/>
              </w:rPr>
              <w:t>業務課題、技術、実運用、成果を一続きで説明</w:t>
            </w:r>
          </w:p>
        </w:tc>
        <w:tc>
          <w:tcPr>
            <w:tcW w:type="dxa" w:w="84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val="0"/>
                <w:color w:val="222222"/>
                <w:sz w:val="16"/>
              </w:rPr>
              <w:t>抽象的な「基盤」だけで終わらせず、実行・検証・再利用まで書く。</w:t>
            </w:r>
          </w:p>
        </w:tc>
      </w:tr>
      <w:tr>
        <w:trPr/>
        <w:tc>
          <w:tcPr>
            <w:tcW w:type="dxa" w:w="17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color w:val="163A5F"/>
                <w:sz w:val="16"/>
              </w:rPr>
              <w:t>OptQC</w:t>
            </w:r>
          </w:p>
        </w:tc>
        <w:tc>
          <w:tcPr>
            <w:tcW w:type="dxa" w:w="43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val="0"/>
                <w:color w:val="222222"/>
                <w:sz w:val="16"/>
              </w:rPr>
              <w:t>中心となる技術を一つに絞り、強みを具体的な項目で提示</w:t>
            </w:r>
          </w:p>
        </w:tc>
        <w:tc>
          <w:tcPr>
            <w:tcW w:type="dxa" w:w="8400"/>
            <w:vAlign w:val="center"/>
            <w:tcMar>
              <w:top w:w="90" w:type="dxa"/>
              <w:start w:w="110" w:type="dxa"/>
              <w:bottom w:w="90" w:type="dxa"/>
              <w:end w:w="110" w:type="dxa"/>
            </w:tcMar>
          </w:tcPr>
          <w:p>
            <w:pPr>
              <w:spacing w:before="0" w:after="0"/>
            </w:pPr>
            <w:r/>
            <w:r>
              <w:rPr>
                <w:rFonts w:ascii="Hiragino Sans" w:hAnsi="Hiragino Sans" w:eastAsia="Hiragino Sans" w:cs="Hiragino Sans" w:hint="eastAsia"/>
                <w:b w:val="0"/>
                <w:color w:val="222222"/>
                <w:sz w:val="16"/>
              </w:rPr>
              <w:t>Leona Quantumの中心価値を「検証・再現できる研究記録」に絞る。</w:t>
            </w:r>
          </w:p>
        </w:tc>
      </w:tr>
    </w:tbl>
    <w:p>
      <w:pPr>
        <w:spacing w:before="80" w:after="160"/>
      </w:pPr>
      <w:r>
        <w:rPr>
          <w:rFonts w:ascii="Hiragino Sans" w:hAnsi="Hiragino Sans" w:eastAsia="Hiragino Sans" w:cs="Hiragino Sans" w:hint="eastAsia"/>
          <w:b w:val="0"/>
          <w:color w:val="6B7280"/>
          <w:sz w:val="15"/>
        </w:rPr>
        <w:t>参照: qunasys.com / quemix.com / blueqat.co.jp / j-ij.com / quanmatic.com / optqc.com（各社公式サイト、2026-07-30確認）</w:t>
      </w:r>
    </w:p>
    <w:p>
      <w:pPr>
        <w:spacing w:before="80" w:after="80"/>
      </w:pPr>
      <w:r>
        <w:rPr>
          <w:rFonts w:ascii="Hiragino Sans" w:hAnsi="Hiragino Sans" w:eastAsia="Hiragino Sans" w:cs="Hiragino Sans" w:hint="eastAsia"/>
          <w:b/>
          <w:color w:val="163A5F"/>
          <w:sz w:val="24"/>
        </w:rPr>
        <w:t>Leona Quantumの日本語方針</w:t>
      </w:r>
    </w:p>
    <w:p>
      <w:pPr>
        <w:pStyle w:val="ListBullet"/>
        <w:spacing w:before="0" w:after="40"/>
        <w:ind w:left="280" w:hanging="160"/>
      </w:pPr>
      <w:r>
        <w:rPr>
          <w:rFonts w:ascii="Hiragino Sans" w:hAnsi="Hiragino Sans" w:eastAsia="Hiragino Sans" w:cs="Hiragino Sans" w:hint="eastAsia"/>
          <w:b w:val="0"/>
          <w:color w:val="222222"/>
          <w:sz w:val="18"/>
        </w:rPr>
        <w:t>英語の語順ではなく、利用者が得られる成果を先に書く。</w:t>
      </w:r>
    </w:p>
    <w:p>
      <w:pPr>
        <w:pStyle w:val="ListBullet"/>
        <w:spacing w:before="0" w:after="40"/>
        <w:ind w:left="280" w:hanging="160"/>
      </w:pPr>
      <w:r>
        <w:rPr>
          <w:rFonts w:ascii="Hiragino Sans" w:hAnsi="Hiragino Sans" w:eastAsia="Hiragino Sans" w:cs="Hiragino Sans" w:hint="eastAsia"/>
          <w:b w:val="0"/>
          <w:color w:val="222222"/>
          <w:sz w:val="18"/>
        </w:rPr>
        <w:t>evidence は一律に「根拠」とせず、「検証結果」「検証記録」「実行条件」に分ける。</w:t>
      </w:r>
    </w:p>
    <w:p>
      <w:pPr>
        <w:pStyle w:val="ListBullet"/>
        <w:spacing w:before="0" w:after="40"/>
        <w:ind w:left="280" w:hanging="160"/>
      </w:pPr>
      <w:r>
        <w:rPr>
          <w:rFonts w:ascii="Hiragino Sans" w:hAnsi="Hiragino Sans" w:eastAsia="Hiragino Sans" w:cs="Hiragino Sans" w:hint="eastAsia"/>
          <w:b w:val="0"/>
          <w:color w:val="222222"/>
          <w:sz w:val="18"/>
        </w:rPr>
        <w:t>artifact、boundary、lane などの社内・開発用語は、画面上の役割が伝わる日本語にする。</w:t>
      </w:r>
    </w:p>
    <w:p>
      <w:pPr>
        <w:pStyle w:val="ListBullet"/>
        <w:spacing w:before="0" w:after="40"/>
        <w:ind w:left="280" w:hanging="160"/>
      </w:pPr>
      <w:r>
        <w:rPr>
          <w:rFonts w:ascii="Hiragino Sans" w:hAnsi="Hiragino Sans" w:eastAsia="Hiragino Sans" w:cs="Hiragino Sans" w:hint="eastAsia"/>
          <w:b w:val="0"/>
          <w:color w:val="222222"/>
          <w:sz w:val="18"/>
        </w:rPr>
        <w:t>Atlas、Vault、Run、Studioは製品名として残し、初出や説明文で機能を補足する。</w:t>
      </w:r>
    </w:p>
    <w:p>
      <w:pPr>
        <w:pStyle w:val="ListBullet"/>
        <w:spacing w:before="0" w:after="40"/>
        <w:ind w:left="280" w:hanging="160"/>
      </w:pPr>
      <w:r>
        <w:rPr>
          <w:rFonts w:ascii="Hiragino Sans" w:hAnsi="Hiragino Sans" w:eastAsia="Hiragino Sans" w:cs="Hiragino Sans" w:hint="eastAsia"/>
          <w:b w:val="0"/>
          <w:color w:val="222222"/>
          <w:sz w:val="18"/>
        </w:rPr>
        <w:t>現在できること、未対応のこと、検証済みの範囲を明確に書き、過度な期待を持たせない。</w:t>
      </w:r>
    </w:p>
    <w:p>
      <w:pPr>
        <w:pStyle w:val="ListBullet"/>
        <w:spacing w:before="0" w:after="40"/>
        <w:ind w:left="280" w:hanging="160"/>
      </w:pPr>
      <w:r>
        <w:rPr>
          <w:rFonts w:ascii="Hiragino Sans" w:hAnsi="Hiragino Sans" w:eastAsia="Hiragino Sans" w:cs="Hiragino Sans" w:hint="eastAsia"/>
          <w:b w:val="0"/>
          <w:color w:val="222222"/>
          <w:sz w:val="18"/>
        </w:rPr>
        <w:t>見出しは短く、本文は一文一役にして、技術用語には必要な説明を添える。</w:t>
      </w:r>
    </w:p>
    <w:p>
      <w:pPr>
        <w:spacing w:before="0" w:after="0"/>
      </w:pPr>
      <w:r>
        <w:rPr>
          <w:rFonts w:ascii="Hiragino Sans" w:hAnsi="Hiragino Sans" w:eastAsia="Hiragino Sans" w:cs="Hiragino Sans" w:hint="eastAsia"/>
          <w:b w:val="0"/>
          <w:color w:val="222222"/>
          <w:sz w:val="2"/>
        </w:rPr>
        <w:br w:type="page"/>
      </w:r>
    </w:p>
    <w:p>
      <w:pPr>
        <w:spacing w:before="0" w:after="100"/>
      </w:pPr>
      <w:r>
        <w:rPr>
          <w:rFonts w:ascii="Hiragino Sans" w:hAnsi="Hiragino Sans" w:eastAsia="Hiragino Sans" w:cs="Hiragino Sans" w:hint="eastAsia"/>
          <w:b/>
          <w:color w:val="163A5F"/>
          <w:sz w:val="30"/>
        </w:rPr>
        <w:t>文言レビュー表</w:t>
      </w:r>
    </w:p>
    <w:tbl>
      <w:tblPr>
        <w:tblW w:type="dxa" w:w="14400"/>
        <w:jc w:val="left"/>
        <w:tblLayout w:type="fixed"/>
        <w:tblLook w:firstColumn="1" w:firstRow="1" w:lastColumn="0" w:lastRow="0" w:noHBand="0" w:noVBand="1" w:val="04A0"/>
        <w:tblInd w:type="dxa" w:w="90"/>
      </w:tblPr>
      <w:tblGrid>
        <w:gridCol w:w="500"/>
        <w:gridCol w:w="1200"/>
        <w:gridCol w:w="2850"/>
        <w:gridCol w:w="2900"/>
        <w:gridCol w:w="4050"/>
        <w:gridCol w:w="2900"/>
      </w:tblGrid>
      <w:tr>
        <w:trPr>
          <w:tblHeader w:val="true"/>
        </w:trPr>
        <w:tc>
          <w:tcPr>
            <w:tcW w:type="dxa" w:w="500"/>
            <w:vAlign w:val="center"/>
            <w:shd w:fill="E8EEF5"/>
            <w:tcBorders>
              <w:top w:val="single" w:sz="6" w:color="AAB6C4"/>
              <w:left w:val="single" w:sz="6" w:color="AAB6C4"/>
              <w:bottom w:val="single" w:sz="6" w:color="AAB6C4"/>
              <w:right w:val="single" w:sz="6" w:color="AAB6C4"/>
              <w:insideH w:val="single" w:sz="6" w:color="AAB6C4"/>
              <w:insideV w:val="single" w:sz="6" w:color="AAB6C4"/>
            </w:tcBorders>
            <w:tcMar>
              <w:top w:w="70" w:type="dxa"/>
              <w:bottom w:w="70" w:type="dxa"/>
              <w:start w:w="90" w:type="dxa"/>
              <w:end w:w="90" w:type="dxa"/>
            </w:tcMar>
          </w:tcPr>
          <w:p>
            <w:pPr>
              <w:spacing w:before="0" w:after="30" w:line="252" w:lineRule="auto"/>
              <w:jc w:val="center"/>
            </w:pPr>
            <w:r/>
            <w:r>
              <w:rPr>
                <w:rFonts w:ascii="Hiragino Sans" w:hAnsi="Hiragino Sans" w:eastAsia="Hiragino Sans"/>
                <w:b/>
                <w:color w:val="163A5F"/>
                <w:sz w:val="17"/>
              </w:rPr>
              <w:t>No.</w:t>
            </w:r>
          </w:p>
        </w:tc>
        <w:tc>
          <w:tcPr>
            <w:tcW w:type="dxa" w:w="1200"/>
            <w:vAlign w:val="center"/>
            <w:shd w:fill="E8EEF5"/>
            <w:tcBorders>
              <w:top w:val="single" w:sz="6" w:color="AAB6C4"/>
              <w:left w:val="single" w:sz="6" w:color="AAB6C4"/>
              <w:bottom w:val="single" w:sz="6" w:color="AAB6C4"/>
              <w:right w:val="single" w:sz="6" w:color="AAB6C4"/>
              <w:insideH w:val="single" w:sz="6" w:color="AAB6C4"/>
              <w:insideV w:val="single" w:sz="6" w:color="AAB6C4"/>
            </w:tcBorders>
            <w:tcMar>
              <w:top w:w="70" w:type="dxa"/>
              <w:bottom w:w="70" w:type="dxa"/>
              <w:start w:w="90" w:type="dxa"/>
              <w:end w:w="90" w:type="dxa"/>
            </w:tcMar>
          </w:tcPr>
          <w:p>
            <w:pPr>
              <w:spacing w:before="0" w:after="30" w:line="252" w:lineRule="auto"/>
              <w:jc w:val="center"/>
            </w:pPr>
            <w:r/>
            <w:r>
              <w:rPr>
                <w:rFonts w:ascii="Hiragino Sans" w:hAnsi="Hiragino Sans" w:eastAsia="Hiragino Sans"/>
                <w:b/>
                <w:color w:val="163A5F"/>
                <w:sz w:val="17"/>
              </w:rPr>
              <w:t>区分</w:t>
            </w:r>
          </w:p>
        </w:tc>
        <w:tc>
          <w:tcPr>
            <w:tcW w:type="dxa" w:w="2850"/>
            <w:vAlign w:val="center"/>
            <w:shd w:fill="E8EEF5"/>
            <w:tcBorders>
              <w:top w:val="single" w:sz="6" w:color="AAB6C4"/>
              <w:left w:val="single" w:sz="6" w:color="AAB6C4"/>
              <w:bottom w:val="single" w:sz="6" w:color="AAB6C4"/>
              <w:right w:val="single" w:sz="6" w:color="AAB6C4"/>
              <w:insideH w:val="single" w:sz="6" w:color="AAB6C4"/>
              <w:insideV w:val="single" w:sz="6" w:color="AAB6C4"/>
            </w:tcBorders>
            <w:tcMar>
              <w:top w:w="70" w:type="dxa"/>
              <w:bottom w:w="70" w:type="dxa"/>
              <w:start w:w="90" w:type="dxa"/>
              <w:end w:w="90" w:type="dxa"/>
            </w:tcMar>
          </w:tcPr>
          <w:p>
            <w:pPr>
              <w:spacing w:before="0" w:after="30" w:line="252" w:lineRule="auto"/>
              <w:jc w:val="center"/>
            </w:pPr>
            <w:r/>
            <w:r>
              <w:rPr>
                <w:rFonts w:ascii="Hiragino Sans" w:hAnsi="Hiragino Sans" w:eastAsia="Hiragino Sans"/>
                <w:b/>
                <w:color w:val="163A5F"/>
                <w:sz w:val="17"/>
              </w:rPr>
              <w:t>英語原文</w:t>
            </w:r>
          </w:p>
        </w:tc>
        <w:tc>
          <w:tcPr>
            <w:tcW w:type="dxa" w:w="2900"/>
            <w:vAlign w:val="center"/>
            <w:shd w:fill="E8EEF5"/>
            <w:tcBorders>
              <w:top w:val="single" w:sz="6" w:color="AAB6C4"/>
              <w:left w:val="single" w:sz="6" w:color="AAB6C4"/>
              <w:bottom w:val="single" w:sz="6" w:color="AAB6C4"/>
              <w:right w:val="single" w:sz="6" w:color="AAB6C4"/>
              <w:insideH w:val="single" w:sz="6" w:color="AAB6C4"/>
              <w:insideV w:val="single" w:sz="6" w:color="AAB6C4"/>
            </w:tcBorders>
            <w:tcMar>
              <w:top w:w="70" w:type="dxa"/>
              <w:bottom w:w="70" w:type="dxa"/>
              <w:start w:w="90" w:type="dxa"/>
              <w:end w:w="90" w:type="dxa"/>
            </w:tcMar>
          </w:tcPr>
          <w:p>
            <w:pPr>
              <w:spacing w:before="0" w:after="30" w:line="252" w:lineRule="auto"/>
              <w:jc w:val="center"/>
            </w:pPr>
            <w:r/>
            <w:r>
              <w:rPr>
                <w:rFonts w:ascii="Hiragino Sans" w:hAnsi="Hiragino Sans" w:eastAsia="Hiragino Sans"/>
                <w:b/>
                <w:color w:val="163A5F"/>
                <w:sz w:val="17"/>
              </w:rPr>
              <w:t>現在の日本語</w:t>
            </w:r>
          </w:p>
        </w:tc>
        <w:tc>
          <w:tcPr>
            <w:tcW w:type="dxa" w:w="4050"/>
            <w:vAlign w:val="center"/>
            <w:shd w:fill="E8EEF5"/>
            <w:tcBorders>
              <w:top w:val="single" w:sz="6" w:color="AAB6C4"/>
              <w:left w:val="single" w:sz="6" w:color="AAB6C4"/>
              <w:bottom w:val="single" w:sz="6" w:color="AAB6C4"/>
              <w:right w:val="single" w:sz="6" w:color="AAB6C4"/>
              <w:insideH w:val="single" w:sz="6" w:color="AAB6C4"/>
              <w:insideV w:val="single" w:sz="6" w:color="AAB6C4"/>
            </w:tcBorders>
            <w:tcMar>
              <w:top w:w="70" w:type="dxa"/>
              <w:bottom w:w="70" w:type="dxa"/>
              <w:start w:w="90" w:type="dxa"/>
              <w:end w:w="90" w:type="dxa"/>
            </w:tcMar>
          </w:tcPr>
          <w:p>
            <w:pPr>
              <w:jc w:val="center"/>
            </w:pPr>
            <w:r/>
            <w:r>
              <w:rPr>
                <w:rFonts w:ascii="Hiragino Sans" w:hAnsi="Hiragino Sans" w:eastAsia="Hiragino Sans" w:cs="Hiragino Sans" w:hint="eastAsia"/>
                <w:b/>
                <w:color w:val="163A5F"/>
                <w:sz w:val="17"/>
              </w:rPr>
              <w:t>提案日本語（編集欄）</w:t>
            </w:r>
          </w:p>
        </w:tc>
        <w:tc>
          <w:tcPr>
            <w:tcW w:type="dxa" w:w="2900"/>
            <w:vAlign w:val="center"/>
            <w:shd w:fill="E8EEF5"/>
            <w:tcBorders>
              <w:top w:val="single" w:sz="6" w:color="AAB6C4"/>
              <w:left w:val="single" w:sz="6" w:color="AAB6C4"/>
              <w:bottom w:val="single" w:sz="6" w:color="AAB6C4"/>
              <w:right w:val="single" w:sz="6" w:color="AAB6C4"/>
              <w:insideH w:val="single" w:sz="6" w:color="AAB6C4"/>
              <w:insideV w:val="single" w:sz="6" w:color="AAB6C4"/>
            </w:tcBorders>
            <w:tcMar>
              <w:top w:w="70" w:type="dxa"/>
              <w:bottom w:w="70" w:type="dxa"/>
              <w:start w:w="90" w:type="dxa"/>
              <w:end w:w="90" w:type="dxa"/>
            </w:tcMar>
          </w:tcPr>
          <w:p>
            <w:pPr>
              <w:spacing w:before="0" w:after="30" w:line="252" w:lineRule="auto"/>
              <w:jc w:val="center"/>
            </w:pPr>
            <w:r/>
            <w:r>
              <w:rPr>
                <w:rFonts w:ascii="Hiragino Sans" w:hAnsi="Hiragino Sans" w:eastAsia="Hiragino Sans"/>
                <w:b/>
                <w:color w:val="163A5F"/>
                <w:sz w:val="17"/>
              </w:rPr>
              <w:t>ファイル位置</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Evidence for quantum work.</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量子研究に、検証できる根拠を。</w:t>
            </w:r>
          </w:p>
        </w:tc>
        <w:tc>
          <w:tcPr>
            <w:tcW w:type="dxa" w:w="4050"/>
            <w:vAlign w:val="center"/>
            <w:shd w:fill="FFF2CC"/>
            <w:tcBorders>
              <w:top w:val="single" w:sz="8" w:color="7F94AA"/>
              <w:left w:val="single" w:sz="8" w:color="7F94AA"/>
              <w:bottom w:val="single" w:sz="8" w:color="7F94AA"/>
              <w:right w:val="single" w:sz="8" w:color="7F94AA"/>
              <w:insideH w:val="single" w:sz="8" w:color="7F94AA"/>
              <w:insideV w:val="single" w:sz="8" w:color="7F94AA"/>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量子研究を、確かめられる成果へ。</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apps/web/lib/public-copy.ts:122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Public research</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公開研究</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公開された量子研究</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apps/web/lib/public-copy.ts:123,134,151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Public research, a private workspace, and execution that shows its working — in one place.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過程まで見える実行</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公開研究、非公開ワークスペース、実行・検証をひとつに。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apps/web/lib/public-copy.ts:123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EVIDENCE FIRST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根拠を優先</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実行結果まで確かめる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apps/web/lib/public-copy.ts:132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Build, edit, and retain the record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作成、編集、記録の保持</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回路を作る、試す、履歴を残す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apps/web/lib/public-copy.ts:135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Quantum work, with context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文脈とともに進める量子開発</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コード・実行条件・検証結果をひとつに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apps/web/lib/public-copy.ts:139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Quantum work needs somewhere for evidence to live.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量子研究には、根拠を置いておける場所が必要です。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量子研究のコード、実行条件、結果、検証内容を、ひとつの記録にまとめます。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apps/web/lib/public-copy.ts:144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Quantum results are easy to produce and hard to trust. Papers are not runnable, notebooks go stale, and the assumptions behind a number rarely travel with it. Leona Quantum keeps the research, the code, the run, and the check in one record.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数値の前提は一緒に伝わりません。</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量子計算の結果は、数値だけでは信頼性を判断できません。Leona Quantumは、研究内容、コード、実行条件、結果、検証内容をひとつの記録にまとめます。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apps/web/lib/public-copy.ts:145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Three parts, one standard of evidence.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三つの構成、ひとつの基準。</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研究・実行・検証を、ひとつの記録に。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apps/web/lib/public-copy.ts:149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reusable GHZ state preparation circuit with simulator-only evidence.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検証の境界</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シミュレータで確認済みのGHZ回路</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apps/web/lib/public-copy.ts:151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Turn a natural-language question into a visible plan, implementation, simulation, verification, and saved Vault record.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自然言語の問いを、計画、実装、シミュレーション、検証、保存できるボールトの記録へ変えます。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質問を入力すると、計画、回路の実装、シミュレーション、検証まで進み、結果をVaultに保存できます。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apps/web/lib/public-copy.ts:152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Use the supported simulator today, then add heavier compute lanes only when their cost, hardware, and evidence boundaries are clear.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根拠の境界が明確になった計算レーン</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まずは対応済みのシミュレータで実行できます。高性能な計算環境は、費用、利用条件、検証範囲を明示したうえで順次追加します。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apps/web/lib/public-copy.ts:153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What we won't trade away.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譲らないこと。</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Leona Quantumが大切にすること</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apps/web/lib/public-copy.ts:158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Evidence first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根拠を先に</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結果だけでなく、検証内容も示す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apps/web/lib/public-copy.ts:160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 by default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まず開く</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公開できる研究は、誰でも確認できる形に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apps/web/lib/public-copy.ts:161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Privacy by design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プライバシーを設計に</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非公開の研究データは、初めから保護</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apps/web/lib/public-copy.ts:162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 formats and APIs, so the record outlives the tool that made it.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記録がツールより長く残るように。</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オープンな形式とAPIに対応し、ツールが変わっても記録を再利用できます。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apps/web/lib/public-copy.ts:163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She resolves from the noise.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ノイズから、彼女が現れる。</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ノイズの中から、確かな結果を見つける。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apps/web/lib/public-copy.ts:167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Every result resolves to a distribution, not a claim. Bias the state, take a shot, and watch the tally settle toward |α|², |β|² — the same honesty we hold execution to.</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すべての結果は、断定ではなく分布に帰着します。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量子計算の結果は、断定ではなく測定値の分布として示します。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apps/web/lib/public-copy.ts:172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Every result resolves to a distribution, not a claim. Bias the state, take a shot, and watch the tally settle toward |α|², |β|² — the same honesty we hold execution to.</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状態にバイアスをかけて測定すると</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状態を変えて測定を繰り返すと、結果の分布が見えてきます。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apps/web/lib/public-copy.ts:172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Every result resolves to a distribution, not a claim. Bias the state, take a shot, and watch the tally settle toward |α|², |β|² — the same honesty we hold execution to.</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私たちが実行に求めるのと同じ誠実さです。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実行結果も、確認できる記録とともに示します。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apps/web/lib/public-copy.ts:172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Tell us what you’re working 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いま取り組んでいることを、聞かせてください。</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取り組んでいる研究や技術課題についてご相談ください。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apps/web/lib/public-copy.ts:176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Explore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探索</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公開研究を見る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apps/web/lib/public-locale.ts:42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Contact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連絡先</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お問い合わせ</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apps/web/lib/public-locale.ts:39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Trustworthy quantum work, one verified artifact at a time.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検証済みアーティファクトを通じて、信頼できる量子研究を支えます。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回路、実行条件、検証結果をひとつにまとめ、再現できる量子研究を支えます。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apps/web/lib/public-locale.ts:41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For researchers, engineers, and teams who need evidence.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根拠を必要とする研究者、エンジニア、チームのために。</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量子研究を検証し、再現・共有したい研究者、エンジニア、チームのために。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apps/web/lib/public-locale.ts:48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実行</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Leona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apps/web/lib/workspace-locale.ts:681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公開トップ・共通ナビゲーション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Studio view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Studio</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Studio表示</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apps/web/lib/workspace-locale.ts:685-687 / packages/ts/ui/src/nav-config.ts:10-13</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29</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clear path from first run to team work.</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最初の実行からチームの研究まで、明確な道筋を。</w:t>
            </w:r>
          </w:p>
        </w:tc>
        <w:tc>
          <w:tcPr>
            <w:tcW w:type="dxa" w:w="4050"/>
            <w:vAlign w:val="center"/>
            <w:shd w:fill="FFF2CC"/>
            <w:tcBorders>
              <w:top w:val="single" w:sz="8" w:color="7F94AA"/>
              <w:left w:val="single" w:sz="8" w:color="7F94AA"/>
              <w:bottom w:val="single" w:sz="8" w:color="7F94AA"/>
              <w:right w:val="single" w:sz="8" w:color="7F94AA"/>
              <w:insideH w:val="single" w:sz="8" w:color="7F94AA"/>
              <w:insideV w:val="single" w:sz="8" w:color="7F94AA"/>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まずは個人で試し、そのままチームで研究へ。</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apps/web/lib/public-copy.ts:198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verification capacity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検証量</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検証できる実行回数</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apps/web/lib/public-copy.ts:198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Enough to browse the public evidence and put the workbench through a real problem.</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公開された根拠を見て</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公開されている回路と検証結果を確認し、</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Enough to browse the public evidence and put the workbench through a real problem.</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試すのに十分な範囲です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実際の課題で一連の操作を試せます。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More room for private research, stronger model tiers, and export-aware workflows.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非公開研究、モデルの選択肢、エクスポートを意識したワークフローを広げます。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非公開研究、上位AIモデル、エクスポート機能を利用できます。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version management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版管理</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バージョン管理</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Baselines and export matrix</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ベースラインとエクスポート表</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古典計算との比較・各形式での書き出し</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Private corpus boundary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非公開コーパスの境界</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非公開データの分離</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Design-partner conversations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デザインパートナー対話</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共同開発・導入相談</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transparent starting point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透明なスタート</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早期アクセス版の提供内容</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39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product is live; paid billing is not.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プロダクトは稼働中。決済はまだです。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サービスは利用できますが、有料プランの決済はまだ開始していません。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These plans describe the intended early-access packaging. Exact limits, credits, and checkout will be confirmed before paid billing is enabled. No card is required to explore the public Atlas or discuss a research workflow.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想定パッケージ</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提供予定のプラン内容</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These plans describe the intended early-access packaging. Exact limits, credits, and checkout will be confirmed before paid billing is enabled. No card is required to explore the public Atlas or discuss a research workflow.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上限、クレジット、決済は有効化前に確定します。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利用上限、クレジット、決済条件は、有料提供の開始前に確定します。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is building an evidence layer around quantum software: public research, private workspaces, and execution that can be inspected. Send a short brief and we’ll take it from there.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量子ソフトウェアの根拠の層</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Leona Quantumは、量子回路の作成から実行、検証、保存、共有までを支える研究基盤です。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Enterprise R&amp;D and private-corpus conversations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企業R&amp;Dと非公開コーパス</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企業・研究機関向けの導入相談</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Submitting opens a prepared email in your email app. The current queue is mailto-backed; server-side delivery and CRM routing will follow when the operating workflow is finalized.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送信すると、メールアプリで内容を準備したメールが開きます。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送信ボタンを押すと、入力内容を反映したメール作成画面が開きます。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Submitting opens a prepared email in your email app. The current queue is mailto-backed; server-side delivery and CRM routing will follow when the operating workflow is finalized.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現在はmailto方式</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現在、お問い合わせはメールで受け付けています。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Submitting opens a prepared email in your email app. The current queue is mailto-backed; server-side delivery and CRM routing will follow when the operating workflow is finalized.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サーバー配信とCRM連携は運用が固まり次第対応します。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利用者向けの説明ではないため削除</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What are you building, and what evidence or access would help?</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どんな根拠やアクセスが必要ですか？</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取り組んでいる研究テーマと、必要な実行・検証環境を教えてください。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Prepare inquiry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問い合わせを準備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メールを作成</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49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料金・お問い合わせ</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Your email app should open with the inquiry prepared. Send it to add the note to the queue.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送信するとキューに追加されます。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内容を確認してメールを送信してください。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apps/web/lib/public-copy.ts:239</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50</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Turn a quantum question into work you can reopen.</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量子の問いを、あとから開ける研究へ。</w:t>
            </w:r>
          </w:p>
        </w:tc>
        <w:tc>
          <w:tcPr>
            <w:tcW w:type="dxa" w:w="4050"/>
            <w:vAlign w:val="center"/>
            <w:shd w:fill="FFF2CC"/>
            <w:tcBorders>
              <w:top w:val="single" w:sz="8" w:color="7F94AA"/>
              <w:left w:val="single" w:sz="8" w:color="7F94AA"/>
              <w:bottom w:val="single" w:sz="8" w:color="7F94AA"/>
              <w:right w:val="single" w:sz="8" w:color="7F94AA"/>
              <w:insideH w:val="single" w:sz="8" w:color="7F94AA"/>
              <w:insideV w:val="single" w:sz="8" w:color="7F94AA"/>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量子の問いを、再現できる研究成果へ。</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apps/web/lib/public-copy.ts:289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Simulator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保護されたシミュレータ</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シミュレータ</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apps/web/lib/public-copy.ts:290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connects a guided workflow to a guarded simulator, verification evidence, Studio editing, and a personal Vault. Every account starts with its own workspace; prompts, runs, and saved artifacts are private by default.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検証の根拠</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検証記録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apps/web/lib/public-copy.ts:290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保存アーティファクト</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保存した回路・実行結果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apps/web/lib/public-copy.ts:290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Request workspace access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ワークスペースを相談する</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利用を相談する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apps/web/lib/public-copy.ts:291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Turn a question into a visible plan, generated implementation, simulation, verification, and a readable answer.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問いを計画、実装、シミュレーション、検証、読みやすい回答へつなげます。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質問から回路の作成、シミュレーション、検証、回答までを一貫して支援します。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apps/web/lib/public-copy.ts:297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 a saved circuit, switch framework variants, edit the implementation, and send the next version through the same evidence path.</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同じ根拠の流れで次の版を試せます。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保存した回路を開き、フレームワークを切り替えて編集し、同じ手順で再実行・再検証できます。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apps/web/lib/public-copy.ts:298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Use the right execution lane when the product is ready.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準備ができた計算レーンを選ぶ。</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用途に合わせて実行先を選べます。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apps/web/lib/public-copy.ts:302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Current supported path for small, reproducible verified workflows.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現在の対応パス</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現在利用できる実行環境</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apps/web/lib/public-copy.ts:304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59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Use the right execution lane when the product is ready.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計算レーン</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実行環境</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attestation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アテステーション</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実行証明</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apps/web/lib/public-copy.ts:306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Hardware lanes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ハードウェアレーン</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量子コンピュータで実行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apps/web/lib/public-copy.ts:306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 foundations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開かれた基盤</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公開技術を基盤に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apps/web/lib/public-copy.ts:309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Review the engineering boundary.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エンジニアリングの境界を読む。</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公開情報と非公開データの扱いを確認する。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apps/web/lib/public-copy.ts:310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ワークスペース紹介ページ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Public research</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公開研究は確認できる形で開き</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Atlasの公開研究は誰でも確認できます。非公開ワークスペースの情報は、参加者だけがアクセスできます。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apps/web/lib/public-copy.ts:311</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65</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Recover a marked state with Grover</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Groverでマーク状態を探す</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Groverでマークされた状態を探す</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apps/web/lib/workspace-locale.ts:759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Use QAOA to solve MaxCut on a 5-node ring and compare the result with an exact classical baseline.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5ノードのリングにQAOAを使い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5ノードのリンググラフのMaxCut問題をQAOAで解き</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apps/web/lib/workspace-locale.ts:760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Formulate a delivery-route assignment for 12 vehicles and 40 stops as a QUBO, then build a QAOA circuit sized for a simulator and report the best cut found.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最良カット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最良の分割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apps/web/lib/workspace-locale.ts:765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Price a European call option with quantum amplitude estimation instead of classical Monte Carlo, show the circuit, and state the expected quadratic speedup and its caveats.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二次加速</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二乗高速化</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apps/web/lib/workspace-locale.ts:766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69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2 qubits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2量子ビットのVQE ansatz</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2量子ビットのVQEアンサッツ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Model a small credit-portfolio loss distribution and show how quantum amplitude estimation would sample its tail risk versus classical Monte Carlo.</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裾リスクをどうサンプルするか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テールリスクをどう推定するか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apps/web/lib/workspace-locale.ts:771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3 is not a supported text attachment (.py, .txt, .md, .json, .qasm, .csv).</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対応するテキスト添付ではありません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対応していないファイル形式です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apps/web/lib/workspace-locale.ts:788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Verified context retained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検証済みコンテキストを保持</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検証済みの回路を参照中</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apps/web/lib/workspace-locale.ts:793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 context unavailable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アーティファクトのコンテキストを取得できません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保存済み回路を読み込めません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apps/web/lib/workspace-locale.ts:794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Ideate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アイデア</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アイデアを考える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apps/web/components/run-composer.tsx:68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Ask anything about quantum algorithms…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量子アルゴリズムについて何でも聞いてください…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作りたい量子回路や、調べたいアルゴリズムを入力してください…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apps/web/components/run-composer.tsx:130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実行画面・チャット</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preview uses fixture artifacts so the product flow stays visible while WorkOS and the live control plane are configured.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このプレビューではフィクスチャを使い、WorkOSとライブ制御プレーンを設定する間もプロダクトの流れを確認できます。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このプレビューではサンプルデータを使って、主な操作の流れを確認できます。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apps/web/app/demo/demo-workspace.tsx:24</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77</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Saved circuits, versions, and evidence.</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保存した回路、バージョン、そして根拠。</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保存した回路、バージョン、検証結果を管理します。</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apps/web/lib/workspace-locale.ts:796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Verification unavailable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検証不能</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検証結果なし</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apps/web/lib/workspace-locale.ts:806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79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Legacy evidence unknown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旧データ・根拠不明</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旧形式・検証記録なし</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apps/web/lib/workspace-locale.ts:807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Verification stale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検証期限切れ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変更後・要再検証</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apps/web/lib/workspace-locale.ts:808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Clear a filter or start a new verified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新しい検証実行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新しく実行して検証</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apps/web/lib/workspace-locale.ts:814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Ask in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実行で質問</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この回路についてRunで質問</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apps/web/lib/workspace-locale.ts:816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リファレンスアーティファクト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参考用の保存済み回路</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apps/web/lib/workspace-locale.ts:824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“3” will be removed from your workspace and not saved.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ワークスペースから削除され、保存されません。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完全に削除され、元に戻せません。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apps/web/lib/workspace-locale.ts:729-730,817 / 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アーティファクトの設定</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その他の操作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Leona実行</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Leona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Curated example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キュレーション例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運営が選んだサンプル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Verification summary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検証サマリー</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検証結果の概要</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89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run provenance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実行プロベナンス</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実行履歴</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framework only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frameworkのみ</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元のフレームワークのみ</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lossless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ロスレス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情報を失わずに変換可能</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native OpenQASM export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ネイティブOpenQASMエクスポート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OpenQASM形式のエクスポート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Public reference — verified with caveats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公開リファレンス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公開サンプル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New workspace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新しいワークスペースの根拠とする前に</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このワークスペースの検証結果として使う前に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audit surface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監査表示</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検証記録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Workspace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ワークスペース固有の根拠を作るには</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このワークスペースで検証結果を作成するには</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curated replayable example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キュレーションされた再生可能な例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運営が用意した、再実行できるサンプル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Workspace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ライブワークスペースの実行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実際のワークスペースでの実行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99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measured counts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測定カウント</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測定結果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ボールト・保存済み回路</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Failed / Executed / Verification unavailable / Verification stale / Legacy evidence unknown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Failed</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失敗／実行済み／検証結果なし／要再検証／旧形式・検証記録なし</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apps/web/app/(app)/library/[artifactId]/artifact-detail.tsx:55-69</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101</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Draft changes are local until verified</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下書きの変更は検証されるまでローカルです</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検証して保存するまで、変更はこの下書きにのみ反映されます。</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apps/web/lib/workspace-locale.ts:829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Simulation records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アーティファクトに紐づくシミュレーション記録</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この保存済み回路のシミュレーション記録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apps/web/lib/workspace-locale.ts:848,858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in-browser lane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ブラウザ内のレーン</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ブラウザ内シミュレーション</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apps/web/lib/workspace-locale.ts:850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nothing is simulated here rather than a result being invented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結果を捏造せず、ここでは実行しません。</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この画面ではシミュレーションを実行していないため、結果は表示しません。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apps/web/lib/workspace-locale.ts:850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CPU simulation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限定CPUシミュレーションレーン</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ブラウザ内CPUシミュレーション</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apps/web/lib/workspace-locale.ts:851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Run it for real instead: the sandbox executes this exact source and reports whatever it produces, including the error if it does not work.</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代わりに実際に実行できます。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代わりにサンドボックスで実行できます。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apps/web/lib/workspace-locale.ts:856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Run this code for real</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このコードを実際に実行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サンドボックスで実行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apps/web/lib/workspace-locale.ts:857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CPU result was not recorded because this browser cannot store local simulation records.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このブラウザにローカルのシミュレーション記録を保存できないため</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ブラウザにシミュレーション履歴を保存できなかったため</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109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Nala実行の開始やアーティファクトの検証は行っていません。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この結果は正式な検証結果ではありません。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bounded statevector runs in this browser from the parsed gate model. It records the exact draft fingerprint; unsaved edits do not update a Vault version. Its local record is not verification, a Nala Run, or hardware execution.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解析済みの限定ゲートモデルから、このブラウザで状態ベクトルを実行します。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対応しているゲートをもとに、ブラウザ上で状態ベクトルシミュレーションを実行します。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bounded statevector runs in this browser from the parsed gate model. It records the exact draft fingerprint; unsaved edits do not update a Vault version. Its local record is not verification, a Nala Run, or hardware execution.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正確な下書きフィンガープリント</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実行した下書きの識別情報</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bounded statevector runs in this browser from the parsed gate model. It records the exact draft fingerprint; unsaved edits do not update a Vault version. Its local record is not verification, a Nala Run, or hardware execution.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ローカル記録は検証、Nala実行、ハードウェア実行ではありません。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この履歴はローカルシミュレーションの結果であり、正式な検証結果や実機の実行結果ではありません。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Source fingerprint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ソースフィンガープリント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ソース識別子</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Interchange fingerprint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中間表現フィンガープリント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変換後回路の識別子</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Direct parsed source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直接解析したソース</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元のソースコードを直接解析</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apps/web/lib/workspace-locale.ts:869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OpenQASM standard-gate decomposition · global-phase caveat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OpenQASM標準ゲート分解 · グローバル位相の留意事項あり</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OpenQASM標準ゲートに分解（グローバル位相は比較対象外）</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apps/web/lib/workspace-locale.ts:870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exact source already has a local simulation record. Confirm to create another record; it will not overwrite the earlier result.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この同一ソース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同じソースコード</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apps/web/lib/workspace-locale.ts:875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Base Vault version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基準ボールトバージョン</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実行元のバージョン</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apps/web/lib/workspace-locale.ts:883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119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All sampled counts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全サンプル測定値</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測定結果の合計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apps/web/lib/workspace-locale.ts:885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Provenance &amp; eligibility details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来歴と実行条件の詳細</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実行元と実行条件</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apps/web/lib/workspace-locale.ts:890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2 of shots landed on |3⟩ — a single dominant outcome in this sample.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単一の支配的な結果です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この状態が最も多く観測されました</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apps/web/lib/workspace-locale.ts:891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Shots concentrated on |3⟩ and |2⟩ (1 combined) — the correlated-pair signature.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相関ペアの特徴です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2つの状態に測定結果が集中しています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apps/web/lib/workspace-locale.ts:892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Hardware lanes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ハードウェアレーン</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量子コンピュータで実行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apps/web/lib/workspace-locale.ts:878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QPU execution is planned. It remains unavailable until a provider, estimate, confirmation, and spend policy are in place.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プロバイダー、見積り、確認、利用ポリシーが整うまで</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実機の提供元、料金、確認手順、利用条件が整うまで利用できません。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apps/web/lib/workspace-locale.ts:880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estimate is unavailable because the control plane could not be reached.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コントロールプレーンに接続できないため</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サーバーに接続できないため</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apps/web/lib/workspace-locale.ts:897,907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Free queue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無料キュー</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無料枠</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apps/web/lib/workspace-locale.ts:899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vendor rate card · confirmed 2026-…</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ベンダー料金表 · 2026-… 確認</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料金確認日: 2026-…</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Provider job</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プロバイダーのジョブ</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実機側のジョブID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apps/web/lib/workspace-locale.ts:913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129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Raw device counts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デバイスの生カウント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測定結果（生データ）</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apps/web/lib/workspace-locale.ts:915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Owner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このデプロイメントでは、オーナーにより</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現在の環境では、管理者が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apps/web/lib/workspace-locale.ts:917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provider SDK is not installed in this deployment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このデプロイメントにはプロバイダーSDKがインストールされていないため</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現在の環境は、この実機プロバイダーに対応していません。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apps/web/lib/workspace-locale.ts:919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Studio view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Studio表示</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Studio表示</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apps/web/lib/workspace-locale.ts:923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Circuit inspector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回路インスペクタ</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回路の詳細</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apps/web/lib/workspace-locale.ts:928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live draft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ライブ下書き</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編集中</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apps/web/lib/workspace-locale.ts:929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Verification contract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検証コントラクト</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検証条件</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Physical evidence — compared against what the physics should do</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物理的根拠</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物理結果まで検証</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apps/web/lib/workspace-locale.ts:932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Structural evidence — the shape of the answer was checked, not its physics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構造的根拠</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出力構造のみ検証</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apps/web/lib/workspace-locale.ts:933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Public reference — verified with caveats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公開リファレンス</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公開情報による検証（注意事項あり）</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apps/web/lib/workspace-locale.ts:934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139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Open the full record to load this version's checks.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完全な記録を開くと読み込まれます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詳細は検証記録で確認できます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apps/web/lib/workspace-locale.ts:936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CPU simulation uses these inputs; Verify &amp; save passes them through to the run planner. Leave seed blank to record a browser-chosen seed.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実行プランナーにそのまま渡します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正式な検証実行にも同じ値を使用します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apps/web/lib/workspace-locale.ts:940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Editing the 3 draft. Run it before treating it as verified.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検証済みとみなす前に実行してください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検証済みとして保存するには実行してください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apps/web/lib/workspace-locale.ts:957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Verification started. A passing run will become the next saved version.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合格した実行が次の保存バージョンになります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検証に合格すると、新しいバージョンとして保存されます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apps/web/lib/workspace-locale.ts:958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Leona実行で〜を開始しました</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Leona Runで〜を開始しました</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apps/web/lib/workspace-locale.ts:959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Bell-state starter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ベル状態スターター</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ベル状態のサンプル</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apps/web/lib/workspace-locale.ts:961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Click a gate to inspect its role.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ゲートをクリックして役割を確認します。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ゲートを選ぶと説明が表示されます。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apps/web/lib/workspace-locale.ts:964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atlas view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Atlas表示</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Atlasで見る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apps/web/lib/workspace-locale.ts:970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最初の永続アーティファクトバージョン</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最初の保存バージョン</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apps/web/lib/workspace-locale.ts:974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Run 3 will attach evidence when it finishes.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根拠が添付されます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検証結果が保存されます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apps/web/lib/workspace-locale.ts:976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149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Hadamard creates an equal superposition on the selected qubit.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均等な重ね合わせを作ります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等しい重ね合わせ状態を作ります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apps/web/lib/workspace-locale.ts:979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Pauli-X flips the selected qubit between |0⟩ and |1⟩.</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|0⟩と|1⟩の間で反転します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|0⟩と|1⟩を入れ替えます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apps/web/lib/workspace-locale.ts:980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Generated code applied to all framework drafts.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生成コードをすべてのフレームワーク下書きに反映しました。</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生成したコードを各フレームワークの下書きに反映しました。</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apps/web/lib/workspace-locale.ts:1001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saved custom gate from this composer.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このComposerで保存した</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このエディタで保存したカスタムゲート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apps/web/lib/workspace-locale.ts:1009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No safe 3 conversion exists for this circuit, so this tab shows the stored 2 source — it is a source reference, not 3 code. Exports and runs from this tab use 2.</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ソース参照です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変換後のコードではありません。表示中の元コードを使って書き出し・実行します。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apps/web/lib/workspace-locale.ts:1019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artifact's code goes beyond the visual builder — edit it in the Code tab.</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ビジュアルビルダー</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回路エディタ</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apps/web/lib/workspace-locale.ts:1018,1021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Studio・シミュレーション</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Read-only diagram · 3 qubits. Wider than the drag-and-drop builder (max 6) — reconstructed from the saved circuit so you can see it. The Code tab holds the source to edit and run.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ドラッグ&amp;ドロップ</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ドラッグ＆ドロップ</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apps/web/lib/workspace-locale.ts:1022</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156</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Your identity, your Vault, the workspaces you can open, and display preferences.</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本人情報、非公開ボールト、開けるワークスペース</w:t>
            </w:r>
          </w:p>
        </w:tc>
        <w:tc>
          <w:tcPr>
            <w:tcW w:type="dxa" w:w="4050"/>
            <w:vAlign w:val="center"/>
            <w:shd w:fill="FFF2CC"/>
            <w:tcBorders>
              <w:top w:val="single" w:sz="8" w:color="7F94AA"/>
              <w:left w:val="single" w:sz="8" w:color="7F94AA"/>
              <w:bottom w:val="single" w:sz="8" w:color="7F94AA"/>
              <w:right w:val="single" w:sz="8" w:color="7F94AA"/>
              <w:insideH w:val="single" w:sz="8" w:color="7F94AA"/>
              <w:insideV w:val="single" w:sz="8" w:color="7F94AA"/>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プロフィール、個人用Vault、利用できるワークスペース、表示設定</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apps/web/lib/workspace-locale.ts:1317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Your own workspace. Nobody else can open it unless you invite them below.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あなた自身のワークスペースです。下から招待しない限り</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個人用のワークスペースです。メンバーを招待しない限り</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apps/web/lib/workspace-locale.ts:1331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Off by default. When off, a finished run asks before it saves — the result is still there to open, convert and build on, it just does not fill your Vault unless you keep it.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結果は開いて変換したり続きを作ったりできますが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結果は開いて変換・編集できますが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apps/web/lib/workspace-locale.ts:1339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159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New results will ask before saving.</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これからの結果</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今後の実行結果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apps/web/lib/workspace-locale.ts:1340-1341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Workspace boundaries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ワークスペースの範囲</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ワークスペースごとのデータ管理</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apps/web/lib/workspace-locale.ts:1343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Saved runs and public references stay in your personal Vault.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保存した実行と公開リファレンス</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保存した実行結果とAtlasから追加した項目は、個人用Vaultに保存されます。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apps/web/lib/workspace-locale.ts:1345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Atlas export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Atlasから保存</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AtlasからVaultに追加</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apps/web/lib/workspace-locale.ts:1346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Collaboration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共同利用</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共同作業</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apps/web/lib/workspace-locale.ts:1348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No payment is collected during early access. Weekly run and Vault allowances are enforced; contact us if you need more room.</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追加が必要な場合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上限の引き上げが必要な場合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apps/web/lib/workspace-locale.ts:1355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Vault storage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ボールト保存</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ボールトの保存容量</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apps/web/lib/workspace-locale.ts:1360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How Leona Quantum will charge for agent runs and hardware. Shown for transparency — payments are not enabled.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がエージェント実行とハードウェアに課金する仕組みです。透明性のために表示しており</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将来予定している実行回数と実機利用の料金です。現在、支払いは発生しません。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apps/web/lib/workspace-locale.ts:1369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Hardware submission is unavailable in this deployment.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このデプロイメント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現在の環境</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apps/web/lib/workspace-locale.ts:1371,1374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Stripe is connected for future billing. It holds no payment methods and cannot charge anyone.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支払い方法は保持せず、誰にも請求できません。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支払い方法は登録されておらず、請求は発生しません。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apps/web/lib/workspace-locale.ts:1373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169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Owner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オーナー承認の方針を透明性のために表示しています。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管理者の承認方針</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apps/web/lib/workspace-locale.ts:1377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GPU / QPU hardware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GPU / QPU ハードウェア</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GPU・量子コンピュータ実行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apps/web/lib/workspace-locale.ts:1384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added to ${workspace} as ${role}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`${workspace} に${role}として追加`</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`${workspace} に ${role} として追加`</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apps/web/lib/workspace-locale.ts:1476-1477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You can run, save and edit everything in it — including work saved before you arrived.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すべて実行・保存・編集できます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すべての項目を実行・保存・編集できます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apps/web/lib/workspace-locale.ts:1478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Leave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参加しない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参加しない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apps/web/lib/workspace-locale.ts:1483-1487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Could not do that just now.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いま実行できませんでした。</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操作に失敗しました。もう一度お試しください。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apps/web/lib/workspace-locale.ts:1490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3 created. Open it when you are ready — you are still here for now.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準備ができたら開いてください（今はまだ移動していません）。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ワークスペースを作成しました。開くと、このワークスペースに切り替わります。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apps/web/lib/workspace-locale.ts:1668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Keep it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残る</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削除しない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apps/web/lib/workspace-locale.ts:1672,1681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Deleting a workspace takes it away from everyone in it, along with every run and saved artifact it holds. You cannot undo this here.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参加している全員から見えなくなります。中の実行と保存済みアーティファクトもすべて含まれます。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削除すると、参加者全員がアクセスできなくなり、実行記録と保存済み回路も削除されます。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apps/web/lib/workspace-locale.ts:1683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People who can act in the workspace you have open.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いま開いているワークスペースで作業できる人です。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現在のワークスペースにアクセスできるメンバーです。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apps/web/lib/workspace-locale.ts:1696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179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Inviting…</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追加中…</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招待中…</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apps/web/lib/workspace-locale.ts:1701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Could not remove that person.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この人を削除できませんでした。</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このメンバーをワークスペースから削除できませんでした。</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apps/web/lib/workspace-locale.ts:1717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First name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名</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名</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apps/web/app/welcome/welcome-form.tsx:26-27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アカウント・共同ワークスペース</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Account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アカウントを開く前に実名が必要です。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利用を開始する前に氏名の登録が必要です。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apps/web/app/welcome/page.tsx:23</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183</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Algorithms</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アルゴリズム系統</w:t>
            </w:r>
          </w:p>
        </w:tc>
        <w:tc>
          <w:tcPr>
            <w:tcW w:type="dxa" w:w="4050"/>
            <w:vAlign w:val="center"/>
            <w:shd w:fill="FFF2CC"/>
            <w:tcBorders>
              <w:top w:val="single" w:sz="8" w:color="7F94AA"/>
              <w:left w:val="single" w:sz="8" w:color="7F94AA"/>
              <w:bottom w:val="single" w:sz="8" w:color="7F94AA"/>
              <w:right w:val="single" w:sz="8" w:color="7F94AA"/>
              <w:insideH w:val="single" w:sz="8" w:color="7F94AA"/>
              <w:insideV w:val="single" w:sz="8" w:color="7F94AA"/>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アルゴリズム</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apps/web/app/repository/repository-browser.tsx:48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All families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すべての系統</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すべてのアルゴリズム</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apps/web/app/repository/repository-browser.tsx:50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Collapse to single gate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1ゲート表示に戻す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元のゲート表示に戻す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apps/web/app/repository/repository-browser.tsx:56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variant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バリアント</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別の構成</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apps/web/app/repository/repository-browser.tsx:61-62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Atlas stars stay in this public list.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公開Atlasのスターはこの一覧に保存されます。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スターはこの端末のAtlas一覧に保存されます。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apps/web/app/repository/repository-browser.tsx:65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private copy starts unstarred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非公開コピーは未スターで始まります。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ボールトに追加したコピーには、スターは引き継がれません。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apps/web/app/repository/repository-browser.tsx:65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189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return to the full reference set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すべての参照セットに戻してください。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条件を解除して、すべての項目を表示してください。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apps/web/app/repository/repository-browser.tsx:67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Standard textbook treatment of the maximally mixed state, its unitary invariance, and its role as the partial trace of a maximally entangled state.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エンタングル状態</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量子もつれ状態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apps/web/app/repository/repository-browser.tsx:98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entry.algorithmFamily / Algorithm family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entry.algorithmFamily</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アルゴリズムの分類</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apps/web/app/repository/[slug]/repository-entry-view.tsx:164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Quantum claim</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量子側の主張</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量子手法の特徴</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apps/web/app/repository/[slug]/repository-entry-view.tsx:79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No native snippet published yet.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ネイティブスニペットはまだ公開されていません。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このフレームワーク向けのコードはまだありません。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apps/web/app/repository/[slug]/repository-entry-view.tsx:86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record is not a concrete circuit.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この記録は具体的な回路ではありません。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この項目には実行可能な回路がありません。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apps/web/app/repository/[slug]/repository-entry-view.tsx:87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Reviewed by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reviewedBy</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確認者</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apps/web/app/repository/[slug]/repository-entry-view.tsx:90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Universal role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万能性での役割</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普遍量子計算での役割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apps/web/app/repository/[slug]/repository-entry-view.tsx:132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Promise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約束条件</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前提条件</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apps/web/app/repository/[slug]/repository-entry-view.tsx:136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Workspace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サインインしてワークスペースを開きます。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サインインしてVaultに追加</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apps/web/app/repository/repository-export.tsx:40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199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検証済みの実行で続けたりできます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Runで実行・検証する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apps/web/app/repository/repository-export.tsx:41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Authentication is not configured in this environment yet.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この環境では認証がまだ設定されていません。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現在、サインイン機能を利用できません。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apps/web/app/repository/repository-export.tsx:43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private copy starts unstarred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非公開コピーは未スターで始まります。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ボールトに追加したコピーにはスターは引き継がれません。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apps/web/app/repository/repository-export.tsx:46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Atlas一覧・詳細画面</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Search circuits and algorithms, then inspect how they work, what simulation shows, which code is available, and where source, license, and verification boundaries begin.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検証の境界を確認できます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どこまで検証済みか確認できます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apps/web/app/repository/(browse)/page.tsx:27</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203</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Every record is classified by how it was verified. The badge shows the strongest tier of evidence; the chips list each method that applies.</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各レコードは、どのように検証されたかで分類されます。</w:t>
            </w:r>
          </w:p>
        </w:tc>
        <w:tc>
          <w:tcPr>
            <w:tcW w:type="dxa" w:w="4050"/>
            <w:vAlign w:val="center"/>
            <w:shd w:fill="FFF7D6"/>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各項目は、検証方法に応じて分類されます。</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apps/web/components/repository-verification.tsx:68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Every record is classified by how it was verified. The badge shows the strongest tier of evidence; the chips list each method that applies.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最も強い根拠の階層</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最も厳密な検証区分</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apps/web/components/repository-verification.tsx:68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Every record is classified by how it was verified. The badge shows the strongest tier of evidence; the chips list each method that applies.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チップは適用された個々の方法</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各ラベルは実施した検証方法</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apps/web/components/repository-verification.tsx:68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Strong empirical</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強い実証</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実測データによる検証</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apps/web/lib/repository/verification.ts:72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design was verified by construction plus measured evidence: statistical re-execution, small-instance analytic agreement, sub-block, echo, or invariant checks. Scale-specific bugs can still survive.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実測的根拠</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測定結果に基づく検証</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apps/web/lib/repository/verification.ts:77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record rests on external authority: peer-reviewed papers, standard textbooks, expert review, or evidence carried over from related verified entries. Nothing here was re-executed by this catalog.</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関連レコードからの傍証</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関連する検証済み項目による裏付け</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apps/web/lib/repository/verification.ts:88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209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record rests on external authority: peer-reviewed papers, standard textbooks, expert review, or evidence carried over from related verified entries. Nothing here was re-executed by this catalog.</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このカタログで再実行された根拠ではありません。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このカタログ上では再実行していません。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apps/web/lib/repository/verification.ts:88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Only automated (LLM-assisted) review or an unreviewed community submission backs this record so far. Treat it as a starting point, not evidence.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根拠ではなく出発点として</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現時点では参考情報です。正しさの根拠としては扱わないでください。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apps/web/lib/repository/verification.ts:99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Reversible classical logic was checked exhaustively (or at edge cases) on computational-basis inputs.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境界事例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境界値</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apps/web/lib/repository/verification.ts:142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measured counts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測定カウント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測定結果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apps/web/lib/repository/verification.ts:150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Measured counts from independent executions agreed within statistical tolerance (e.g. TVD bounds).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TVD境界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TVDの許容範囲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apps/web/lib/repository/verification.ts:150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same generator matched analytic results at tractable sizes; large instances are inferred.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大規模は推論です。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大規模な回路での一致は未確認です。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apps/web/lib/repository/verification.ts:158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record's claims trace to one or more peer-reviewed publications cited on the entry.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レコードの主張</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この項目の説明</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apps/web/lib/repository/verification.ts:198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named human reviewer with domain expertise checked the record.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領域の専門知識</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該当分野の専門知識</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apps/web/lib/repository/verification.ts:214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Verified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関連する検証済みレコード</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関連する検証済み項目</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apps/web/lib/repository/verification.ts:222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検証ラベル</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An LLM checked the record for internal consistency. Useful screening, not evidence of correctness.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LLMがレコードの内部整合性を確認</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LLMによる整合性確認</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apps/web/lib/repository/verification.ts:230</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219</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Analyzes parameter setting and the ring-of-disagrees instance used by this record.</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このレコード</w:t>
            </w:r>
          </w:p>
        </w:tc>
        <w:tc>
          <w:tcPr>
            <w:tcW w:type="dxa" w:w="4050"/>
            <w:vAlign w:val="center"/>
            <w:shd w:fill="FFF2CC"/>
            <w:tcBorders>
              <w:top w:val="single" w:sz="8" w:color="7F94AA"/>
              <w:left w:val="single" w:sz="8" w:color="7F94AA"/>
              <w:bottom w:val="single" w:sz="8" w:color="7F94AA"/>
              <w:right w:val="single" w:sz="8" w:color="7F94AA"/>
              <w:insideH w:val="single" w:sz="8" w:color="7F94AA"/>
              <w:insideV w:val="single" w:sz="8" w:color="7F94AA"/>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この項目</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apps/web/lib/repository/enrichment.ts:41-223 / apps/web/lib/repository/entries-legacy.ts:72,451,922,1182,1369 / apps/web/lib/repository/entries-gates.ts:33,605,1014 / apps/web/lib/repository/entries-gates-2.ts:24,545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Defines the standard gate library (rx, ry, rz, p, u3-equivalent U, sx) used natively by the code snippets on this record.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この記録</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この項目</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apps/web/lib/repository/entries-gates.ts:33 / apps/web/lib/repository/entries-gates-2.ts:24,545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 boundary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〜の境界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範囲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apps/web/lib/repository/entries-legacy.ts:300,381,888,1547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How Leona Quantum handles information on the public website and early-access product.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説明します: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次のとおりです。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apps/web/lib/repository/enrichment.ts:91-223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half-width parentheses in Japanese body text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半角括弧を日本語本文中で多用している箇所は全角括弧へ統一</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日本語本文の括弧は全角（ ）に統一</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apps/web/lib/repository/enrichment.ts:85-223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smallest useful reference for putting a qubit into an equal superposition.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最小の参照例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最も基本的な例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apps/web/lib/repository/entries-legacy.ts:68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Hadamard is a good first record because its behavior is easy to inspect mathematically and in a measured distribution.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最初の参照レコード</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最初に確認する基本例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apps/web/lib/repository/entries-legacy.ts:72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two-qubit entanglement example with a return contract and distribution check.</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戻り値の契約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出力形式</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apps/web/lib/repository/entries-legacy.ts:216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Simulator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シミュレータ検証の境界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シミュレータで検証した範囲</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apps/web/lib/repository/entries-legacy.ts:300</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Simulate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再現可能なシミュレーション証拠</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再現可能なシミュレーション結果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apps/web/lib/repository/entries-legacy.ts:377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229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record moves from primitives to a small optimization workload: the objective, circuit, sampling boundary, and acceptance metric stay visible together.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サンプリングの境界、受入指標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サンプリング条件と判定基準</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apps/web/lib/repository/entries-legacy.ts:381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This record moves from primitives to a small optimization workload: the objective, circuit, sampling boundary, and acceptance metric stay visible together.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小さな最適化ワークロード</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小規模な最適化例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apps/web/lib/repository/entries-legacy.ts:381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cost Hamiltonian encodes the edges of a five-node ring. At p=1, the circuit is intentionally small; the public claim is about the recorded distribution check, not a hardware optimum claim.</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ハードウェア最適解ではなく記録された分布チェックを公開主張とします。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実機上の最適性は主張せず、記録した分布の確認結果のみを示します。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apps/web/lib/repository/entries-legacy.ts:385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cryptography-facing quantum algorithm record, with the assumptions that make its security relevance precise.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暗号分野に関係する量子アルゴリズムを、セキュリティ上の前提とともに記録します。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暗号に関わる量子アルゴリズムと、その安全性の前提を説明します。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apps/web/lib/repository/entries-legacy.ts:569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linear-algebra reference that forces the catalog to show input loading, conditioning, and output observability.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入力ロード</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入力データの読み込み</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apps/web/lib/repository/entries-legacy.ts:922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linear-algebra reference that forces the catalog to show input loading, conditioning, and output observability.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出力観測可能性</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出力として取得できる情報</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apps/web/lib/repository/entries-legacy.ts:922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quantum feature-map record paired with a classical SVM so model quality and data costs stay visible.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モデル品質とデータコストを可視化するため</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モデルの性能とデータ準備コストを比較するため</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apps/web/lib/repository/entries-legacy.ts:1006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fault-tolerance record for comparing physical error, syndrome extraction, decoder choice, and logical failure.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フォールトトレランス記録</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誤り耐性の比較</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apps/web/lib/repository/entries-legacy.ts:1274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QFT record emphasizes the metadata researchers need before reuse: wire count, phase-rotation structure, and what the export check actually covers.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ワイヤ数</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量子ビット数</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apps/web/lib/repository/entries-legacy.ts:1369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non-Clifford phase gate that marks the boundary between a compact Clifford set and universal synthesis.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万能な合成の境界</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普遍ゲート合成における位置づけ</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apps/web/lib/repository/entries-legacy.ts:1547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239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SWAP belongs in a practical catalog because moving a state is often a compilation concern, not an algorithmic one.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コンパイル上の関心</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コンパイル時の課題</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apps/web/lib/repository/entries-legacy.ts:1617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Bernstein–Vazirani is a useful companion to Deutsch–Jozsa because it returns the hidden string rather than only its promise class.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Deutsch–Jozsaの補助記録</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Deutsch–Jozsaと比較できる例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apps/web/lib/repository/entries-legacy.ts:1689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circuit is stored once as a framework-neutral ordered gate graph and converted lazily when a framework is selected. The converter preserves gate order, numeric angle expressions, qubit indices, and terminal all-qubit measurement for its bounded gate set. It intentionally does not claim that downstream compiler decompositions or device behavior are identical. The cited MQT Bench work motivates scalable, cross-level benchmark families; this particular circuit is a Leona Quantum-authored scaffold and should be compared by width, operation count, transpiled depth, two-qubit count, and measured output behavior.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Quantum独自の足場</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Quantum独自のサンプル実装</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apps/web/lib/repository/entries-literature-expansion.ts:295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Operators with disjoint support are packed into the same adaptive layer to reduce circuit depth. In a complete experiment, the method must be paired with a defined qubit Hamiltonian, reference state, parameterized circuit, measurement grouping, classical optimizer, stopping rule, and error analysis. The catalog therefore treats it as a literature-backed algorithm record rather than pretending that one generic snippet is the paper's implementation. Use the cited source to recover assumptions and compare energy error, variance, circuit resources, measurement cost, optimizer evaluations, and robustness under the same instance and budget.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一般的な1つのスニペットを論文実装と装うのではなく</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特定論文の実装ではなく、文献に基づく一般的なアルゴリズム例として掲載します。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apps/web/lib/repository/entries-literature-expansion.ts:406</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maximally mixed state ρ = I/2ⁿ: the unique n-qubit state invariant under every unitary, carrying zero information and maximal (n-bit) von Neumann entropy.</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nビット量子ビット状態</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n量子ビット状態</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apps/web/lib/repository/entries-states-operators-2.ts:415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relabeling</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relabeling</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ラベルの付け替え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apps/web/lib/repository/entries-states-operators.ts:309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 QFT maps computational basis states to a Fourier basis: $\mathrm{QFT}|j\rangle=\frac{1}{\sqrt{2^n}}\sum_{k=0}^{2^n-1}e^{2\pi i jk/2^n}|k\rangle$ for an $n$-qubit register. The standard circuit applies a Hadamard on the top qubit, then controlled phase rotations $R_k=\mathrm{diag}(1,e^{2\pi i/2^k})$ from every later qubit into it, repeats for each qubit in turn, and optionally reverses qubit order with a final SWAP layer depending on bit-order convention — the layer this record's metadata keeps explicit. The circuit uses $n$ Hadamards and $\binom{n}{2}$ controlled-phase gates, giving $O(n^2)$ total gates versus the classical FFT's $O(N\log N)=O(2^n\cdot n)$ arithmetic operations on a full amplitude vector — an exponential gate-count saving, but only over quantum amplitudes that must then be sampled, not a free classical output vector. This record's check is a parser/compile-compatibility comparison across the export path, not a numerical circuit-correctness proof.</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無料の古典出力ベクトルではありません。</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古典的な出力ベクトル全体を追加コストなしで得られるわけではありません。</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apps/web/lib/repository/enrichment.ts:213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 quantum kernel maps a classical input $x$ to a quantum state $|\phi(x)\rangle=U(x)|0\rangle$ via a feature-map circuit $U(x)$, and defines a kernel via the state overlap $K(x,y)=|\langle\phi(x)|\phi(y)\rangle|^2$. The circuit estimates $K(x,y)$ by applying $U(x)$ then $U(y)^\dagger$ and measuring the probability of returning to $|0\rangle^{\otimes n}$: $\Pr[0^n] = |\langle 0|U(y)^\dagger U(x)|0\rangle|^2 = K(x,y)$, so each entry of the kernel matrix costs repeated circuit shots rather than a closed-form evaluation. The resulting Gram matrix $K$ is handed to a standard classical SVM, which still performs the convex optimization over Lagrange multipliers — the quantum circuit only changes the feature map, not the learning algorithm. This record checks that $K$ is symmetric and numerically positive-semidefinite (within tolerance) on a small dataset; as its own caveat states, whether a given feature map's kernel actually separates a dataset better than a tuned classical kernel is a separate, data-dependent question this toy check does not answer.</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トイチェック</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小規模な確認</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apps/web/lib/repository/enrichment.ts:201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Shor's nine-qubit code protects one logical qubit against an arbitrary single-qubit Pauli error by nesting two three-qubit repetition codes in complementary bases. First, $|\psi\rangle=\alpha|0\rangle+\beta|1\rangle$ is encoded phase-flip-style into $\alpha|{+}{+}{+}\rangle+\beta|{-}{-}{-}\rangle$ using $H$ and CNOTs, then each of those three qubits is bit-flip-encoded via $|0\rangle\to|000\rangle$, $|1\rangle\to|111\rangle$, giving nine physical qubits. Ancilla-assisted stabilizer measurements ($Z_iZ_j$ within each triple, and $X$-type parity across triples) identify which error class occurred — bit flip, phase flip, or both — without collapsing the encoded logical amplitudes $\alpha,\beta$, and a decoder applies the matching Pauli correction. This record documents that stabilizer structure as a code-level reference, matching its own caveat: whether encoding nine noisy physical qubits actually beats one bare qubit depends on the calibrated noise model, since encoding, syndrome extraction, and ancilla errors can outweigh the protection on small noisy devices.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1個の裸の量子ビット</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符号化していない1量子ビット</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apps/web/lib/repository/enrichment.ts:205</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Atlas本文・技術解説</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Surface codes protect a logical qubit using only local stabilizer checks on a 2D lattice: data qubits sit on edges or vertices, and repeated measurement of local $X$-type and $Z$-type stabilizer operators produces a syndrome without ever measuring the encoded logical state directly. Stacking syndrome rounds over time traces out a space-time syndrome graph; a decoder (typically minimum-weight perfect matching or a neural/tensor-network decoder) infers the most likely error chain consistent with that graph, and the logical observable fails only when the true error and the inferred correction differ by a nontrivial logical operator — an event whose rate drops super-linearly below the physical error rate once the code operates below its threshold. The XZZX variant this record cites reshapes the stabilizers so that a biased (e.g. dephasing-dominated) physical noise channel is matched more efficiently than the standard surface code, without needing a higher weight. This record documents the syndrome-round and logical-observable workflow as an architecture reference; it makes no hardware threshold claim of its own, and — per its caveat — decoder quality, leakage, measurement error, and connectivity determine the useful operating point.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超線形に低くなります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物理誤り率がしきい値を下回ると、符号距離を大きくするほど論理誤り率は急速に低下します。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apps/web/lib/repository/enrichment.ts:209</w:t>
            </w:r>
          </w:p>
        </w:tc>
      </w:tr>
      <w:tr>
        <w:trPr/>
        <w:tc>
          <w:tcPr>
            <w:tcW w:type="dxa" w:w="5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249</w:t>
            </w:r>
          </w:p>
        </w:tc>
        <w:tc>
          <w:tcPr>
            <w:tcW w:type="dxa" w:w="12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Early access</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早期アクセスのプロダクトで</w:t>
            </w:r>
          </w:p>
        </w:tc>
        <w:tc>
          <w:tcPr>
            <w:tcW w:type="dxa" w:w="4050"/>
            <w:vAlign w:val="center"/>
            <w:shd w:fill="FFF2CC"/>
            <w:tcBorders>
              <w:top w:val="single" w:sz="8" w:color="7F94AA"/>
              <w:left w:val="single" w:sz="8" w:color="7F94AA"/>
              <w:bottom w:val="single" w:sz="8" w:color="7F94AA"/>
              <w:right w:val="single" w:sz="8" w:color="7F94AA"/>
              <w:insideH w:val="single" w:sz="8" w:color="7F94AA"/>
              <w:insideV w:val="single" w:sz="8" w:color="7F94AA"/>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早期アクセス版</w:t>
            </w:r>
          </w:p>
        </w:tc>
        <w:tc>
          <w:tcPr>
            <w:tcW w:type="dxa" w:w="2900"/>
            <w:vAlign w:val="center"/>
            <w:tcBorders>
              <w:top w:val="single" w:sz="8" w:color="7F94AA"/>
              <w:left w:val="single" w:sz="8" w:color="7F94AA"/>
              <w:bottom w:val="single" w:sz="8" w:color="7F94AA"/>
              <w:right w:val="single" w:sz="8" w:color="7F94AA"/>
              <w:insideH w:val="single" w:sz="8" w:color="7F94AA"/>
              <w:insideV w:val="single" w:sz="8" w:color="7F94AA"/>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apps/web/lib/public-copy.ts:344</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When you use the workbench, we may process prompts, generated code, circuit data, run settings, simulation results, verification records, saved artifacts, and related metadata that you choose to submit.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送信した問い</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入力した内容</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Artifacts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ボールトアーティファクトの保存と再開</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Vaultへの保存と再表示</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We may use aggregated or de-identified operational information to understand performance. We do not present private workspace artifacts as public Atlas material without an explicit publish action.</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性能理解と改善</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性能の把握と改善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apps/web/lib/public-copy.ts:348</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relies on specialized providers for hosting, authentication, databases, observability, model access, and isolated code execution. Those providers may process information only as needed to provide their services.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可観測性</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稼働状況の監視</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relies on specialized providers for hosting, authentication, databases, observability, model access, and isolated code execution. Those providers may process information only as needed to provide their services.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モデル利用</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AIモデルの利用</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Generated code is treated as untrusted input and is intended to run in an isolated, network-restricted execution environment. Do not submit secrets or information you are not authorized to process.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隔離されネットワーク制限された環境</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ネットワークアクセスを制限した隔離環境</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apps/web/lib/public-copy.ts:349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5. Retention and your choices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保持と選択肢</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保存期間と利用者の選択</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apps/web/lib/public-copy.ts:351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We retain account and workspace records for as long as needed to provide the service, meet legitimate operational needs, resolve disputes, and comply with applicable obligations. Retention may vary by record type and account status.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正当な運用</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サービスの適切な運用</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apps/web/lib/public-copy.ts:351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258</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We retain account and workspace records for as long as needed to provide the service, meet legitimate operational needs, resolve disputes, and comply with applicable obligations. Retention may vary by record type and account status.</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適用される義務への対応</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法令上の義務への対応</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apps/web/lib/public-copy.ts:351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259</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Our product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プロダクトの段階に応じた合理的な対策</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サービスの現段階で合理的に可能な対策</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apps/web/lib/public-copy.ts:352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260</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These plain-language terms are a practical starting point for the current product. Additional commercial terms may apply when paid plans or enterprise agreements become available.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平易な出発点</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現時点での基本条件</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apps/web/lib/public-copy.ts:387</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261</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By accessing Leona Quantum, you agree to use the service lawfully, respect other users, and follow these terms. If you use it for an organization, you represent that you have authority to accept these terms on its behalf.</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適法に利用し</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本サービスを適法に利用し</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apps/web/lib/public-copy.ts:389</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262</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helps generate, execute, and analyze technical work. Generated code can be incomplete or wrong. A verification result means that the documented checks passed for the recorded run and conditions; it is not a guarantee of correctness in every environment or a promise of algorithmic advantage.</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文書化されたチェックが通った</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記録された条件で、所定の検証に合格した</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apps/web/lib/public-copy.ts:391</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263</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You keep the rights you have in content you submit. You grant Leona Quantum the limited permission needed to host, process, execute, display, back up, and improve the service for you. Private Vault content is not public by default.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利用者が持つ権利は保持されます。</w:t>
            </w:r>
          </w:p>
        </w:tc>
        <w:tc>
          <w:tcPr>
            <w:tcW w:type="dxa" w:w="4050"/>
            <w:vAlign w:val="center"/>
            <w:shd w:fill="FFF2CC"/>
            <w:tcBorders>
              <w:top w:val="single" w:sz="4" w:color="D7DCE2"/>
              <w:left w:val="single" w:sz="4" w:color="D7DCE2"/>
              <w:bottom w:val="single" w:sz="4" w:color="D7DCE2"/>
              <w:right w:val="single" w:sz="4" w:color="D7DCE2"/>
              <w:insideH w:val="single" w:sz="4" w:color="D7DCE2"/>
              <w:insideV w:val="single" w:sz="4" w:color="D7DCE2"/>
            </w:tcBorders>
            <w:tcMar>
              <w:top w:w="90" w:type="dxa"/>
              <w:bottom w:w="90" w:type="dxa"/>
              <w:start w:w="90" w:type="dxa"/>
              <w:end w:w="90" w:type="dxa"/>
            </w:tcMar>
          </w:tcPr>
          <w:p>
            <w:pPr>
              <w:spacing w:before="0" w:after="0" w:line="252" w:lineRule="auto"/>
            </w:pPr>
            <w:r>
              <w:rPr>
                <w:rFonts w:ascii="Hiragino Sans" w:hAnsi="Hiragino Sans" w:eastAsia="Hiragino Sans" w:cs="Hiragino Sans" w:hint="eastAsia"/>
                <w:b w:val="0"/>
                <w:color w:val="222222"/>
                <w:sz w:val="17"/>
              </w:rPr>
              <w:t>利用者は、送信したコンテンツについて、自らが保有する権利を引き続き保持します。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apps/web/lib/public-copy.ts:392</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264</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5. Early-access packaging</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早期アクセスのパッケージ</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早期アクセスの提供条件</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apps/web/lib/public-copy.ts:393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265</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These plans describe the intended early-access packaging. Exact limits, credits, and checkout will be confirmed before paid billing is enabled. No card is required to explore the public Atlas or discuss a research workflow.</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想定パッケージ</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提供予定のプラン内容</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apps/web/lib/public-copy.ts:393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266</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Leona Quantum is currently an early-access product. The pricing page describes intended packaging; paid billing, limits, credits, and refunds will be governed by terms shown before a transaction is enabled.</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有料化前に表示される条件が決済、上限、クレジット、返金を定めます。</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決済、利用上限、クレジット、返金の条件は、有料サービスの申込み前に表示します。</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apps/web/lib/public-copy.ts:393</w:t>
            </w:r>
          </w:p>
        </w:tc>
      </w:tr>
      <w:tr>
        <w:trPr/>
        <w:tc>
          <w:tcPr>
            <w:tcW w:type="dxa" w:w="5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jc w:val="center"/>
            </w:pPr>
            <w:r/>
            <w:r>
              <w:rPr>
                <w:rFonts w:ascii="Hiragino Sans" w:hAnsi="Hiragino Sans" w:eastAsia="Hiragino Sans"/>
                <w:b w:val="0"/>
                <w:color w:val="000000"/>
                <w:sz w:val="17"/>
              </w:rPr>
              <w:t>267</w:t>
            </w:r>
          </w:p>
        </w:tc>
        <w:tc>
          <w:tcPr>
            <w:tcW w:type="dxa" w:w="12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6"/>
              </w:rPr>
              <w:t>法務ページ</w:t>
            </w:r>
          </w:p>
        </w:tc>
        <w:tc>
          <w:tcPr>
            <w:tcW w:type="dxa" w:w="285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Nothing on Leona Quantum is legal, medical, financial, or safety advice. Any limitation of liability or indemnity terms required for a paid or enterprise relationship will be stated in the applicable commercial agreement.</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エンタープライズ関係</w:t>
            </w:r>
          </w:p>
        </w:tc>
        <w:tc>
          <w:tcPr>
            <w:tcW w:type="dxa" w:w="4050"/>
            <w:vAlign w:val="center"/>
            <w:shd w:fill="FFF7D6"/>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000000"/>
                <w:sz w:val="17"/>
              </w:rPr>
              <w:t>法人向け契約</w:t>
            </w:r>
          </w:p>
        </w:tc>
        <w:tc>
          <w:tcPr>
            <w:tcW w:type="dxa" w:w="2900"/>
            <w:vAlign w:val="center"/>
            <w:tcBorders>
              <w:top w:val="single" w:sz="4" w:color="D7DCE2"/>
              <w:left w:val="single" w:sz="4" w:color="D7DCE2"/>
              <w:bottom w:val="single" w:sz="4" w:color="D7DCE2"/>
              <w:right w:val="single" w:sz="4" w:color="D7DCE2"/>
              <w:insideH w:val="single" w:sz="4" w:color="D7DCE2"/>
              <w:insideV w:val="single" w:sz="4" w:color="D7DCE2"/>
            </w:tcBorders>
            <w:tcMar>
              <w:top w:w="70" w:type="dxa"/>
              <w:bottom w:w="70" w:type="dxa"/>
              <w:start w:w="90" w:type="dxa"/>
              <w:end w:w="90" w:type="dxa"/>
            </w:tcMar>
          </w:tcPr>
          <w:p>
            <w:pPr>
              <w:spacing w:before="0" w:after="30" w:line="252" w:lineRule="auto"/>
            </w:pPr>
            <w:r/>
            <w:r>
              <w:rPr>
                <w:rFonts w:ascii="Hiragino Sans" w:hAnsi="Hiragino Sans" w:eastAsia="Hiragino Sans"/>
                <w:b w:val="0"/>
                <w:color w:val="48515C"/>
                <w:sz w:val="15"/>
              </w:rPr>
              <w:t>apps/web/lib/public-copy.ts:394</w:t>
            </w:r>
          </w:p>
        </w:tc>
      </w:tr>
    </w:tbl>
    <w:sectPr w:rsidR="00FC693F" w:rsidRPr="0006063C" w:rsidSect="00034616">
      <w:headerReference w:type="default" r:id="rId9"/>
      <w:footerReference w:type="default" r:id="rId10"/>
      <w:pgSz w:w="15840" w:h="12240" w:orient="landscape"/>
      <w:pgMar w:top="720" w:right="720" w:bottom="720"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Hiragino Sans" w:hAnsi="Hiragino Sans" w:eastAsia="Hiragino Sans"/>
        <w:b w:val="0"/>
        <w:color w:val="666666"/>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Hiragino Sans" w:hAnsi="Hiragino Sans" w:eastAsia="Hiragino Sans"/>
        <w:b/>
        <w:color w:val="5B6573"/>
        <w:sz w:val="17"/>
      </w:rPr>
      <w:t>LEONA QUANTUM  |  日本語UI文言レビュー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iragino Sans" w:hAnsi="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Leona Quantum 日本語UI文言レビュー（競合分析改訂版）</dc:title>
  <dc:subject>国内量子スタートアップの日本語表現分析を踏まえたUI文言レビュー</dc:subject>
  <dc:creator>Leona Quantum</dc:creator>
  <cp:keywords>Leona Quantum, 日本語UI, QunaSys, Quemix, blueqat, JIJ, Quanmatic, OptQC</cp:keywords>
  <dc:description>generated by python-docx</dc:description>
  <cp:lastModifiedBy/>
  <cp:revision>1</cp:revision>
  <dcterms:created xsi:type="dcterms:W3CDTF">2013-12-23T23:15:00Z</dcterms:created>
  <dcterms:modified xsi:type="dcterms:W3CDTF">2013-12-23T23:15:00Z</dcterms:modified>
  <cp:category/>
</cp:coreProperties>
</file>