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3F9AA" w14:textId="77777777" w:rsidR="001D6462" w:rsidRPr="00166B3C" w:rsidRDefault="00967E71">
      <w:pPr>
        <w:spacing w:after="0" w:line="259" w:lineRule="auto"/>
        <w:ind w:left="0" w:firstLine="0"/>
        <w:jc w:val="center"/>
        <w:rPr>
          <w:lang w:val="fr-FR"/>
        </w:rPr>
      </w:pPr>
      <w:r w:rsidRPr="00166B3C">
        <w:rPr>
          <w:sz w:val="34"/>
          <w:lang w:val="fr-FR"/>
        </w:rPr>
        <w:t>Projet MADMC 2021–2022</w:t>
      </w:r>
    </w:p>
    <w:p w14:paraId="609DD243" w14:textId="77777777" w:rsidR="001D6462" w:rsidRPr="00166B3C" w:rsidRDefault="00967E71">
      <w:pPr>
        <w:spacing w:after="435" w:line="250" w:lineRule="auto"/>
        <w:ind w:left="0" w:firstLine="0"/>
        <w:jc w:val="center"/>
        <w:rPr>
          <w:lang w:val="fr-FR"/>
        </w:rPr>
      </w:pPr>
      <w:r w:rsidRPr="00166B3C">
        <w:rPr>
          <w:sz w:val="34"/>
          <w:lang w:val="fr-FR"/>
        </w:rPr>
        <w:t>Élicitation incrémentale et recherche locale pour le problème du sac à dos multi-objectifs</w:t>
      </w:r>
    </w:p>
    <w:p w14:paraId="21983693" w14:textId="77777777" w:rsidR="001D6462" w:rsidRPr="00166B3C" w:rsidRDefault="00967E71">
      <w:pPr>
        <w:spacing w:after="72" w:line="265" w:lineRule="auto"/>
        <w:ind w:left="-5"/>
        <w:jc w:val="left"/>
        <w:rPr>
          <w:lang w:val="fr-FR"/>
        </w:rPr>
      </w:pPr>
      <w:r w:rsidRPr="00166B3C">
        <w:rPr>
          <w:lang w:val="fr-FR"/>
        </w:rPr>
        <w:t>1. Introduction</w:t>
      </w:r>
    </w:p>
    <w:p w14:paraId="67725DE5" w14:textId="77777777" w:rsidR="001D6462" w:rsidRPr="00166B3C" w:rsidRDefault="00967E71">
      <w:pPr>
        <w:ind w:left="-5"/>
        <w:rPr>
          <w:lang w:val="fr-FR"/>
        </w:rPr>
      </w:pPr>
      <w:r w:rsidRPr="00166B3C">
        <w:rPr>
          <w:lang w:val="fr-FR"/>
        </w:rPr>
        <w:t xml:space="preserve">On s’intéresse dans ce projet à la version suivante du problème du sac à dos multi-objectifs (objectifs à </w:t>
      </w:r>
      <w:r w:rsidRPr="00166B3C">
        <w:rPr>
          <w:lang w:val="fr-FR"/>
        </w:rPr>
        <w:t>maximiser</w:t>
      </w:r>
      <w:r w:rsidRPr="00166B3C">
        <w:rPr>
          <w:lang w:val="fr-FR"/>
        </w:rPr>
        <w:t>) :</w:t>
      </w:r>
    </w:p>
    <w:p w14:paraId="298918BF" w14:textId="77777777" w:rsidR="001D6462" w:rsidRPr="00166B3C" w:rsidRDefault="00967E71">
      <w:pPr>
        <w:spacing w:after="86" w:line="259" w:lineRule="auto"/>
        <w:ind w:left="0" w:firstLine="0"/>
        <w:jc w:val="left"/>
        <w:rPr>
          <w:lang w:val="fr-FR"/>
        </w:rPr>
      </w:pPr>
      <w:r w:rsidRPr="00166B3C">
        <w:rPr>
          <w:i/>
          <w:lang w:val="fr-FR"/>
        </w:rPr>
        <w:t>Données :</w:t>
      </w:r>
    </w:p>
    <w:p w14:paraId="0B872936" w14:textId="77777777" w:rsidR="001D6462" w:rsidRPr="00166B3C" w:rsidRDefault="00967E71">
      <w:pPr>
        <w:ind w:left="229"/>
        <w:rPr>
          <w:lang w:val="fr-FR"/>
        </w:rPr>
      </w:pPr>
      <w:r w:rsidRPr="00166B3C">
        <w:rPr>
          <w:lang w:val="fr-FR"/>
        </w:rPr>
        <w:t xml:space="preserve">— </w:t>
      </w:r>
      <w:r w:rsidRPr="00166B3C">
        <w:rPr>
          <w:rFonts w:ascii="Cambria" w:eastAsia="Cambria" w:hAnsi="Cambria" w:cs="Cambria"/>
          <w:i/>
          <w:lang w:val="fr-FR"/>
        </w:rPr>
        <w:t xml:space="preserve">n </w:t>
      </w:r>
      <w:r w:rsidRPr="00166B3C">
        <w:rPr>
          <w:lang w:val="fr-FR"/>
        </w:rPr>
        <w:t>objets,</w:t>
      </w:r>
    </w:p>
    <w:p w14:paraId="5B44BD94" w14:textId="77777777" w:rsidR="001D6462" w:rsidRPr="00166B3C" w:rsidRDefault="00967E71">
      <w:pPr>
        <w:ind w:left="229"/>
        <w:rPr>
          <w:lang w:val="fr-FR"/>
        </w:rPr>
      </w:pPr>
      <w:r w:rsidRPr="00166B3C">
        <w:rPr>
          <w:lang w:val="fr-FR"/>
        </w:rPr>
        <w:t xml:space="preserve">— une valeur </w:t>
      </w:r>
      <w:r w:rsidRPr="00166B3C">
        <w:rPr>
          <w:rFonts w:ascii="Cambria" w:eastAsia="Cambria" w:hAnsi="Cambria" w:cs="Cambria"/>
          <w:i/>
          <w:lang w:val="fr-FR"/>
        </w:rPr>
        <w:t xml:space="preserve">W </w:t>
      </w:r>
      <w:r w:rsidRPr="00166B3C">
        <w:rPr>
          <w:lang w:val="fr-FR"/>
        </w:rPr>
        <w:t>(capacité du sac à dos),</w:t>
      </w:r>
    </w:p>
    <w:p w14:paraId="7729C31C" w14:textId="77777777" w:rsidR="001D6462" w:rsidRPr="00166B3C" w:rsidRDefault="00967E71">
      <w:pPr>
        <w:spacing w:after="19"/>
        <w:ind w:left="229"/>
        <w:rPr>
          <w:lang w:val="fr-FR"/>
        </w:rPr>
      </w:pPr>
      <w:r w:rsidRPr="00166B3C">
        <w:rPr>
          <w:lang w:val="fr-FR"/>
        </w:rPr>
        <w:t xml:space="preserve">— chaque objet </w:t>
      </w:r>
      <w:r w:rsidRPr="00166B3C">
        <w:rPr>
          <w:rFonts w:ascii="Cambria" w:eastAsia="Cambria" w:hAnsi="Cambria" w:cs="Cambria"/>
          <w:i/>
          <w:lang w:val="fr-FR"/>
        </w:rPr>
        <w:t xml:space="preserve">i </w:t>
      </w:r>
      <w:r w:rsidRPr="00166B3C">
        <w:rPr>
          <w:lang w:val="fr-FR"/>
        </w:rPr>
        <w:t xml:space="preserve">a un poids </w:t>
      </w:r>
      <w:r w:rsidRPr="00166B3C">
        <w:rPr>
          <w:rFonts w:ascii="Cambria" w:eastAsia="Cambria" w:hAnsi="Cambria" w:cs="Cambria"/>
          <w:i/>
          <w:lang w:val="fr-FR"/>
        </w:rPr>
        <w:t>w</w:t>
      </w:r>
      <w:r w:rsidRPr="00166B3C">
        <w:rPr>
          <w:rFonts w:ascii="Cambria" w:eastAsia="Cambria" w:hAnsi="Cambria" w:cs="Cambria"/>
          <w:i/>
          <w:vertAlign w:val="subscript"/>
          <w:lang w:val="fr-FR"/>
        </w:rPr>
        <w:t>i</w:t>
      </w:r>
    </w:p>
    <w:p w14:paraId="182EFC0A" w14:textId="77777777" w:rsidR="001D6462" w:rsidRPr="00166B3C" w:rsidRDefault="00967E71">
      <w:pPr>
        <w:spacing w:after="65"/>
        <w:ind w:left="229"/>
        <w:rPr>
          <w:lang w:val="fr-FR"/>
        </w:rPr>
      </w:pPr>
      <w:r w:rsidRPr="00166B3C">
        <w:rPr>
          <w:lang w:val="fr-FR"/>
        </w:rPr>
        <w:t xml:space="preserve">— chaque objet </w:t>
      </w:r>
      <w:r w:rsidRPr="00166B3C">
        <w:rPr>
          <w:rFonts w:ascii="Cambria" w:eastAsia="Cambria" w:hAnsi="Cambria" w:cs="Cambria"/>
          <w:i/>
          <w:lang w:val="fr-FR"/>
        </w:rPr>
        <w:t xml:space="preserve">i </w:t>
      </w:r>
      <w:r w:rsidRPr="00166B3C">
        <w:rPr>
          <w:lang w:val="fr-FR"/>
        </w:rPr>
        <w:t xml:space="preserve">est valué par un vecteur </w:t>
      </w:r>
      <w:r w:rsidRPr="00166B3C">
        <w:rPr>
          <w:rFonts w:ascii="Cambria" w:eastAsia="Cambria" w:hAnsi="Cambria" w:cs="Cambria"/>
          <w:i/>
          <w:lang w:val="fr-FR"/>
        </w:rPr>
        <w:t>v</w:t>
      </w:r>
      <w:r w:rsidRPr="00166B3C">
        <w:rPr>
          <w:rFonts w:ascii="Cambria" w:eastAsia="Cambria" w:hAnsi="Cambria" w:cs="Cambria"/>
          <w:i/>
          <w:vertAlign w:val="superscript"/>
          <w:lang w:val="fr-FR"/>
        </w:rPr>
        <w:t>i</w:t>
      </w:r>
      <w:r w:rsidRPr="00166B3C">
        <w:rPr>
          <w:rFonts w:ascii="Cambria" w:eastAsia="Cambria" w:hAnsi="Cambria" w:cs="Cambria"/>
          <w:i/>
          <w:vertAlign w:val="superscript"/>
          <w:lang w:val="fr-FR"/>
        </w:rPr>
        <w:t xml:space="preserve"> </w:t>
      </w:r>
      <w:r w:rsidRPr="00166B3C">
        <w:rPr>
          <w:lang w:val="fr-FR"/>
        </w:rPr>
        <w:t xml:space="preserve">à </w:t>
      </w:r>
      <w:r w:rsidRPr="00166B3C">
        <w:rPr>
          <w:rFonts w:ascii="Cambria" w:eastAsia="Cambria" w:hAnsi="Cambria" w:cs="Cambria"/>
          <w:i/>
          <w:lang w:val="fr-FR"/>
        </w:rPr>
        <w:t xml:space="preserve">p </w:t>
      </w:r>
      <w:r w:rsidRPr="00166B3C">
        <w:rPr>
          <w:lang w:val="fr-FR"/>
        </w:rPr>
        <w:t xml:space="preserve">dimensions </w:t>
      </w:r>
      <w:r>
        <w:rPr>
          <w:noProof/>
        </w:rPr>
        <w:drawing>
          <wp:inline distT="0" distB="0" distL="0" distR="0" wp14:anchorId="0DF97615" wp14:editId="3633BA8D">
            <wp:extent cx="646176" cy="176784"/>
            <wp:effectExtent l="0" t="0" r="0" b="0"/>
            <wp:docPr id="3277" name="Picture 3277"/>
            <wp:cNvGraphicFramePr/>
            <a:graphic xmlns:a="http://schemas.openxmlformats.org/drawingml/2006/main">
              <a:graphicData uri="http://schemas.openxmlformats.org/drawingml/2006/picture">
                <pic:pic xmlns:pic="http://schemas.openxmlformats.org/drawingml/2006/picture">
                  <pic:nvPicPr>
                    <pic:cNvPr id="3277" name="Picture 3277"/>
                    <pic:cNvPicPr/>
                  </pic:nvPicPr>
                  <pic:blipFill>
                    <a:blip r:embed="rId7"/>
                    <a:stretch>
                      <a:fillRect/>
                    </a:stretch>
                  </pic:blipFill>
                  <pic:spPr>
                    <a:xfrm>
                      <a:off x="0" y="0"/>
                      <a:ext cx="646176" cy="176784"/>
                    </a:xfrm>
                    <a:prstGeom prst="rect">
                      <a:avLst/>
                    </a:prstGeom>
                  </pic:spPr>
                </pic:pic>
              </a:graphicData>
            </a:graphic>
          </wp:inline>
        </w:drawing>
      </w:r>
    </w:p>
    <w:p w14:paraId="5D87D0A4" w14:textId="77777777" w:rsidR="001D6462" w:rsidRPr="00166B3C" w:rsidRDefault="00967E71">
      <w:pPr>
        <w:ind w:left="-5"/>
        <w:rPr>
          <w:lang w:val="fr-FR"/>
        </w:rPr>
      </w:pPr>
      <w:r w:rsidRPr="00166B3C">
        <w:rPr>
          <w:i/>
          <w:lang w:val="fr-FR"/>
        </w:rPr>
        <w:t xml:space="preserve">Solutions réalisables : </w:t>
      </w:r>
      <w:r w:rsidRPr="00166B3C">
        <w:rPr>
          <w:lang w:val="fr-FR"/>
        </w:rPr>
        <w:t xml:space="preserve">tout sous-ensemble d’objets, caractérisé par un vecteur </w:t>
      </w:r>
      <w:r w:rsidRPr="00166B3C">
        <w:rPr>
          <w:rFonts w:ascii="Cambria" w:eastAsia="Cambria" w:hAnsi="Cambria" w:cs="Cambria"/>
          <w:i/>
          <w:lang w:val="fr-FR"/>
        </w:rPr>
        <w:t xml:space="preserve">x </w:t>
      </w:r>
      <w:r w:rsidRPr="00166B3C">
        <w:rPr>
          <w:rFonts w:ascii="Cambria" w:eastAsia="Cambria" w:hAnsi="Cambria" w:cs="Cambria"/>
          <w:lang w:val="fr-FR"/>
        </w:rPr>
        <w:t>= (</w:t>
      </w:r>
      <w:r w:rsidRPr="00166B3C">
        <w:rPr>
          <w:rFonts w:ascii="Cambria" w:eastAsia="Cambria" w:hAnsi="Cambria" w:cs="Cambria"/>
          <w:i/>
          <w:lang w:val="fr-FR"/>
        </w:rPr>
        <w:t>x</w:t>
      </w:r>
      <w:proofErr w:type="gramStart"/>
      <w:r w:rsidRPr="00166B3C">
        <w:rPr>
          <w:rFonts w:ascii="Cambria" w:eastAsia="Cambria" w:hAnsi="Cambria" w:cs="Cambria"/>
          <w:vertAlign w:val="subscript"/>
          <w:lang w:val="fr-FR"/>
        </w:rPr>
        <w:t>1</w:t>
      </w:r>
      <w:r w:rsidRPr="00166B3C">
        <w:rPr>
          <w:rFonts w:ascii="Cambria" w:eastAsia="Cambria" w:hAnsi="Cambria" w:cs="Cambria"/>
          <w:i/>
          <w:lang w:val="fr-FR"/>
        </w:rPr>
        <w:t>,...</w:t>
      </w:r>
      <w:proofErr w:type="gramEnd"/>
      <w:r w:rsidRPr="00166B3C">
        <w:rPr>
          <w:rFonts w:ascii="Cambria" w:eastAsia="Cambria" w:hAnsi="Cambria" w:cs="Cambria"/>
          <w:i/>
          <w:lang w:val="fr-FR"/>
        </w:rPr>
        <w:t>,x</w:t>
      </w:r>
      <w:r w:rsidRPr="00166B3C">
        <w:rPr>
          <w:rFonts w:ascii="Cambria" w:eastAsia="Cambria" w:hAnsi="Cambria" w:cs="Cambria"/>
          <w:i/>
          <w:vertAlign w:val="subscript"/>
          <w:lang w:val="fr-FR"/>
        </w:rPr>
        <w:t>n</w:t>
      </w:r>
      <w:r w:rsidRPr="00166B3C">
        <w:rPr>
          <w:rFonts w:ascii="Cambria" w:eastAsia="Cambria" w:hAnsi="Cambria" w:cs="Cambria"/>
          <w:lang w:val="fr-FR"/>
        </w:rPr>
        <w:t xml:space="preserve">) </w:t>
      </w:r>
      <w:r w:rsidRPr="00166B3C">
        <w:rPr>
          <w:lang w:val="fr-FR"/>
        </w:rPr>
        <w:t>(</w:t>
      </w:r>
      <w:r w:rsidRPr="00166B3C">
        <w:rPr>
          <w:rFonts w:ascii="Cambria" w:eastAsia="Cambria" w:hAnsi="Cambria" w:cs="Cambria"/>
          <w:i/>
          <w:lang w:val="fr-FR"/>
        </w:rPr>
        <w:t>x</w:t>
      </w:r>
      <w:r w:rsidRPr="00166B3C">
        <w:rPr>
          <w:rFonts w:ascii="Cambria" w:eastAsia="Cambria" w:hAnsi="Cambria" w:cs="Cambria"/>
          <w:i/>
          <w:vertAlign w:val="subscript"/>
          <w:lang w:val="fr-FR"/>
        </w:rPr>
        <w:t xml:space="preserve">i </w:t>
      </w:r>
      <w:r w:rsidRPr="00166B3C">
        <w:rPr>
          <w:rFonts w:ascii="Cambria" w:eastAsia="Cambria" w:hAnsi="Cambria" w:cs="Cambria"/>
          <w:lang w:val="fr-FR"/>
        </w:rPr>
        <w:t xml:space="preserve">= 1 </w:t>
      </w:r>
      <w:r w:rsidRPr="00166B3C">
        <w:rPr>
          <w:lang w:val="fr-FR"/>
        </w:rPr>
        <w:t xml:space="preserve">si l’objet </w:t>
      </w:r>
      <w:r w:rsidRPr="00166B3C">
        <w:rPr>
          <w:rFonts w:ascii="Cambria" w:eastAsia="Cambria" w:hAnsi="Cambria" w:cs="Cambria"/>
          <w:i/>
          <w:lang w:val="fr-FR"/>
        </w:rPr>
        <w:t xml:space="preserve">i </w:t>
      </w:r>
      <w:r w:rsidRPr="00166B3C">
        <w:rPr>
          <w:lang w:val="fr-FR"/>
        </w:rPr>
        <w:t>est sélectionné, 0 sinon), tel que</w:t>
      </w:r>
      <w:r>
        <w:rPr>
          <w:noProof/>
        </w:rPr>
        <w:drawing>
          <wp:inline distT="0" distB="0" distL="0" distR="0" wp14:anchorId="79889287" wp14:editId="076A470C">
            <wp:extent cx="941832" cy="155448"/>
            <wp:effectExtent l="0" t="0" r="0" b="0"/>
            <wp:docPr id="3278" name="Picture 3278"/>
            <wp:cNvGraphicFramePr/>
            <a:graphic xmlns:a="http://schemas.openxmlformats.org/drawingml/2006/main">
              <a:graphicData uri="http://schemas.openxmlformats.org/drawingml/2006/picture">
                <pic:pic xmlns:pic="http://schemas.openxmlformats.org/drawingml/2006/picture">
                  <pic:nvPicPr>
                    <pic:cNvPr id="3278" name="Picture 3278"/>
                    <pic:cNvPicPr/>
                  </pic:nvPicPr>
                  <pic:blipFill>
                    <a:blip r:embed="rId8"/>
                    <a:stretch>
                      <a:fillRect/>
                    </a:stretch>
                  </pic:blipFill>
                  <pic:spPr>
                    <a:xfrm>
                      <a:off x="0" y="0"/>
                      <a:ext cx="941832" cy="155448"/>
                    </a:xfrm>
                    <a:prstGeom prst="rect">
                      <a:avLst/>
                    </a:prstGeom>
                  </pic:spPr>
                </pic:pic>
              </a:graphicData>
            </a:graphic>
          </wp:inline>
        </w:drawing>
      </w:r>
      <w:r w:rsidRPr="00166B3C">
        <w:rPr>
          <w:lang w:val="fr-FR"/>
        </w:rPr>
        <w:t>.</w:t>
      </w:r>
    </w:p>
    <w:p w14:paraId="3E5C0895" w14:textId="77777777" w:rsidR="001D6462" w:rsidRPr="00166B3C" w:rsidRDefault="00967E71">
      <w:pPr>
        <w:spacing w:after="146"/>
        <w:ind w:left="-5"/>
        <w:rPr>
          <w:lang w:val="fr-FR"/>
        </w:rPr>
      </w:pPr>
      <w:r w:rsidRPr="00166B3C">
        <w:rPr>
          <w:i/>
          <w:lang w:val="fr-FR"/>
        </w:rPr>
        <w:t xml:space="preserve">But : </w:t>
      </w:r>
      <w:r w:rsidRPr="00166B3C">
        <w:rPr>
          <w:lang w:val="fr-FR"/>
        </w:rPr>
        <w:t xml:space="preserve">déterminer une solution réalisable </w:t>
      </w:r>
      <w:r w:rsidRPr="00166B3C">
        <w:rPr>
          <w:rFonts w:ascii="Cambria" w:eastAsia="Cambria" w:hAnsi="Cambria" w:cs="Cambria"/>
          <w:i/>
          <w:lang w:val="fr-FR"/>
        </w:rPr>
        <w:t xml:space="preserve">x </w:t>
      </w:r>
      <w:r w:rsidRPr="00166B3C">
        <w:rPr>
          <w:lang w:val="fr-FR"/>
        </w:rPr>
        <w:t>maximisant une fonction d’agrégation para</w:t>
      </w:r>
      <w:r w:rsidRPr="00166B3C">
        <w:rPr>
          <w:lang w:val="fr-FR"/>
        </w:rPr>
        <w:t xml:space="preserve">métrée représentant les préférences du décideur sur les solutions. La fonction d’agrégation est de la forme </w:t>
      </w:r>
      <w:proofErr w:type="spellStart"/>
      <w:r>
        <w:rPr>
          <w:rFonts w:ascii="Cambria" w:eastAsia="Cambria" w:hAnsi="Cambria" w:cs="Cambria"/>
        </w:rPr>
        <w:t>Ψ</w:t>
      </w:r>
      <w:r>
        <w:rPr>
          <w:rFonts w:ascii="Cambria" w:eastAsia="Cambria" w:hAnsi="Cambria" w:cs="Cambria"/>
          <w:i/>
          <w:vertAlign w:val="subscript"/>
        </w:rPr>
        <w:t>λ</w:t>
      </w:r>
      <w:proofErr w:type="spellEnd"/>
      <w:r w:rsidRPr="00166B3C">
        <w:rPr>
          <w:rFonts w:ascii="Cambria" w:eastAsia="Cambria" w:hAnsi="Cambria" w:cs="Cambria"/>
          <w:lang w:val="fr-FR"/>
        </w:rPr>
        <w:t>(</w:t>
      </w:r>
      <w:r w:rsidRPr="00166B3C">
        <w:rPr>
          <w:rFonts w:ascii="Cambria" w:eastAsia="Cambria" w:hAnsi="Cambria" w:cs="Cambria"/>
          <w:i/>
          <w:lang w:val="fr-FR"/>
        </w:rPr>
        <w:t>y</w:t>
      </w:r>
      <w:r w:rsidRPr="00166B3C">
        <w:rPr>
          <w:rFonts w:ascii="Cambria" w:eastAsia="Cambria" w:hAnsi="Cambria" w:cs="Cambria"/>
          <w:lang w:val="fr-FR"/>
        </w:rPr>
        <w:t>(</w:t>
      </w:r>
      <w:r w:rsidRPr="00166B3C">
        <w:rPr>
          <w:rFonts w:ascii="Cambria" w:eastAsia="Cambria" w:hAnsi="Cambria" w:cs="Cambria"/>
          <w:i/>
          <w:lang w:val="fr-FR"/>
        </w:rPr>
        <w:t>x</w:t>
      </w:r>
      <w:r w:rsidRPr="00166B3C">
        <w:rPr>
          <w:rFonts w:ascii="Cambria" w:eastAsia="Cambria" w:hAnsi="Cambria" w:cs="Cambria"/>
          <w:lang w:val="fr-FR"/>
        </w:rPr>
        <w:t xml:space="preserve">)) = </w:t>
      </w:r>
      <w:proofErr w:type="spellStart"/>
      <w:r>
        <w:rPr>
          <w:rFonts w:ascii="Cambria" w:eastAsia="Cambria" w:hAnsi="Cambria" w:cs="Cambria"/>
        </w:rPr>
        <w:t>Ψ</w:t>
      </w:r>
      <w:r>
        <w:rPr>
          <w:rFonts w:ascii="Cambria" w:eastAsia="Cambria" w:hAnsi="Cambria" w:cs="Cambria"/>
          <w:i/>
          <w:vertAlign w:val="subscript"/>
        </w:rPr>
        <w:t>λ</w:t>
      </w:r>
      <w:proofErr w:type="spellEnd"/>
      <w:r w:rsidRPr="00166B3C">
        <w:rPr>
          <w:rFonts w:ascii="Cambria" w:eastAsia="Cambria" w:hAnsi="Cambria" w:cs="Cambria"/>
          <w:lang w:val="fr-FR"/>
        </w:rPr>
        <w:t>(</w:t>
      </w:r>
      <w:r w:rsidRPr="00166B3C">
        <w:rPr>
          <w:rFonts w:ascii="Cambria" w:eastAsia="Cambria" w:hAnsi="Cambria" w:cs="Cambria"/>
          <w:i/>
          <w:lang w:val="fr-FR"/>
        </w:rPr>
        <w:t>y</w:t>
      </w:r>
      <w:r w:rsidRPr="00166B3C">
        <w:rPr>
          <w:rFonts w:ascii="Cambria" w:eastAsia="Cambria" w:hAnsi="Cambria" w:cs="Cambria"/>
          <w:vertAlign w:val="subscript"/>
          <w:lang w:val="fr-FR"/>
        </w:rPr>
        <w:t>1</w:t>
      </w:r>
      <w:r w:rsidRPr="00166B3C">
        <w:rPr>
          <w:rFonts w:ascii="Cambria" w:eastAsia="Cambria" w:hAnsi="Cambria" w:cs="Cambria"/>
          <w:lang w:val="fr-FR"/>
        </w:rPr>
        <w:t>(</w:t>
      </w:r>
      <w:r w:rsidRPr="00166B3C">
        <w:rPr>
          <w:rFonts w:ascii="Cambria" w:eastAsia="Cambria" w:hAnsi="Cambria" w:cs="Cambria"/>
          <w:i/>
          <w:lang w:val="fr-FR"/>
        </w:rPr>
        <w:t>x</w:t>
      </w:r>
      <w:proofErr w:type="gramStart"/>
      <w:r w:rsidRPr="00166B3C">
        <w:rPr>
          <w:rFonts w:ascii="Cambria" w:eastAsia="Cambria" w:hAnsi="Cambria" w:cs="Cambria"/>
          <w:lang w:val="fr-FR"/>
        </w:rPr>
        <w:t>)</w:t>
      </w:r>
      <w:r w:rsidRPr="00166B3C">
        <w:rPr>
          <w:rFonts w:ascii="Cambria" w:eastAsia="Cambria" w:hAnsi="Cambria" w:cs="Cambria"/>
          <w:i/>
          <w:lang w:val="fr-FR"/>
        </w:rPr>
        <w:t>,...</w:t>
      </w:r>
      <w:proofErr w:type="gramEnd"/>
      <w:r w:rsidRPr="00166B3C">
        <w:rPr>
          <w:rFonts w:ascii="Cambria" w:eastAsia="Cambria" w:hAnsi="Cambria" w:cs="Cambria"/>
          <w:i/>
          <w:lang w:val="fr-FR"/>
        </w:rPr>
        <w:t>,y</w:t>
      </w:r>
      <w:r w:rsidRPr="00166B3C">
        <w:rPr>
          <w:rFonts w:ascii="Cambria" w:eastAsia="Cambria" w:hAnsi="Cambria" w:cs="Cambria"/>
          <w:i/>
          <w:vertAlign w:val="subscript"/>
          <w:lang w:val="fr-FR"/>
        </w:rPr>
        <w:t>p</w:t>
      </w:r>
      <w:r w:rsidRPr="00166B3C">
        <w:rPr>
          <w:rFonts w:ascii="Cambria" w:eastAsia="Cambria" w:hAnsi="Cambria" w:cs="Cambria"/>
          <w:lang w:val="fr-FR"/>
        </w:rPr>
        <w:t>(</w:t>
      </w:r>
      <w:r w:rsidRPr="00166B3C">
        <w:rPr>
          <w:rFonts w:ascii="Cambria" w:eastAsia="Cambria" w:hAnsi="Cambria" w:cs="Cambria"/>
          <w:i/>
          <w:lang w:val="fr-FR"/>
        </w:rPr>
        <w:t>x</w:t>
      </w:r>
      <w:r w:rsidRPr="00166B3C">
        <w:rPr>
          <w:rFonts w:ascii="Cambria" w:eastAsia="Cambria" w:hAnsi="Cambria" w:cs="Cambria"/>
          <w:lang w:val="fr-FR"/>
        </w:rPr>
        <w:t>))</w:t>
      </w:r>
      <w:r w:rsidRPr="00166B3C">
        <w:rPr>
          <w:lang w:val="fr-FR"/>
        </w:rPr>
        <w:t>, avec :</w:t>
      </w:r>
    </w:p>
    <w:p w14:paraId="6BC21045" w14:textId="77777777" w:rsidR="001D6462" w:rsidRPr="00166B3C" w:rsidRDefault="00967E71">
      <w:pPr>
        <w:spacing w:after="23"/>
        <w:ind w:left="545" w:hanging="326"/>
        <w:rPr>
          <w:lang w:val="fr-FR"/>
        </w:rPr>
      </w:pPr>
      <w:r w:rsidRPr="00166B3C">
        <w:rPr>
          <w:lang w:val="fr-FR"/>
        </w:rPr>
        <w:t xml:space="preserve">— </w:t>
      </w:r>
      <w:r>
        <w:rPr>
          <w:rFonts w:ascii="Cambria" w:eastAsia="Cambria" w:hAnsi="Cambria" w:cs="Cambria"/>
          <w:i/>
        </w:rPr>
        <w:t>λ</w:t>
      </w:r>
      <w:r w:rsidRPr="00166B3C">
        <w:rPr>
          <w:rFonts w:ascii="Cambria" w:eastAsia="Cambria" w:hAnsi="Cambria" w:cs="Cambria"/>
          <w:i/>
          <w:lang w:val="fr-FR"/>
        </w:rPr>
        <w:t xml:space="preserve"> </w:t>
      </w:r>
      <w:r w:rsidRPr="00166B3C">
        <w:rPr>
          <w:lang w:val="fr-FR"/>
        </w:rPr>
        <w:t xml:space="preserve">: paramètre initialement inconnu parmi l’ensemble </w:t>
      </w:r>
      <w:r>
        <w:rPr>
          <w:rFonts w:ascii="Cambria" w:eastAsia="Cambria" w:hAnsi="Cambria" w:cs="Cambria"/>
        </w:rPr>
        <w:t>Λ</w:t>
      </w:r>
      <w:r w:rsidRPr="00166B3C">
        <w:rPr>
          <w:rFonts w:ascii="Cambria" w:eastAsia="Cambria" w:hAnsi="Cambria" w:cs="Cambria"/>
          <w:lang w:val="fr-FR"/>
        </w:rPr>
        <w:t xml:space="preserve"> </w:t>
      </w:r>
      <w:r w:rsidRPr="00166B3C">
        <w:rPr>
          <w:lang w:val="fr-FR"/>
        </w:rPr>
        <w:t>des paramètres initialement admissibles (</w:t>
      </w:r>
      <w:r>
        <w:rPr>
          <w:rFonts w:ascii="Cambria" w:eastAsia="Cambria" w:hAnsi="Cambria" w:cs="Cambria"/>
          <w:i/>
        </w:rPr>
        <w:t>λ</w:t>
      </w:r>
      <w:r w:rsidRPr="00166B3C">
        <w:rPr>
          <w:rFonts w:ascii="Cambria" w:eastAsia="Cambria" w:hAnsi="Cambria" w:cs="Cambria"/>
          <w:i/>
          <w:lang w:val="fr-FR"/>
        </w:rPr>
        <w:t xml:space="preserve"> </w:t>
      </w:r>
      <w:r w:rsidRPr="00166B3C">
        <w:rPr>
          <w:rFonts w:ascii="Cambria" w:eastAsia="Cambria" w:hAnsi="Cambria" w:cs="Cambria"/>
          <w:lang w:val="fr-FR"/>
        </w:rPr>
        <w:t xml:space="preserve">∈ </w:t>
      </w:r>
      <w:r>
        <w:rPr>
          <w:rFonts w:ascii="Cambria" w:eastAsia="Cambria" w:hAnsi="Cambria" w:cs="Cambria"/>
        </w:rPr>
        <w:t>Λ</w:t>
      </w:r>
      <w:r w:rsidRPr="00166B3C">
        <w:rPr>
          <w:lang w:val="fr-FR"/>
        </w:rPr>
        <w:t>)</w:t>
      </w:r>
    </w:p>
    <w:p w14:paraId="0EF72699" w14:textId="77777777" w:rsidR="001D6462" w:rsidRPr="00166B3C" w:rsidRDefault="00967E71">
      <w:pPr>
        <w:spacing w:after="180"/>
        <w:ind w:left="229"/>
        <w:rPr>
          <w:lang w:val="fr-FR"/>
        </w:rPr>
      </w:pPr>
      <w:r w:rsidRPr="00166B3C">
        <w:rPr>
          <w:lang w:val="fr-FR"/>
        </w:rPr>
        <w:t xml:space="preserve">— </w:t>
      </w:r>
      <w:r w:rsidRPr="00166B3C">
        <w:rPr>
          <w:rFonts w:ascii="Cambria" w:eastAsia="Cambria" w:hAnsi="Cambria" w:cs="Cambria"/>
          <w:i/>
          <w:lang w:val="fr-FR"/>
        </w:rPr>
        <w:t>y</w:t>
      </w:r>
      <w:r w:rsidRPr="00166B3C">
        <w:rPr>
          <w:rFonts w:ascii="Cambria" w:eastAsia="Cambria" w:hAnsi="Cambria" w:cs="Cambria"/>
          <w:lang w:val="fr-FR"/>
        </w:rPr>
        <w:t>(</w:t>
      </w:r>
      <w:r w:rsidRPr="00166B3C">
        <w:rPr>
          <w:rFonts w:ascii="Cambria" w:eastAsia="Cambria" w:hAnsi="Cambria" w:cs="Cambria"/>
          <w:i/>
          <w:lang w:val="fr-FR"/>
        </w:rPr>
        <w:t>x</w:t>
      </w:r>
      <w:r w:rsidRPr="00166B3C">
        <w:rPr>
          <w:rFonts w:ascii="Cambria" w:eastAsia="Cambria" w:hAnsi="Cambria" w:cs="Cambria"/>
          <w:lang w:val="fr-FR"/>
        </w:rPr>
        <w:t xml:space="preserve">) </w:t>
      </w:r>
      <w:r w:rsidRPr="00166B3C">
        <w:rPr>
          <w:lang w:val="fr-FR"/>
        </w:rPr>
        <w:t xml:space="preserve">: évaluation d’une solution </w:t>
      </w:r>
      <w:r w:rsidRPr="00166B3C">
        <w:rPr>
          <w:rFonts w:ascii="Cambria" w:eastAsia="Cambria" w:hAnsi="Cambria" w:cs="Cambria"/>
          <w:i/>
          <w:lang w:val="fr-FR"/>
        </w:rPr>
        <w:t xml:space="preserve">x </w:t>
      </w:r>
      <w:r w:rsidRPr="00166B3C">
        <w:rPr>
          <w:lang w:val="fr-FR"/>
        </w:rPr>
        <w:t xml:space="preserve">donnée par </w:t>
      </w:r>
      <w:r>
        <w:rPr>
          <w:noProof/>
        </w:rPr>
        <w:drawing>
          <wp:inline distT="0" distB="0" distL="0" distR="0" wp14:anchorId="13345088" wp14:editId="59023B96">
            <wp:extent cx="1591056" cy="176784"/>
            <wp:effectExtent l="0" t="0" r="0" b="0"/>
            <wp:docPr id="3279" name="Picture 3279"/>
            <wp:cNvGraphicFramePr/>
            <a:graphic xmlns:a="http://schemas.openxmlformats.org/drawingml/2006/main">
              <a:graphicData uri="http://schemas.openxmlformats.org/drawingml/2006/picture">
                <pic:pic xmlns:pic="http://schemas.openxmlformats.org/drawingml/2006/picture">
                  <pic:nvPicPr>
                    <pic:cNvPr id="3279" name="Picture 3279"/>
                    <pic:cNvPicPr/>
                  </pic:nvPicPr>
                  <pic:blipFill>
                    <a:blip r:embed="rId9"/>
                    <a:stretch>
                      <a:fillRect/>
                    </a:stretch>
                  </pic:blipFill>
                  <pic:spPr>
                    <a:xfrm>
                      <a:off x="0" y="0"/>
                      <a:ext cx="1591056" cy="176784"/>
                    </a:xfrm>
                    <a:prstGeom prst="rect">
                      <a:avLst/>
                    </a:prstGeom>
                  </pic:spPr>
                </pic:pic>
              </a:graphicData>
            </a:graphic>
          </wp:inline>
        </w:drawing>
      </w:r>
      <w:r w:rsidRPr="00166B3C">
        <w:rPr>
          <w:lang w:val="fr-FR"/>
        </w:rPr>
        <w:t>.</w:t>
      </w:r>
    </w:p>
    <w:p w14:paraId="3A90750D" w14:textId="77777777" w:rsidR="001D6462" w:rsidRPr="00166B3C" w:rsidRDefault="00967E71">
      <w:pPr>
        <w:spacing w:after="0"/>
        <w:ind w:left="-15" w:firstLine="339"/>
        <w:rPr>
          <w:lang w:val="fr-FR"/>
        </w:rPr>
      </w:pPr>
      <w:r w:rsidRPr="00166B3C">
        <w:rPr>
          <w:lang w:val="fr-FR"/>
        </w:rPr>
        <w:t>La fonction d’agrégation sera une fonction linéaire en ses paramètres, par exemple la somme pondérée, OWA ou l’intégrale de Choquet.</w:t>
      </w:r>
    </w:p>
    <w:p w14:paraId="52E759C6" w14:textId="77777777" w:rsidR="001D6462" w:rsidRPr="00166B3C" w:rsidRDefault="00967E71">
      <w:pPr>
        <w:spacing w:after="452"/>
        <w:ind w:left="-15" w:firstLine="339"/>
        <w:rPr>
          <w:lang w:val="fr-FR"/>
        </w:rPr>
      </w:pPr>
      <w:r w:rsidRPr="00166B3C">
        <w:rPr>
          <w:lang w:val="fr-FR"/>
        </w:rPr>
        <w:t>Le projet consiste à développer deux procédures de résolution du problème, basées sur l’élicitation incrémentale, et à comp</w:t>
      </w:r>
      <w:r w:rsidRPr="00166B3C">
        <w:rPr>
          <w:lang w:val="fr-FR"/>
        </w:rPr>
        <w:t>arer leur efficacité.</w:t>
      </w:r>
    </w:p>
    <w:p w14:paraId="106BE9E8" w14:textId="77777777" w:rsidR="001D6462" w:rsidRPr="00166B3C" w:rsidRDefault="00967E71">
      <w:pPr>
        <w:spacing w:after="343" w:line="265" w:lineRule="auto"/>
        <w:ind w:left="-5"/>
        <w:jc w:val="left"/>
        <w:rPr>
          <w:lang w:val="fr-FR"/>
        </w:rPr>
      </w:pPr>
      <w:r w:rsidRPr="00166B3C">
        <w:rPr>
          <w:lang w:val="fr-FR"/>
        </w:rPr>
        <w:t>2. Une première procédure de résolution</w:t>
      </w:r>
    </w:p>
    <w:p w14:paraId="16F92F1E" w14:textId="77777777" w:rsidR="001D6462" w:rsidRPr="00166B3C" w:rsidRDefault="00967E71">
      <w:pPr>
        <w:spacing w:after="452"/>
        <w:ind w:left="-15" w:firstLine="339"/>
        <w:rPr>
          <w:lang w:val="fr-FR"/>
        </w:rPr>
      </w:pPr>
      <w:r w:rsidRPr="00166B3C">
        <w:rPr>
          <w:lang w:val="fr-FR"/>
        </w:rPr>
        <w:t>Dans cette partie, nous allons mettre en œuvre une procédure en deux phases pour déterminer la solution préférée du décideur : (1) déterminer une approximation des points non-dominés (au sens de</w:t>
      </w:r>
      <w:r w:rsidRPr="00166B3C">
        <w:rPr>
          <w:lang w:val="fr-FR"/>
        </w:rPr>
        <w:t xml:space="preserve"> Pareto), puis (2) déterminer la solution préférée du décideur parmi ceux-ci à l’aide d’une procédure d’élicitation incrémentale.</w:t>
      </w:r>
    </w:p>
    <w:p w14:paraId="70915076" w14:textId="77777777" w:rsidR="001D6462" w:rsidRPr="00166B3C" w:rsidRDefault="00967E71">
      <w:pPr>
        <w:ind w:left="-15" w:firstLine="339"/>
        <w:rPr>
          <w:lang w:val="fr-FR"/>
        </w:rPr>
      </w:pPr>
      <w:r w:rsidRPr="00166B3C">
        <w:rPr>
          <w:lang w:val="fr-FR"/>
        </w:rPr>
        <w:t>Pour la détermination de l’approximation des points non-dominés, vous utiliserez la recherche locale de Pareto (PLS) vue en co</w:t>
      </w:r>
      <w:r w:rsidRPr="00166B3C">
        <w:rPr>
          <w:lang w:val="fr-FR"/>
        </w:rPr>
        <w:t xml:space="preserve">urs. Vous pouvez donc réutiliser les résultats obtenus lors du TME sur les métaheuristiques du 19 octobre. Attention : on demande ici de traiter des instances pouvant comprendre plus de 2 objectifs. Il sera donc nécessaire d’adapter votre code si celui-ci </w:t>
      </w:r>
      <w:r w:rsidRPr="00166B3C">
        <w:rPr>
          <w:lang w:val="fr-FR"/>
        </w:rPr>
        <w:t>ne permettait que de traiter des instances à 2 objectifs.</w:t>
      </w:r>
    </w:p>
    <w:p w14:paraId="11C8B269" w14:textId="77777777" w:rsidR="001D6462" w:rsidRPr="00166B3C" w:rsidRDefault="00967E71">
      <w:pPr>
        <w:spacing w:after="262"/>
        <w:ind w:left="-15" w:firstLine="339"/>
        <w:rPr>
          <w:lang w:val="fr-FR"/>
        </w:rPr>
      </w:pPr>
      <w:r w:rsidRPr="00166B3C">
        <w:rPr>
          <w:lang w:val="fr-FR"/>
        </w:rPr>
        <w:lastRenderedPageBreak/>
        <w:t xml:space="preserve">Notez aussi que la méthode PLS nécessite de nombreuses mises à jour d’ensembles de solutions mutuellement non-dominées. Pour des problèmes à plus de 2 objectifs, il est donc opportun d’utiliser des </w:t>
      </w:r>
      <w:r w:rsidRPr="00166B3C">
        <w:rPr>
          <w:lang w:val="fr-FR"/>
        </w:rPr>
        <w:t xml:space="preserve">structures de données adéquates pour la mise à jour, telles que ND-Tree ou Quad-Tree (voir pour cela la dernière partie du cours du 12 octobre et la vidéo de présentation suivante : </w:t>
      </w:r>
      <w:r>
        <w:fldChar w:fldCharType="begin"/>
      </w:r>
      <w:r w:rsidRPr="00166B3C">
        <w:rPr>
          <w:lang w:val="fr-FR"/>
        </w:rPr>
        <w:instrText xml:space="preserve"> HYPERLINK "https://youtu.be/8lclXoR5UQk" \h </w:instrText>
      </w:r>
      <w:r>
        <w:fldChar w:fldCharType="separate"/>
      </w:r>
      <w:r w:rsidRPr="00166B3C">
        <w:rPr>
          <w:lang w:val="fr-FR"/>
        </w:rPr>
        <w:t>https://youtu.be/8lclXoR5U</w:t>
      </w:r>
      <w:r w:rsidRPr="00166B3C">
        <w:rPr>
          <w:lang w:val="fr-FR"/>
        </w:rPr>
        <w:t>Qk</w:t>
      </w:r>
      <w:r>
        <w:fldChar w:fldCharType="end"/>
      </w:r>
      <w:r>
        <w:fldChar w:fldCharType="begin"/>
      </w:r>
      <w:r w:rsidRPr="00166B3C">
        <w:rPr>
          <w:lang w:val="fr-FR"/>
        </w:rPr>
        <w:instrText xml:space="preserve"> HYPERLINK "https://youtu.be/8lclXoR5UQk" \h </w:instrText>
      </w:r>
      <w:r>
        <w:fldChar w:fldCharType="separate"/>
      </w:r>
      <w:r w:rsidRPr="00166B3C">
        <w:rPr>
          <w:lang w:val="fr-FR"/>
        </w:rPr>
        <w:t>)</w:t>
      </w:r>
      <w:r>
        <w:fldChar w:fldCharType="end"/>
      </w:r>
      <w:r w:rsidRPr="00166B3C">
        <w:rPr>
          <w:lang w:val="fr-FR"/>
        </w:rPr>
        <w:t>.</w:t>
      </w:r>
    </w:p>
    <w:p w14:paraId="5B711D37" w14:textId="77777777" w:rsidR="001D6462" w:rsidRPr="00166B3C" w:rsidRDefault="00967E71">
      <w:pPr>
        <w:spacing w:after="7"/>
        <w:ind w:left="-15" w:firstLine="339"/>
        <w:rPr>
          <w:lang w:val="fr-FR"/>
        </w:rPr>
      </w:pPr>
      <w:r w:rsidRPr="00166B3C">
        <w:rPr>
          <w:lang w:val="fr-FR"/>
        </w:rPr>
        <w:t>Ensuite, à partir de l’approximation de l’ensemble de solutions non-dominées obtenu par PLS, vous appliquerez une méthode d’aide à la décision par élicitation incrémentale des poids des critères, pour un</w:t>
      </w:r>
      <w:r w:rsidRPr="00166B3C">
        <w:rPr>
          <w:lang w:val="fr-FR"/>
        </w:rPr>
        <w:t xml:space="preserve">e fonction d’agrégation </w:t>
      </w:r>
      <w:proofErr w:type="spellStart"/>
      <w:r>
        <w:rPr>
          <w:rFonts w:ascii="Cambria" w:eastAsia="Cambria" w:hAnsi="Cambria" w:cs="Cambria"/>
        </w:rPr>
        <w:t>Ψ</w:t>
      </w:r>
      <w:r>
        <w:rPr>
          <w:rFonts w:ascii="Cambria" w:eastAsia="Cambria" w:hAnsi="Cambria" w:cs="Cambria"/>
          <w:i/>
          <w:vertAlign w:val="subscript"/>
        </w:rPr>
        <w:t>λ</w:t>
      </w:r>
      <w:proofErr w:type="spellEnd"/>
      <w:r w:rsidRPr="00166B3C">
        <w:rPr>
          <w:rFonts w:ascii="Cambria" w:eastAsia="Cambria" w:hAnsi="Cambria" w:cs="Cambria"/>
          <w:lang w:val="fr-FR"/>
        </w:rPr>
        <w:t>(</w:t>
      </w:r>
      <w:r w:rsidRPr="00166B3C">
        <w:rPr>
          <w:rFonts w:ascii="Cambria" w:eastAsia="Cambria" w:hAnsi="Cambria" w:cs="Cambria"/>
          <w:i/>
          <w:lang w:val="fr-FR"/>
        </w:rPr>
        <w:t>y</w:t>
      </w:r>
      <w:r w:rsidRPr="00166B3C">
        <w:rPr>
          <w:rFonts w:ascii="Cambria" w:eastAsia="Cambria" w:hAnsi="Cambria" w:cs="Cambria"/>
          <w:lang w:val="fr-FR"/>
        </w:rPr>
        <w:t>(</w:t>
      </w:r>
      <w:r w:rsidRPr="00166B3C">
        <w:rPr>
          <w:rFonts w:ascii="Cambria" w:eastAsia="Cambria" w:hAnsi="Cambria" w:cs="Cambria"/>
          <w:i/>
          <w:lang w:val="fr-FR"/>
        </w:rPr>
        <w:t>x</w:t>
      </w:r>
      <w:r w:rsidRPr="00166B3C">
        <w:rPr>
          <w:rFonts w:ascii="Cambria" w:eastAsia="Cambria" w:hAnsi="Cambria" w:cs="Cambria"/>
          <w:lang w:val="fr-FR"/>
        </w:rPr>
        <w:t xml:space="preserve">)) </w:t>
      </w:r>
      <w:r w:rsidRPr="00166B3C">
        <w:rPr>
          <w:lang w:val="fr-FR"/>
        </w:rPr>
        <w:t>linéaire en ses paramètres (voir l’article articleProjet1.pdf, sections 3.1 et 3.2).</w:t>
      </w:r>
    </w:p>
    <w:p w14:paraId="1D7AB43A" w14:textId="77777777" w:rsidR="001D6462" w:rsidRPr="00166B3C" w:rsidRDefault="00967E71">
      <w:pPr>
        <w:spacing w:after="70"/>
        <w:ind w:left="-15" w:firstLine="339"/>
        <w:rPr>
          <w:lang w:val="fr-FR"/>
        </w:rPr>
      </w:pPr>
      <w:r w:rsidRPr="00166B3C">
        <w:rPr>
          <w:lang w:val="fr-FR"/>
        </w:rPr>
        <w:t>On choisira un vecteur poids qui reste inconnu de la procédure d’élicitation pour simuler les réponses du décideur à des questions portant</w:t>
      </w:r>
      <w:r w:rsidRPr="00166B3C">
        <w:rPr>
          <w:lang w:val="fr-FR"/>
        </w:rPr>
        <w:t xml:space="preserve"> sur ses préférences. Pour cette partie, vous étudierez les deux points suivants :</w:t>
      </w:r>
    </w:p>
    <w:p w14:paraId="0760E878" w14:textId="77777777" w:rsidR="001D6462" w:rsidRPr="00166B3C" w:rsidRDefault="00967E71">
      <w:pPr>
        <w:numPr>
          <w:ilvl w:val="0"/>
          <w:numId w:val="1"/>
        </w:numPr>
        <w:spacing w:after="68"/>
        <w:ind w:hanging="314"/>
        <w:rPr>
          <w:lang w:val="fr-FR"/>
        </w:rPr>
      </w:pPr>
      <w:r w:rsidRPr="00166B3C">
        <w:rPr>
          <w:lang w:val="fr-FR"/>
        </w:rPr>
        <w:t>Évaluer à l’aide de plusieurs essais le nombre de questions nécessaires pour identifier la solution optimale pour le décideur (parmi les solutions générées en phase 1).</w:t>
      </w:r>
    </w:p>
    <w:p w14:paraId="2BC2FD71" w14:textId="77777777" w:rsidR="001D6462" w:rsidRPr="00166B3C" w:rsidRDefault="00967E71">
      <w:pPr>
        <w:numPr>
          <w:ilvl w:val="0"/>
          <w:numId w:val="1"/>
        </w:numPr>
        <w:spacing w:after="312"/>
        <w:ind w:hanging="314"/>
        <w:rPr>
          <w:lang w:val="fr-FR"/>
        </w:rPr>
      </w:pPr>
      <w:r w:rsidRPr="00166B3C">
        <w:rPr>
          <w:lang w:val="fr-FR"/>
        </w:rPr>
        <w:t>Étud</w:t>
      </w:r>
      <w:r w:rsidRPr="00166B3C">
        <w:rPr>
          <w:lang w:val="fr-FR"/>
        </w:rPr>
        <w:t xml:space="preserve">ier comment varie le regret minimax en fonction du nombre de questions posées (pour calculer </w:t>
      </w:r>
      <w:proofErr w:type="gramStart"/>
      <w:r w:rsidRPr="00166B3C">
        <w:rPr>
          <w:lang w:val="fr-FR"/>
        </w:rPr>
        <w:t>les regrets maximum</w:t>
      </w:r>
      <w:proofErr w:type="gramEnd"/>
      <w:r w:rsidRPr="00166B3C">
        <w:rPr>
          <w:lang w:val="fr-FR"/>
        </w:rPr>
        <w:t>, on utilisera le solveur Gurobi (</w:t>
      </w:r>
      <w:hyperlink r:id="rId10">
        <w:r w:rsidRPr="00166B3C">
          <w:rPr>
            <w:lang w:val="fr-FR"/>
          </w:rPr>
          <w:t>https://www.gurobi.com/</w:t>
        </w:r>
      </w:hyperlink>
      <w:hyperlink r:id="rId11">
        <w:r w:rsidRPr="00166B3C">
          <w:rPr>
            <w:lang w:val="fr-FR"/>
          </w:rPr>
          <w:t xml:space="preserve">) </w:t>
        </w:r>
      </w:hyperlink>
      <w:r w:rsidRPr="00166B3C">
        <w:rPr>
          <w:lang w:val="fr-FR"/>
        </w:rPr>
        <w:t>qui est installé dans les salles en libre-service mais peut aussi être installé sur des machines personnelles en téléchargeant depuis une adresse de l’université).</w:t>
      </w:r>
    </w:p>
    <w:p w14:paraId="72819437" w14:textId="77777777" w:rsidR="001D6462" w:rsidRPr="00166B3C" w:rsidRDefault="00967E71">
      <w:pPr>
        <w:numPr>
          <w:ilvl w:val="0"/>
          <w:numId w:val="2"/>
        </w:numPr>
        <w:spacing w:after="343" w:line="265" w:lineRule="auto"/>
        <w:ind w:hanging="277"/>
        <w:jc w:val="left"/>
        <w:rPr>
          <w:lang w:val="fr-FR"/>
        </w:rPr>
      </w:pPr>
      <w:r w:rsidRPr="00166B3C">
        <w:rPr>
          <w:lang w:val="fr-FR"/>
        </w:rPr>
        <w:t>Une deuxième procédure de résolution</w:t>
      </w:r>
    </w:p>
    <w:p w14:paraId="701FFCB6" w14:textId="77777777" w:rsidR="001D6462" w:rsidRPr="00166B3C" w:rsidRDefault="00967E71">
      <w:pPr>
        <w:spacing w:after="0"/>
        <w:ind w:left="-15" w:firstLine="339"/>
        <w:rPr>
          <w:lang w:val="fr-FR"/>
        </w:rPr>
      </w:pPr>
      <w:r w:rsidRPr="00166B3C">
        <w:rPr>
          <w:lang w:val="fr-FR"/>
        </w:rPr>
        <w:t xml:space="preserve">La deuxième </w:t>
      </w:r>
      <w:r w:rsidRPr="00166B3C">
        <w:rPr>
          <w:lang w:val="fr-FR"/>
        </w:rPr>
        <w:t>procédure de résolution est une procédure où élicitation incrémentale et recherche locale sont combinées afin de réduire le nombre de solutions générées et de pouvoir résoudre des problèmes de plus grande taille.</w:t>
      </w:r>
    </w:p>
    <w:p w14:paraId="162EC057" w14:textId="77777777" w:rsidR="001D6462" w:rsidRPr="00166B3C" w:rsidRDefault="00967E71">
      <w:pPr>
        <w:spacing w:after="264"/>
        <w:ind w:left="-15" w:firstLine="339"/>
        <w:rPr>
          <w:lang w:val="fr-FR"/>
        </w:rPr>
      </w:pPr>
      <w:r w:rsidRPr="00166B3C">
        <w:rPr>
          <w:lang w:val="fr-FR"/>
        </w:rPr>
        <w:t>Le principe est le suivant : comme pour PLS</w:t>
      </w:r>
      <w:r w:rsidRPr="00166B3C">
        <w:rPr>
          <w:lang w:val="fr-FR"/>
        </w:rPr>
        <w:t>, en partant d’une solution admissible générée aléatoirement, vous appliquerez une fonction de voisinage permettant de générer de nouvelles solutions admissibles. En revanche, contrairement à PLS, vous déterminerez la meilleure solution parmi l’ensemble de</w:t>
      </w:r>
      <w:r w:rsidRPr="00166B3C">
        <w:rPr>
          <w:lang w:val="fr-FR"/>
        </w:rPr>
        <w:t>s voisins et la solution courante (solution à partir de laquelle le voisinage a été appliqué) à l’aide d’une procédure d’élicitation incrémentale. Si la meilleure solution n’est pas la solution courante mais une solution dans son voisinage, vous relancerez</w:t>
      </w:r>
      <w:r w:rsidRPr="00166B3C">
        <w:rPr>
          <w:lang w:val="fr-FR"/>
        </w:rPr>
        <w:t xml:space="preserve"> la procédure à partir de cette solution voisine. Sinon la procédure s’arrête car un optimum local a été obtenu (voir l’article articleProjet2.pdf, section 4.1).</w:t>
      </w:r>
    </w:p>
    <w:p w14:paraId="1A958494" w14:textId="77777777" w:rsidR="001D6462" w:rsidRPr="00166B3C" w:rsidRDefault="00967E71">
      <w:pPr>
        <w:numPr>
          <w:ilvl w:val="0"/>
          <w:numId w:val="2"/>
        </w:numPr>
        <w:spacing w:after="343" w:line="265" w:lineRule="auto"/>
        <w:ind w:hanging="277"/>
        <w:jc w:val="left"/>
        <w:rPr>
          <w:lang w:val="fr-FR"/>
        </w:rPr>
      </w:pPr>
      <w:r w:rsidRPr="00166B3C">
        <w:rPr>
          <w:lang w:val="fr-FR"/>
        </w:rPr>
        <w:t>Données et comparaison des deux méthodes</w:t>
      </w:r>
    </w:p>
    <w:p w14:paraId="750BD35E" w14:textId="77777777" w:rsidR="001D6462" w:rsidRPr="00166B3C" w:rsidRDefault="00967E71">
      <w:pPr>
        <w:spacing w:after="0"/>
        <w:ind w:left="-15" w:firstLine="339"/>
        <w:rPr>
          <w:lang w:val="fr-FR"/>
        </w:rPr>
      </w:pPr>
      <w:r w:rsidRPr="00166B3C">
        <w:rPr>
          <w:lang w:val="fr-FR"/>
        </w:rPr>
        <w:t>Vous trouverez dans la section Projet du site Moodle un fichier de données nommé "2KP200TA-0.dat". Ce fichier contient les données d’une instance à 200 objets, où chaque objet est évalué selon 6 objectifs. Pour tester vos méthodes, vous pourrez utiliser de</w:t>
      </w:r>
      <w:r w:rsidRPr="00166B3C">
        <w:rPr>
          <w:lang w:val="fr-FR"/>
        </w:rPr>
        <w:t xml:space="preserve">s sous-ensembles de ces données, par exemple prendre uniquement les 20 premiers objets et les 3 trois premiers critères de façon à avoir un problème à </w:t>
      </w:r>
      <w:r w:rsidRPr="00166B3C">
        <w:rPr>
          <w:rFonts w:ascii="Cambria" w:eastAsia="Cambria" w:hAnsi="Cambria" w:cs="Cambria"/>
          <w:i/>
          <w:lang w:val="fr-FR"/>
        </w:rPr>
        <w:t>n</w:t>
      </w:r>
      <w:r w:rsidRPr="00166B3C">
        <w:rPr>
          <w:rFonts w:ascii="Cambria" w:eastAsia="Cambria" w:hAnsi="Cambria" w:cs="Cambria"/>
          <w:lang w:val="fr-FR"/>
        </w:rPr>
        <w:t xml:space="preserve">=20 </w:t>
      </w:r>
      <w:r w:rsidRPr="00166B3C">
        <w:rPr>
          <w:lang w:val="fr-FR"/>
        </w:rPr>
        <w:t xml:space="preserve">objets et </w:t>
      </w:r>
      <w:r w:rsidRPr="00166B3C">
        <w:rPr>
          <w:rFonts w:ascii="Cambria" w:eastAsia="Cambria" w:hAnsi="Cambria" w:cs="Cambria"/>
          <w:i/>
          <w:lang w:val="fr-FR"/>
        </w:rPr>
        <w:t>p</w:t>
      </w:r>
      <w:r w:rsidRPr="00166B3C">
        <w:rPr>
          <w:rFonts w:ascii="Cambria" w:eastAsia="Cambria" w:hAnsi="Cambria" w:cs="Cambria"/>
          <w:lang w:val="fr-FR"/>
        </w:rPr>
        <w:t xml:space="preserve">=3 </w:t>
      </w:r>
      <w:r w:rsidRPr="00166B3C">
        <w:rPr>
          <w:lang w:val="fr-FR"/>
        </w:rPr>
        <w:t xml:space="preserve">critères. La capacité </w:t>
      </w:r>
      <w:r w:rsidRPr="00166B3C">
        <w:rPr>
          <w:rFonts w:ascii="Cambria" w:eastAsia="Cambria" w:hAnsi="Cambria" w:cs="Cambria"/>
          <w:i/>
          <w:lang w:val="fr-FR"/>
        </w:rPr>
        <w:t xml:space="preserve">W </w:t>
      </w:r>
      <w:r w:rsidRPr="00166B3C">
        <w:rPr>
          <w:lang w:val="fr-FR"/>
        </w:rPr>
        <w:t>du sac à dos sera toujours prise égale à</w:t>
      </w:r>
      <w:r>
        <w:rPr>
          <w:noProof/>
        </w:rPr>
        <w:drawing>
          <wp:inline distT="0" distB="0" distL="0" distR="0" wp14:anchorId="45B4BC96" wp14:editId="41B3B131">
            <wp:extent cx="518160" cy="204215"/>
            <wp:effectExtent l="0" t="0" r="0" b="0"/>
            <wp:docPr id="3280" name="Picture 3280"/>
            <wp:cNvGraphicFramePr/>
            <a:graphic xmlns:a="http://schemas.openxmlformats.org/drawingml/2006/main">
              <a:graphicData uri="http://schemas.openxmlformats.org/drawingml/2006/picture">
                <pic:pic xmlns:pic="http://schemas.openxmlformats.org/drawingml/2006/picture">
                  <pic:nvPicPr>
                    <pic:cNvPr id="3280" name="Picture 3280"/>
                    <pic:cNvPicPr/>
                  </pic:nvPicPr>
                  <pic:blipFill>
                    <a:blip r:embed="rId12"/>
                    <a:stretch>
                      <a:fillRect/>
                    </a:stretch>
                  </pic:blipFill>
                  <pic:spPr>
                    <a:xfrm>
                      <a:off x="0" y="0"/>
                      <a:ext cx="518160" cy="204215"/>
                    </a:xfrm>
                    <a:prstGeom prst="rect">
                      <a:avLst/>
                    </a:prstGeom>
                  </pic:spPr>
                </pic:pic>
              </a:graphicData>
            </a:graphic>
          </wp:inline>
        </w:drawing>
      </w:r>
      <w:r w:rsidRPr="00166B3C">
        <w:rPr>
          <w:lang w:val="fr-FR"/>
        </w:rPr>
        <w:t>.</w:t>
      </w:r>
    </w:p>
    <w:p w14:paraId="61B8A06D" w14:textId="77777777" w:rsidR="001D6462" w:rsidRPr="00166B3C" w:rsidRDefault="00967E71">
      <w:pPr>
        <w:spacing w:after="0"/>
        <w:ind w:left="-15" w:firstLine="339"/>
        <w:rPr>
          <w:lang w:val="fr-FR"/>
        </w:rPr>
      </w:pPr>
      <w:r w:rsidRPr="00166B3C">
        <w:rPr>
          <w:lang w:val="fr-FR"/>
        </w:rPr>
        <w:t xml:space="preserve">Pour l’élicitation </w:t>
      </w:r>
      <w:r w:rsidRPr="00166B3C">
        <w:rPr>
          <w:lang w:val="fr-FR"/>
        </w:rPr>
        <w:t>incrémentale, vous testerez en priorité comme fonction d’agrégation la somme pondérée, ensuite éventuellement OWA avec poids décroissants et l’intégrale de Choquet avec capacité super-modulaire (les conditions imposées visent à favoriser les vecteurs de pe</w:t>
      </w:r>
      <w:r w:rsidRPr="00166B3C">
        <w:rPr>
          <w:lang w:val="fr-FR"/>
        </w:rPr>
        <w:t>rformances équilibrés).</w:t>
      </w:r>
    </w:p>
    <w:p w14:paraId="02EF695E" w14:textId="77777777" w:rsidR="001D6462" w:rsidRPr="00166B3C" w:rsidRDefault="00967E71">
      <w:pPr>
        <w:ind w:left="-15" w:firstLine="339"/>
        <w:rPr>
          <w:lang w:val="fr-FR"/>
        </w:rPr>
      </w:pPr>
      <w:r w:rsidRPr="00166B3C">
        <w:rPr>
          <w:lang w:val="fr-FR"/>
        </w:rPr>
        <w:lastRenderedPageBreak/>
        <w:t>Vous comparerez expérimentalement la première et la seconde procédure de résolution en termes de :</w:t>
      </w:r>
    </w:p>
    <w:p w14:paraId="35A9E09D" w14:textId="77777777" w:rsidR="001D6462" w:rsidRPr="00166B3C" w:rsidRDefault="00967E71">
      <w:pPr>
        <w:ind w:left="229"/>
        <w:rPr>
          <w:lang w:val="fr-FR"/>
        </w:rPr>
      </w:pPr>
      <w:r w:rsidRPr="00166B3C">
        <w:rPr>
          <w:lang w:val="fr-FR"/>
        </w:rPr>
        <w:t>— temps de calcul,</w:t>
      </w:r>
    </w:p>
    <w:p w14:paraId="511AB9FB" w14:textId="77777777" w:rsidR="001D6462" w:rsidRPr="00166B3C" w:rsidRDefault="00967E71">
      <w:pPr>
        <w:ind w:left="229"/>
        <w:rPr>
          <w:lang w:val="fr-FR"/>
        </w:rPr>
      </w:pPr>
      <w:r w:rsidRPr="00166B3C">
        <w:rPr>
          <w:lang w:val="fr-FR"/>
        </w:rPr>
        <w:t>— erreur par rapport à la solution optimale du décideur (obtenue en optimisant un programme linéaire ayant pour fo</w:t>
      </w:r>
      <w:r w:rsidRPr="00166B3C">
        <w:rPr>
          <w:lang w:val="fr-FR"/>
        </w:rPr>
        <w:t>nction objectif la fonction d’agrégation), — nombre de questions posées.</w:t>
      </w:r>
    </w:p>
    <w:p w14:paraId="095DC5F4" w14:textId="77777777" w:rsidR="001D6462" w:rsidRPr="00166B3C" w:rsidRDefault="00967E71">
      <w:pPr>
        <w:spacing w:after="358"/>
        <w:ind w:left="-15" w:firstLine="339"/>
        <w:rPr>
          <w:lang w:val="fr-FR"/>
        </w:rPr>
      </w:pPr>
      <w:r w:rsidRPr="00166B3C">
        <w:rPr>
          <w:lang w:val="fr-FR"/>
        </w:rPr>
        <w:t>Vous ferez la moyenne des résultats obtenus pour au moins 20 jeux de paramètres différents de la fonction d’agrégation.</w:t>
      </w:r>
    </w:p>
    <w:p w14:paraId="6D7FC71A" w14:textId="77777777" w:rsidR="001D6462" w:rsidRPr="00166B3C" w:rsidRDefault="00967E71">
      <w:pPr>
        <w:spacing w:after="166" w:line="265" w:lineRule="auto"/>
        <w:ind w:left="-5"/>
        <w:jc w:val="left"/>
        <w:rPr>
          <w:lang w:val="fr-FR"/>
        </w:rPr>
      </w:pPr>
      <w:r w:rsidRPr="00166B3C">
        <w:rPr>
          <w:lang w:val="fr-FR"/>
        </w:rPr>
        <w:t>5. Organisation et dates</w:t>
      </w:r>
    </w:p>
    <w:p w14:paraId="5A0629C1" w14:textId="77777777" w:rsidR="001D6462" w:rsidRPr="00166B3C" w:rsidRDefault="00967E71">
      <w:pPr>
        <w:ind w:left="-5"/>
        <w:rPr>
          <w:lang w:val="fr-FR"/>
        </w:rPr>
      </w:pPr>
      <w:r w:rsidRPr="00166B3C">
        <w:rPr>
          <w:lang w:val="fr-FR"/>
        </w:rPr>
        <w:t xml:space="preserve">Le travail est à effectuer en binôme. </w:t>
      </w:r>
      <w:r w:rsidRPr="00166B3C">
        <w:rPr>
          <w:lang w:val="fr-FR"/>
        </w:rPr>
        <w:t>Le choix du langage de programmation est libre. Toutes les possibilités de visualisation sont les bienvenues (bien que facultatives).</w:t>
      </w:r>
    </w:p>
    <w:p w14:paraId="397CADF3" w14:textId="77777777" w:rsidR="001D6462" w:rsidRPr="00166B3C" w:rsidRDefault="00967E71">
      <w:pPr>
        <w:ind w:left="-5"/>
        <w:rPr>
          <w:lang w:val="fr-FR"/>
        </w:rPr>
      </w:pPr>
      <w:r w:rsidRPr="00166B3C">
        <w:rPr>
          <w:lang w:val="fr-FR"/>
        </w:rPr>
        <w:t xml:space="preserve">Les projets doivent être soumis le </w:t>
      </w:r>
      <w:r w:rsidRPr="00166B3C">
        <w:rPr>
          <w:lang w:val="fr-FR"/>
        </w:rPr>
        <w:t xml:space="preserve">dimanche 23 janvier 2022 </w:t>
      </w:r>
      <w:r w:rsidRPr="00166B3C">
        <w:rPr>
          <w:lang w:val="fr-FR"/>
        </w:rPr>
        <w:t>au plus tard à partir du lien de soumission du site Moodle. Vo</w:t>
      </w:r>
      <w:r w:rsidRPr="00166B3C">
        <w:rPr>
          <w:lang w:val="fr-FR"/>
        </w:rPr>
        <w:t xml:space="preserve">tre livraison sera constituée d’une archive </w:t>
      </w:r>
      <w:r w:rsidRPr="00166B3C">
        <w:rPr>
          <w:lang w:val="fr-FR"/>
        </w:rPr>
        <w:t xml:space="preserve">zip </w:t>
      </w:r>
      <w:r w:rsidRPr="00166B3C">
        <w:rPr>
          <w:lang w:val="fr-FR"/>
        </w:rPr>
        <w:t xml:space="preserve">qui comportera les sources du programme, un fichier README détaillant comment compiler et exécuter le programme, et un rapport (un fichier au format </w:t>
      </w:r>
      <w:r w:rsidRPr="00166B3C">
        <w:rPr>
          <w:lang w:val="fr-FR"/>
        </w:rPr>
        <w:t>pdf</w:t>
      </w:r>
      <w:r w:rsidRPr="00166B3C">
        <w:rPr>
          <w:lang w:val="fr-FR"/>
        </w:rPr>
        <w:t xml:space="preserve">) comportant une description synthétique des procédures </w:t>
      </w:r>
      <w:r w:rsidRPr="00166B3C">
        <w:rPr>
          <w:lang w:val="fr-FR"/>
        </w:rPr>
        <w:t>implantées et des résultats des différents tests numériques menés. Le plan du rapport suivra le plan du sujet.</w:t>
      </w:r>
    </w:p>
    <w:p w14:paraId="7F2A1F23" w14:textId="77777777" w:rsidR="001D6462" w:rsidRPr="00166B3C" w:rsidRDefault="00967E71">
      <w:pPr>
        <w:ind w:left="-5"/>
        <w:rPr>
          <w:lang w:val="fr-FR"/>
        </w:rPr>
      </w:pPr>
      <w:r w:rsidRPr="00166B3C">
        <w:rPr>
          <w:lang w:val="fr-FR"/>
        </w:rPr>
        <w:t xml:space="preserve">Une </w:t>
      </w:r>
      <w:r w:rsidRPr="00166B3C">
        <w:rPr>
          <w:lang w:val="fr-FR"/>
        </w:rPr>
        <w:t xml:space="preserve">soutenance </w:t>
      </w:r>
      <w:r w:rsidRPr="00166B3C">
        <w:rPr>
          <w:lang w:val="fr-FR"/>
        </w:rPr>
        <w:t xml:space="preserve">avec transparents est prévue lors de la séance du </w:t>
      </w:r>
      <w:r w:rsidRPr="00166B3C">
        <w:rPr>
          <w:lang w:val="fr-FR"/>
        </w:rPr>
        <w:t>25 janvier</w:t>
      </w:r>
      <w:r w:rsidRPr="00166B3C">
        <w:rPr>
          <w:lang w:val="fr-FR"/>
        </w:rPr>
        <w:t>.</w:t>
      </w:r>
    </w:p>
    <w:sectPr w:rsidR="001D6462" w:rsidRPr="00166B3C">
      <w:footerReference w:type="even" r:id="rId13"/>
      <w:footerReference w:type="default" r:id="rId14"/>
      <w:footerReference w:type="first" r:id="rId15"/>
      <w:pgSz w:w="11906" w:h="16838"/>
      <w:pgMar w:top="1906" w:right="1281" w:bottom="1636" w:left="1440" w:header="720"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B94FE" w14:textId="77777777" w:rsidR="00967E71" w:rsidRDefault="00967E71">
      <w:pPr>
        <w:spacing w:after="0" w:line="240" w:lineRule="auto"/>
      </w:pPr>
      <w:r>
        <w:separator/>
      </w:r>
    </w:p>
  </w:endnote>
  <w:endnote w:type="continuationSeparator" w:id="0">
    <w:p w14:paraId="348FF56B" w14:textId="77777777" w:rsidR="00967E71" w:rsidRDefault="00967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CD25" w14:textId="77777777" w:rsidR="001D6462" w:rsidRDefault="00967E7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8B72D" w14:textId="77777777" w:rsidR="001D6462" w:rsidRDefault="00967E7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759E7" w14:textId="77777777" w:rsidR="001D6462" w:rsidRDefault="00967E71">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DD230" w14:textId="77777777" w:rsidR="00967E71" w:rsidRDefault="00967E71">
      <w:pPr>
        <w:spacing w:after="0" w:line="240" w:lineRule="auto"/>
      </w:pPr>
      <w:r>
        <w:separator/>
      </w:r>
    </w:p>
  </w:footnote>
  <w:footnote w:type="continuationSeparator" w:id="0">
    <w:p w14:paraId="36CA8506" w14:textId="77777777" w:rsidR="00967E71" w:rsidRDefault="00967E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933"/>
    <w:multiLevelType w:val="hybridMultilevel"/>
    <w:tmpl w:val="A63CC656"/>
    <w:lvl w:ilvl="0" w:tplc="8E9C6E0E">
      <w:start w:val="1"/>
      <w:numFmt w:val="lowerLetter"/>
      <w:lvlText w:val="%1)"/>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2E4C78">
      <w:start w:val="1"/>
      <w:numFmt w:val="lowerLetter"/>
      <w:lvlText w:val="%2"/>
      <w:lvlJc w:val="left"/>
      <w:pPr>
        <w:ind w:left="13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3CBA0A">
      <w:start w:val="1"/>
      <w:numFmt w:val="lowerRoman"/>
      <w:lvlText w:val="%3"/>
      <w:lvlJc w:val="left"/>
      <w:pPr>
        <w:ind w:left="20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5EA92C">
      <w:start w:val="1"/>
      <w:numFmt w:val="decimal"/>
      <w:lvlText w:val="%4"/>
      <w:lvlJc w:val="left"/>
      <w:pPr>
        <w:ind w:left="27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1652D0">
      <w:start w:val="1"/>
      <w:numFmt w:val="lowerLetter"/>
      <w:lvlText w:val="%5"/>
      <w:lvlJc w:val="left"/>
      <w:pPr>
        <w:ind w:left="34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448FE6">
      <w:start w:val="1"/>
      <w:numFmt w:val="lowerRoman"/>
      <w:lvlText w:val="%6"/>
      <w:lvlJc w:val="left"/>
      <w:pPr>
        <w:ind w:left="41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B43EF2">
      <w:start w:val="1"/>
      <w:numFmt w:val="decimal"/>
      <w:lvlText w:val="%7"/>
      <w:lvlJc w:val="left"/>
      <w:pPr>
        <w:ind w:left="49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06639C">
      <w:start w:val="1"/>
      <w:numFmt w:val="lowerLetter"/>
      <w:lvlText w:val="%8"/>
      <w:lvlJc w:val="left"/>
      <w:pPr>
        <w:ind w:left="56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9C6528">
      <w:start w:val="1"/>
      <w:numFmt w:val="lowerRoman"/>
      <w:lvlText w:val="%9"/>
      <w:lvlJc w:val="left"/>
      <w:pPr>
        <w:ind w:left="63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6E5AC7"/>
    <w:multiLevelType w:val="hybridMultilevel"/>
    <w:tmpl w:val="A0A2D516"/>
    <w:lvl w:ilvl="0" w:tplc="59C0B3FC">
      <w:start w:val="3"/>
      <w:numFmt w:val="decimal"/>
      <w:lvlText w:val="%1."/>
      <w:lvlJc w:val="left"/>
      <w:pPr>
        <w:ind w:left="2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92400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BC81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9E58A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962C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240548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78DBB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536A9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0EE89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462"/>
    <w:rsid w:val="00166B3C"/>
    <w:rsid w:val="001D6462"/>
    <w:rsid w:val="00967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B72B"/>
  <w15:docId w15:val="{D130C6D4-2A3E-4947-9600-08D71F3A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7" w:line="252" w:lineRule="auto"/>
      <w:ind w:left="10" w:hanging="10"/>
      <w:jc w:val="both"/>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obi.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gurobi.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995</Words>
  <Characters>5674</Characters>
  <Application>Microsoft Office Word</Application>
  <DocSecurity>0</DocSecurity>
  <Lines>47</Lines>
  <Paragraphs>13</Paragraphs>
  <ScaleCrop>false</ScaleCrop>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p7029</dc:creator>
  <cp:keywords/>
  <cp:lastModifiedBy>p7029</cp:lastModifiedBy>
  <cp:revision>2</cp:revision>
  <dcterms:created xsi:type="dcterms:W3CDTF">2021-12-28T15:55:00Z</dcterms:created>
  <dcterms:modified xsi:type="dcterms:W3CDTF">2021-12-28T15:55:00Z</dcterms:modified>
</cp:coreProperties>
</file>