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學校版文件 — 出處顯示方式樣本</w:t>
      </w:r>
    </w:p>
    <w:p>
      <w:pPr>
        <w:spacing w:after="280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以下用兩條條款（一條表格型、一條敍述型）各示範兩種出處寫法，內容完全相同。黃色底色＝預填可調位（學校按校情修改）。</w:t>
      </w:r>
    </w:p>
    <w:p>
      <w:pPr>
        <w:pStyle w:val="Heading1"/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30"/>
          <w:szCs w:val="30"/>
        </w:rPr>
        <w:t xml:space="preserve">樣式一：條末括號短註</w:t>
      </w:r>
    </w:p>
    <w:p>
      <w:pPr>
        <w:pStyle w:val="Heading2"/>
        <w:spacing w:after="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4.2　採購門檻與批核權限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4.2.1　本校採購物料及服務，按下表所列財政限額及批核權限執行：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每次預算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程序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批核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$5,000 或以下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毋須公開競投，惟須由適當職級人員證明採購屬必需且價格公平合理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校長／副校長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$5,000 以上至 $50,000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邀請最少兩個口頭報價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校長／副校長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$50,000 以上至 $200,000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邀請最少五個書面報價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校長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$200,000 以上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邀請最少五名供應商投標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標書批核委員會</w:t>
            </w:r>
          </w:p>
        </w:tc>
      </w:tr>
    </w:tbl>
    <w:p>
      <w:pPr>
        <w:spacing w:after="240" w:before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4.2.2　同一類項目於 12 個月內累積價值不超過 $50,000 及 $200,000，方可分別以口頭報價及書面報價方式重複採購。本校不會分拆訂單、分期採購或縮短一般合約期，以規避上述財政限額、批核規定或報價／招標程序。</w:t>
      </w: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（參照《資助學校採購程序指引》第 5 頁）</w:t>
      </w:r>
    </w:p>
    <w:p>
      <w:pPr>
        <w:pStyle w:val="Heading2"/>
        <w:spacing w:after="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6.1　利益申報</w:t>
      </w:r>
    </w:p>
    <w:p>
      <w:pPr>
        <w:spacing w:after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6.1.1　本校負責採購及物料供應職務的人員，一律須簽署承諾書；如得知本人或家人與供應商有密切連繫，須盡早向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書面申報。已申報利益衝突的員工須避免處理相關報價／投標，申報及所採取行動均須妥為記錄；本校每年向全體員工發出通告，要求簽署確認知悉上述規定。</w:t>
      </w: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（參照《資助學校採購程序指引》第 4 頁）</w:t>
      </w:r>
    </w:p>
    <w:p>
      <w:pPr>
        <w:pStyle w:val="Heading1"/>
        <w:pageBreakBefore/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30"/>
          <w:szCs w:val="30"/>
        </w:rPr>
        <w:t xml:space="preserve">樣式三：腳註</w:t>
      </w:r>
    </w:p>
    <w:p>
      <w:pPr>
        <w:pStyle w:val="Heading2"/>
        <w:spacing w:after="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4.2　採購門檻與批核權限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4.2.1　本校採購物料及服務，按下表所列財政限額及批核權限執行：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每次預算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程序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批核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$5,000 或以下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毋須公開競投，惟須由適當職級人員證明採購屬必需且價格公平合理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校長／副校長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$5,000 以上至 $50,000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邀請最少兩個口頭報價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校長／副校長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$50,000 以上至 $200,000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邀請最少五個書面報價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校長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$200,000 以上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邀請最少五名供應商投標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標書批核委員會</w:t>
            </w:r>
          </w:p>
        </w:tc>
      </w:tr>
    </w:tbl>
    <w:p>
      <w:pPr>
        <w:spacing w:after="240" w:before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4.2.2　同一類項目於 12 個月內累積價值不超過 $50,000 及 $200,000，方可分別以口頭報價及書面報價方式重複採購。本校不會分拆訂單、分期採購或縮短一般合約期，以規避上述財政限額、批核規定或報價／招標程序。</w:t>
      </w:r>
      <w:r>
        <w:rPr>
          <w:rStyle w:val="FootnoteReference"/>
        </w:rPr>
        <w:footnoteReference w:id="1"/>
      </w:r>
    </w:p>
    <w:p>
      <w:pPr>
        <w:pStyle w:val="Heading2"/>
        <w:spacing w:after="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6.1　利益申報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6.1.1　本校負責採購及物料供應職務的人員，一律須簽署承諾書；如得知本人或家人與供應商有密切連繫，須盡早向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書面申報。已申報利益衝突的員工須避免處理相關報價／投標，申報及所採取行動均須妥為記錄；本校每年向全體員工發出通告，要求簽署確認知悉上述規定。</w:t>
      </w:r>
      <w:r>
        <w:rPr>
          <w:rStyle w:val="FootnoteReference"/>
        </w:rPr>
        <w:footnote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wuy1sbux941eajzenfbnl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《資助學校採購程序指引》（2025年10月更新）第 5 頁</w:t>
        </w:r>
      </w:hyperlink>
    </w:p>
  </w:footnote>
  <w:footnote w:id="2">
    <w:p>
      <w:r>
        <w:rPr>
          <w:rStyle w:val="FootnoteReference"/>
        </w:rPr>
        <w:footnoteRef/>
      </w:r>
      <w:hyperlink w:history="1" r:id="rIdrhyyq4oldkx-a9ugnbt7b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《資助學校採購程序指引》（2025年10月更新）第 4 頁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Microsoft JhengHei" w:cs="Microsoft JhengHei" w:eastAsia="Microsoft JhengHei" w:hAnsi="Microsoft JhengHei"/>
      <w:b/>
      <w:bCs/>
      <w:color w:val="1F4E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Microsoft JhengHei" w:cs="Microsoft JhengHei" w:eastAsia="Microsoft JhengHei" w:hAnsi="Microsoft Jheng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Id="rIdwuy1sbux941eajzenfbnl" Type="http://schemas.openxmlformats.org/officeDocument/2006/relationships/hyperlink" Target="https://www.edb.gov.hk/attachment/tc/sch-admin/fin-management/procurement-procedures-in-aided-schools/Guidelines%20on%20Procurement%20Procedures%20in%20Aided%20Schools%20Trad%20Chi_2024.pdf#page=5" TargetMode="External"/><Relationship Id="rIdrhyyq4oldkx-a9ugnbt7b" Type="http://schemas.openxmlformats.org/officeDocument/2006/relationships/hyperlink" Target="https://www.edb.gov.hk/attachment/tc/sch-admin/fin-management/procurement-procedures-in-aided-schools/Guidelines%20on%20Procurement%20Procedures%20in%20Aided%20Schools%20Trad%20Chi_2024.pdf#page=4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2026-06-11T14:01:04.769Z</dcterms:created>
  <dcterms:modified xsi:type="dcterms:W3CDTF">2026-06-11T14:01:04.775Z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