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双厂日尺度数据非原始字段说明</w:t>
      </w:r>
    </w:p>
    <w:p>
      <w:pPr>
        <w:spacing w:after="200"/>
      </w:pPr>
      <w:r>
        <w:rPr>
          <w:rFonts w:ascii="Arial" w:hAnsi="Arial" w:eastAsia="Microsoft YaHei"/>
          <w:b/>
          <w:sz w:val="21"/>
        </w:rPr>
        <w:t>适用范围  城北厂和江边厂 2019 至 2023 年完整清洗日尺度数据及 PI DPCH 建模数据</w:t>
      </w:r>
    </w:p>
    <w:p>
      <w:r>
        <w:t>本说明用于区分原始月报或实验记录与后续生成的数据。非原始数据包括日期与来源标识、汇总值、单位水量指标、污染物负荷、比值、插补值、实验衍生特征、碳排放核算结果和建模时序特征。</w:t>
      </w:r>
      <w:r>
        <w:t>这些字段可以用于统计、碳核算和建模，但引用时应同时说明计算口径或处理方法。</w:t>
      </w:r>
    </w:p>
    <w:p>
      <w:pPr>
        <w:pStyle w:val="Heading1"/>
      </w:pPr>
      <w:r>
        <w:t>数据文件和判定原则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952"/>
            <w:vAlign w:val="center"/>
            <w:shd w:fill="27455C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656"/>
            <w:vAlign w:val="center"/>
            <w:shd w:fill="27455C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规模</w:t>
            </w:r>
          </w:p>
        </w:tc>
        <w:tc>
          <w:tcPr>
            <w:tcW w:type="dxa" w:w="5544"/>
            <w:vAlign w:val="center"/>
            <w:shd w:fill="27455C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完整清洗日尺度数据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3652 行 79 列</w:t>
            </w:r>
          </w:p>
        </w:tc>
        <w:tc>
          <w:tcPr>
            <w:tcW w:type="dxa" w:w="55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保留原始运行和水质记录，并增加清洗、计算、实验匹配及碳核算字段</w:t>
            </w:r>
          </w:p>
        </w:tc>
      </w:tr>
      <w:tr>
        <w:tc>
          <w:tcPr>
            <w:tcW w:type="dxa" w:w="2952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完整 PI DPCH 建模数据</w:t>
            </w:r>
          </w:p>
        </w:tc>
        <w:tc>
          <w:tcPr>
            <w:tcW w:type="dxa" w:w="1656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3624 行 311 列</w:t>
            </w:r>
          </w:p>
        </w:tc>
        <w:tc>
          <w:tcPr>
            <w:tcW w:type="dxa" w:w="5544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在清洗表基础上生成历史滞后、滚动统计、模型目标和训练测试标识</w:t>
            </w:r>
          </w:p>
        </w:tc>
      </w:tr>
    </w:tbl>
    <w:p>
      <w:pPr>
        <w:spacing w:after="0"/>
      </w:pPr>
    </w:p>
    <w:p>
      <w:r>
        <w:rPr>
          <w:rFonts w:ascii="Arial" w:hAnsi="Arial" w:eastAsia="Microsoft YaHei"/>
          <w:b/>
          <w:sz w:val="21"/>
        </w:rPr>
        <w:t xml:space="preserve">判定原则  </w:t>
      </w:r>
      <w:r>
        <w:t>直接抄录自月报、化验表或实验原始记录的数值视为原始数据。由字段拆分、单位换算、公式计算、时间匹配、插补、情景假设或数据集划分产生的字段视为非原始数据。厂区、日期和来源文件属于整理后的追溯元数据，不属于运行测量值。</w:t>
      </w:r>
    </w:p>
    <w:p>
      <w:pPr>
        <w:pStyle w:val="Heading1"/>
      </w:pPr>
      <w:r>
        <w:t>完整清洗日尺度数据中的非原始字段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843"/>
            <w:vAlign w:val="center"/>
            <w:shd w:fill="27455C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字段组</w:t>
            </w:r>
          </w:p>
        </w:tc>
        <w:tc>
          <w:tcPr>
            <w:tcW w:type="dxa" w:w="2952"/>
            <w:vAlign w:val="center"/>
            <w:shd w:fill="27455C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536"/>
            <w:vAlign w:val="center"/>
            <w:shd w:fill="27455C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生成方法</w:t>
            </w:r>
          </w:p>
        </w:tc>
        <w:tc>
          <w:tcPr>
            <w:tcW w:type="dxa" w:w="1123"/>
            <w:vAlign w:val="center"/>
            <w:shd w:fill="27455C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性质</w:t>
            </w:r>
          </w:p>
        </w:tc>
      </w:tr>
      <w:tr>
        <w:tc>
          <w:tcPr>
            <w:tcW w:type="dxa" w:w="184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追溯和日期字段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厂区 plant_id；日期 date；年份 year；月份 month；季节 season；来源文件 source_file</w:t>
            </w:r>
          </w:p>
        </w:tc>
        <w:tc>
          <w:tcPr>
            <w:tcW w:type="dxa" w:w="45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厂区和来源文件在合并时添加。日期统一为日尺度；年份、月份和季节由日期提取。</w:t>
            </w:r>
          </w:p>
        </w:tc>
        <w:tc>
          <w:tcPr>
            <w:tcW w:type="dxa" w:w="11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整理元数据</w:t>
            </w:r>
          </w:p>
        </w:tc>
      </w:tr>
      <w:tr>
        <w:tc>
          <w:tcPr>
            <w:tcW w:type="dxa" w:w="1843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降雨标识</w:t>
            </w:r>
          </w:p>
        </w:tc>
        <w:tc>
          <w:tcPr>
            <w:tcW w:type="dxa" w:w="2952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rain_flag</w:t>
            </w:r>
          </w:p>
        </w:tc>
        <w:tc>
          <w:tcPr>
            <w:tcW w:type="dxa" w:w="4536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由原始天气文字 weather_raw 识别降雨。1 表示含降雨信息，0 表示未识别为降雨。</w:t>
            </w:r>
          </w:p>
        </w:tc>
        <w:tc>
          <w:tcPr>
            <w:tcW w:type="dxa" w:w="1123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规则派生</w:t>
            </w:r>
          </w:p>
        </w:tc>
      </w:tr>
      <w:tr>
        <w:tc>
          <w:tcPr>
            <w:tcW w:type="dxa" w:w="184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干污泥量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dry_sludge_kg_d</w:t>
            </w:r>
          </w:p>
        </w:tc>
        <w:tc>
          <w:tcPr>
            <w:tcW w:type="dxa" w:w="45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湿污泥量 t/d × 1000 ×（1 − 污泥含水率 ÷ 100）。</w:t>
            </w:r>
          </w:p>
        </w:tc>
        <w:tc>
          <w:tcPr>
            <w:tcW w:type="dxa" w:w="11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公式计算</w:t>
            </w:r>
          </w:p>
        </w:tc>
      </w:tr>
      <w:tr>
        <w:tc>
          <w:tcPr>
            <w:tcW w:type="dxa" w:w="1843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MLSS 平均浓度</w:t>
            </w:r>
          </w:p>
        </w:tc>
        <w:tc>
          <w:tcPr>
            <w:tcW w:type="dxa" w:w="2952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mlss_mean_mg_L</w:t>
            </w:r>
          </w:p>
        </w:tc>
        <w:tc>
          <w:tcPr>
            <w:tcW w:type="dxa" w:w="4536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对一二三期 MLSS 的可用值取算术平均。</w:t>
            </w:r>
          </w:p>
        </w:tc>
        <w:tc>
          <w:tcPr>
            <w:tcW w:type="dxa" w:w="1123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汇总计算</w:t>
            </w:r>
          </w:p>
        </w:tc>
      </w:tr>
      <w:tr>
        <w:tc>
          <w:tcPr>
            <w:tcW w:type="dxa" w:w="184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单位水量电耗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electricity_kWh_m3</w:t>
            </w:r>
          </w:p>
        </w:tc>
        <w:tc>
          <w:tcPr>
            <w:tcW w:type="dxa" w:w="45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日电耗 electricity_kWh_d ÷ 日处理水量 flow_m3_d。</w:t>
            </w:r>
          </w:p>
        </w:tc>
        <w:tc>
          <w:tcPr>
            <w:tcW w:type="dxa" w:w="11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强度计算</w:t>
            </w:r>
          </w:p>
        </w:tc>
      </w:tr>
      <w:tr>
        <w:tc>
          <w:tcPr>
            <w:tcW w:type="dxa" w:w="1843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PAM 总投加量</w:t>
            </w:r>
          </w:p>
        </w:tc>
        <w:tc>
          <w:tcPr>
            <w:tcW w:type="dxa" w:w="2952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pam_total_kg_d</w:t>
            </w:r>
          </w:p>
        </w:tc>
        <w:tc>
          <w:tcPr>
            <w:tcW w:type="dxa" w:w="4536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PAM 阳离子投加量 + PAM 阴离子投加量；空缺分项按 0 参与加总。</w:t>
            </w:r>
          </w:p>
        </w:tc>
        <w:tc>
          <w:tcPr>
            <w:tcW w:type="dxa" w:w="1123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汇总计算</w:t>
            </w:r>
          </w:p>
        </w:tc>
      </w:tr>
      <w:tr>
        <w:tc>
          <w:tcPr>
            <w:tcW w:type="dxa" w:w="184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次氯酸钠处理值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sodium_hypochlorite_kg_d；sodium_hypochlorite_imputed_flag</w:t>
            </w:r>
          </w:p>
        </w:tc>
        <w:tc>
          <w:tcPr>
            <w:tcW w:type="dxa" w:w="45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通常等于原始列。城北厂 2023 年 1 月 2 日原值 −17372 kg/d 判为异常，以相邻两日均值 23005 kg/d 替换，标识为 1。</w:t>
            </w:r>
          </w:p>
        </w:tc>
        <w:tc>
          <w:tcPr>
            <w:tcW w:type="dxa" w:w="11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清洗和插补</w:t>
            </w:r>
          </w:p>
        </w:tc>
      </w:tr>
      <w:tr>
        <w:tc>
          <w:tcPr>
            <w:tcW w:type="dxa" w:w="1843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乙酸钠总投加量</w:t>
            </w:r>
          </w:p>
        </w:tc>
        <w:tc>
          <w:tcPr>
            <w:tcW w:type="dxa" w:w="2952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acetate_total_kg_d</w:t>
            </w:r>
          </w:p>
        </w:tc>
        <w:tc>
          <w:tcPr>
            <w:tcW w:type="dxa" w:w="4536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缺氧段投加量 + 深度处理投加量。碳核算按乙酸钠 NaAc 口径处理。</w:t>
            </w:r>
          </w:p>
        </w:tc>
        <w:tc>
          <w:tcPr>
            <w:tcW w:type="dxa" w:w="1123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汇总计算</w:t>
            </w:r>
          </w:p>
        </w:tc>
      </w:tr>
      <w:tr>
        <w:tc>
          <w:tcPr>
            <w:tcW w:type="dxa" w:w="184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出水 TN 处理值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TN_out_mg_L；TN_out_mg_L_imputed_flag</w:t>
            </w:r>
          </w:p>
        </w:tc>
        <w:tc>
          <w:tcPr>
            <w:tcW w:type="dxa" w:w="45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绝大多数为原始化验值。城北厂 2023 年 11 月 30 日缺失值以前一日 8.33 mg/L 填补，标识为 1。</w:t>
            </w:r>
          </w:p>
        </w:tc>
        <w:tc>
          <w:tcPr>
            <w:tcW w:type="dxa" w:w="11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局部插补</w:t>
            </w:r>
          </w:p>
        </w:tc>
      </w:tr>
      <w:tr>
        <w:tc>
          <w:tcPr>
            <w:tcW w:type="dxa" w:w="1843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进水污染物负荷</w:t>
            </w:r>
          </w:p>
        </w:tc>
        <w:tc>
          <w:tcPr>
            <w:tcW w:type="dxa" w:w="2952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COD BOD5 SS NH4 N TN TP in load kg d</w:t>
            </w:r>
          </w:p>
        </w:tc>
        <w:tc>
          <w:tcPr>
            <w:tcW w:type="dxa" w:w="4536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日处理水量 m3/d × 进水浓度 mg/L ÷ 1000。共 6 列。</w:t>
            </w:r>
          </w:p>
        </w:tc>
        <w:tc>
          <w:tcPr>
            <w:tcW w:type="dxa" w:w="1123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公式计算</w:t>
            </w:r>
          </w:p>
        </w:tc>
      </w:tr>
      <w:tr>
        <w:tc>
          <w:tcPr>
            <w:tcW w:type="dxa" w:w="184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污染物去除负荷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COD BOD5 SS NH4 N TN TP removed load kg d</w:t>
            </w:r>
          </w:p>
        </w:tc>
        <w:tc>
          <w:tcPr>
            <w:tcW w:type="dxa" w:w="45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日处理水量 × max（进水浓度 − 出水浓度，0）÷ 1000。共 6 列。</w:t>
            </w:r>
          </w:p>
        </w:tc>
        <w:tc>
          <w:tcPr>
            <w:tcW w:type="dxa" w:w="11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公式计算</w:t>
            </w:r>
          </w:p>
        </w:tc>
      </w:tr>
      <w:tr>
        <w:tc>
          <w:tcPr>
            <w:tcW w:type="dxa" w:w="1843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进水水质比值</w:t>
            </w:r>
          </w:p>
        </w:tc>
        <w:tc>
          <w:tcPr>
            <w:tcW w:type="dxa" w:w="2952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COD_TN_ratio；BOD5_TN_ratio；COD_NH4_ratio；NH4_TN_in_ratio</w:t>
            </w:r>
          </w:p>
        </w:tc>
        <w:tc>
          <w:tcPr>
            <w:tcW w:type="dxa" w:w="4536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分别由对应进水浓度相除得到。</w:t>
            </w:r>
          </w:p>
        </w:tc>
        <w:tc>
          <w:tcPr>
            <w:tcW w:type="dxa" w:w="1123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比值计算</w:t>
            </w:r>
          </w:p>
        </w:tc>
      </w:tr>
    </w:tbl>
    <w:p>
      <w:pPr>
        <w:spacing w:after="0"/>
      </w:pPr>
    </w:p>
    <w:p>
      <w:pPr>
        <w:pStyle w:val="Heading1"/>
      </w:pPr>
      <w:r>
        <w:t>生物实验衍生字段</w:t>
      </w:r>
    </w:p>
    <w:p>
      <w:r>
        <w:t>生物实验并非每日开展。实验结果按厂区和时间向日尺度运行数据对齐，每个日期使用不晚于该日的最近一次实验结果。因此，同一组实验速率会在下一次实验前重复出现在多日记录中；首次实验之前保持空缺。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4176"/>
            <w:vAlign w:val="center"/>
            <w:shd w:fill="27455C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112"/>
            <w:vAlign w:val="center"/>
            <w:shd w:fill="27455C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含义和方法</w:t>
            </w:r>
          </w:p>
        </w:tc>
        <w:tc>
          <w:tcPr>
            <w:tcW w:type="dxa" w:w="1152"/>
            <w:vAlign w:val="center"/>
            <w:shd w:fill="27455C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性质</w:t>
            </w:r>
          </w:p>
        </w:tc>
      </w:tr>
      <w:tr>
        <w:tc>
          <w:tcPr>
            <w:tcW w:type="dxa" w:w="41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prior_experiment_date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当前日期所匹配的最近一次实验日期</w:t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时间匹配</w:t>
            </w:r>
          </w:p>
        </w:tc>
      </w:tr>
      <w:tr>
        <w:tc>
          <w:tcPr>
            <w:tcW w:type="dxa" w:w="4176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days_since_prior_experiment</w:t>
            </w:r>
          </w:p>
        </w:tc>
        <w:tc>
          <w:tcPr>
            <w:tcW w:type="dxa" w:w="5112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当前日期减最近实验日期的天数</w:t>
            </w:r>
          </w:p>
        </w:tc>
        <w:tc>
          <w:tcPr>
            <w:tcW w:type="dxa" w:w="1152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日期差</w:t>
            </w:r>
          </w:p>
        </w:tc>
      </w:tr>
      <w:tr>
        <w:tc>
          <w:tcPr>
            <w:tcW w:type="dxa" w:w="41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bio_nitrification_NH4_consumption_rate_mg_g_h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由硝化实验 NH4 N 浓度随时间变化计算，并按污泥量和反应时间归一化</w:t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实验计算</w:t>
            </w:r>
          </w:p>
        </w:tc>
      </w:tr>
      <w:tr>
        <w:tc>
          <w:tcPr>
            <w:tcW w:type="dxa" w:w="4176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bio_nitrification_NO3_production_rate_mg_g_h</w:t>
            </w:r>
          </w:p>
        </w:tc>
        <w:tc>
          <w:tcPr>
            <w:tcW w:type="dxa" w:w="5112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由硝化实验 NO3 N 生成变化计算</w:t>
            </w:r>
          </w:p>
        </w:tc>
        <w:tc>
          <w:tcPr>
            <w:tcW w:type="dxa" w:w="1152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实验计算</w:t>
            </w:r>
          </w:p>
        </w:tc>
      </w:tr>
      <w:tr>
        <w:tc>
          <w:tcPr>
            <w:tcW w:type="dxa" w:w="41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bio_nitrification_PO4_uptake_rate_mg_g_h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由硝化阶段 PO4 P 吸收变化计算</w:t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实验计算</w:t>
            </w:r>
          </w:p>
        </w:tc>
      </w:tr>
      <w:tr>
        <w:tc>
          <w:tcPr>
            <w:tcW w:type="dxa" w:w="4176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bio_denitrification_NO3_consumption_rate_mg_g_h</w:t>
            </w:r>
          </w:p>
        </w:tc>
        <w:tc>
          <w:tcPr>
            <w:tcW w:type="dxa" w:w="5112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由反硝化实验 NO3 N 消耗变化计算</w:t>
            </w:r>
          </w:p>
        </w:tc>
        <w:tc>
          <w:tcPr>
            <w:tcW w:type="dxa" w:w="1152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实验计算</w:t>
            </w:r>
          </w:p>
        </w:tc>
      </w:tr>
      <w:tr>
        <w:tc>
          <w:tcPr>
            <w:tcW w:type="dxa" w:w="41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bio_anaerobic_PO4_release_rate_mg_g_h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由厌氧实验 PO4 P 释放变化计算</w:t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实验计算</w:t>
            </w:r>
          </w:p>
        </w:tc>
      </w:tr>
      <w:tr>
        <w:tc>
          <w:tcPr>
            <w:tcW w:type="dxa" w:w="4176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bio_nit_den_activity_ratio</w:t>
            </w:r>
          </w:p>
        </w:tc>
        <w:tc>
          <w:tcPr>
            <w:tcW w:type="dxa" w:w="5112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硝化 NH4 N 消耗速率 ÷ 反硝化 NO3 N 消耗速率</w:t>
            </w:r>
          </w:p>
        </w:tc>
        <w:tc>
          <w:tcPr>
            <w:tcW w:type="dxa" w:w="1152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比值计算</w:t>
            </w:r>
          </w:p>
        </w:tc>
      </w:tr>
      <w:tr>
        <w:tc>
          <w:tcPr>
            <w:tcW w:type="dxa" w:w="41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bio_duplicate_signature_flag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标识五项实验速率组合是否与其他实验记录重复；1 表示重复特征组合</w:t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质量标识</w:t>
            </w:r>
          </w:p>
        </w:tc>
      </w:tr>
    </w:tbl>
    <w:p>
      <w:pPr>
        <w:spacing w:after="0"/>
      </w:pPr>
    </w:p>
    <w:p>
      <w:pPr>
        <w:pStyle w:val="Heading1"/>
      </w:pPr>
      <w:r>
        <w:t>碳排放核算字段</w:t>
      </w:r>
    </w:p>
    <w:p>
      <w:r>
        <w:t>碳排放字段均为活动水平数据乘排放因子所得的核算值，不是现场温室气体实测值。药剂碳排放包含药剂生产和供应链排放；外加碳源 CO2 表示乙酸钠使用后的直接过程排放，两者口径不同。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312"/>
            <w:vAlign w:val="center"/>
            <w:shd w:fill="27455C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256"/>
            <w:vAlign w:val="center"/>
            <w:shd w:fill="27455C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计算口径</w:t>
            </w:r>
          </w:p>
        </w:tc>
        <w:tc>
          <w:tcPr>
            <w:tcW w:type="dxa" w:w="1872"/>
            <w:vAlign w:val="center"/>
            <w:shd w:fill="27455C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CE_electricity_kgCO2e_d</w:t>
            </w:r>
          </w:p>
        </w:tc>
        <w:tc>
          <w:tcPr>
            <w:tcW w:type="dxa" w:w="52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日电耗 × 0.6 kgCO2e/kWh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电力间接排放</w:t>
            </w:r>
          </w:p>
        </w:tc>
      </w:tr>
      <w:tr>
        <w:tc>
          <w:tcPr>
            <w:tcW w:type="dxa" w:w="3312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CE_chemicals_kgCO2e_d</w:t>
            </w:r>
          </w:p>
        </w:tc>
        <w:tc>
          <w:tcPr>
            <w:tcW w:type="dxa" w:w="5256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PAC×1.3 + PAM×2.5 + 盐酸×0.2 + 氯酸钠×0.8 + 次氯酸钠×0.8 + 乙酸钠×1.2</w:t>
            </w:r>
          </w:p>
        </w:tc>
        <w:tc>
          <w:tcPr>
            <w:tcW w:type="dxa" w:w="1872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药剂上游排放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CE_N2O_base_kgCO2e_d</w:t>
            </w:r>
          </w:p>
        </w:tc>
        <w:tc>
          <w:tcPr>
            <w:tcW w:type="dxa" w:w="52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TN 去除负荷 × 0.0106 × 44/28 × 273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N2O 基准情景</w:t>
            </w:r>
          </w:p>
        </w:tc>
      </w:tr>
      <w:tr>
        <w:tc>
          <w:tcPr>
            <w:tcW w:type="dxa" w:w="3312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CE_CH4_kgCO2e_d</w:t>
            </w:r>
          </w:p>
        </w:tc>
        <w:tc>
          <w:tcPr>
            <w:tcW w:type="dxa" w:w="5256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进水 BOD5 负荷 × 0.019 × 27.9</w:t>
            </w:r>
          </w:p>
        </w:tc>
        <w:tc>
          <w:tcPr>
            <w:tcW w:type="dxa" w:w="1872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CH4 核算排放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CE_external_CO2_kgCO2e_d</w:t>
            </w:r>
          </w:p>
        </w:tc>
        <w:tc>
          <w:tcPr>
            <w:tcW w:type="dxa" w:w="52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乙酸钠总投加量 × 88/82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外加碳源直接 CO2</w:t>
            </w:r>
          </w:p>
        </w:tc>
      </w:tr>
      <w:tr>
        <w:tc>
          <w:tcPr>
            <w:tcW w:type="dxa" w:w="3312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CE_total_base_kgCO2e_d</w:t>
            </w:r>
          </w:p>
        </w:tc>
        <w:tc>
          <w:tcPr>
            <w:tcW w:type="dxa" w:w="5256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电耗 + 药剂 + N2O 基准 + CH4 + 外加碳源 CO2</w:t>
            </w:r>
          </w:p>
        </w:tc>
        <w:tc>
          <w:tcPr>
            <w:tcW w:type="dxa" w:w="1872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基准总量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CE_total_base_kgCO2e_m3</w:t>
            </w:r>
          </w:p>
        </w:tc>
        <w:tc>
          <w:tcPr>
            <w:tcW w:type="dxa" w:w="52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基准总量 ÷ 日处理水量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基准强度</w:t>
            </w:r>
          </w:p>
        </w:tc>
      </w:tr>
      <w:tr>
        <w:tc>
          <w:tcPr>
            <w:tcW w:type="dxa" w:w="3312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CE_N2O_sens_kgCO2e_d</w:t>
            </w:r>
          </w:p>
        </w:tc>
        <w:tc>
          <w:tcPr>
            <w:tcW w:type="dxa" w:w="5256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TN 去除负荷 × 0.035 × 44/28 × 273</w:t>
            </w:r>
          </w:p>
        </w:tc>
        <w:tc>
          <w:tcPr>
            <w:tcW w:type="dxa" w:w="1872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N2O 高排放敏感情景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CE_total_sens_kgCO2e_d</w:t>
            </w:r>
          </w:p>
        </w:tc>
        <w:tc>
          <w:tcPr>
            <w:tcW w:type="dxa" w:w="52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基准总量 − N2O 基准值 + N2O 敏感情景值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敏感情景总量</w:t>
            </w:r>
          </w:p>
        </w:tc>
      </w:tr>
      <w:tr>
        <w:tc>
          <w:tcPr>
            <w:tcW w:type="dxa" w:w="3312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CE_total_sens_kgCO2e_m3</w:t>
            </w:r>
          </w:p>
        </w:tc>
        <w:tc>
          <w:tcPr>
            <w:tcW w:type="dxa" w:w="5256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敏感情景总量 ÷ 日处理水量</w:t>
            </w:r>
          </w:p>
        </w:tc>
        <w:tc>
          <w:tcPr>
            <w:tcW w:type="dxa" w:w="1872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敏感情景强度</w:t>
            </w:r>
          </w:p>
        </w:tc>
      </w:tr>
    </w:tbl>
    <w:p>
      <w:pPr>
        <w:spacing w:after="0"/>
      </w:pPr>
    </w:p>
    <w:p>
      <w:r>
        <w:rPr>
          <w:rFonts w:ascii="Arial" w:hAnsi="Arial" w:eastAsia="Microsoft YaHei"/>
          <w:b/>
          <w:sz w:val="21"/>
        </w:rPr>
        <w:t xml:space="preserve">排放因子说明  </w:t>
      </w:r>
      <w:r>
        <w:t>N2O 敏感情景使用 0.035 kg N2O N/kg TN 去除量，基准情景使用 0.0106，因此敏感情景 N2O 排放约为基准值的 3.3019 倍。敏感情景用于不确定性分析，不应作为另一组实测排放。</w:t>
      </w:r>
    </w:p>
    <w:p>
      <w:pPr>
        <w:pStyle w:val="Heading1"/>
      </w:pPr>
      <w:r>
        <w:t>PI DPCH 建模数据中的非原始字段</w:t>
      </w:r>
    </w:p>
    <w:p>
      <w:r>
        <w:t>建模表在清洗表基础上按厂区和日期排序生成。除厂区和日期外，表内字段均属于整理、计算、时间匹配或模型划分结果。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088"/>
            <w:vAlign w:val="center"/>
            <w:shd w:fill="27455C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字段组</w:t>
            </w:r>
          </w:p>
        </w:tc>
        <w:tc>
          <w:tcPr>
            <w:tcW w:type="dxa" w:w="3600"/>
            <w:vAlign w:val="center"/>
            <w:shd w:fill="27455C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字段形式</w:t>
            </w:r>
          </w:p>
        </w:tc>
        <w:tc>
          <w:tcPr>
            <w:tcW w:type="dxa" w:w="4752"/>
            <w:vAlign w:val="center"/>
            <w:shd w:fill="27455C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生成方法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年份和月份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year；month</w:t>
            </w:r>
          </w:p>
        </w:tc>
        <w:tc>
          <w:tcPr>
            <w:tcW w:type="dxa" w:w="47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由日期提取</w:t>
            </w:r>
          </w:p>
        </w:tc>
      </w:tr>
      <w:tr>
        <w:tc>
          <w:tcPr>
            <w:tcW w:type="dxa" w:w="2088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年内周期项</w:t>
            </w:r>
          </w:p>
        </w:tc>
        <w:tc>
          <w:tcPr>
            <w:tcW w:type="dxa" w:w="3600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doy_sin；doy_cos</w:t>
            </w:r>
          </w:p>
        </w:tc>
        <w:tc>
          <w:tcPr>
            <w:tcW w:type="dxa" w:w="4752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sin（2π×年内日序÷365.25）和 cos（2π×年内日序÷365.25）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实验特征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距最近实验天数、五项活性速率、活性比和重复标识</w:t>
            </w:r>
          </w:p>
        </w:tc>
        <w:tc>
          <w:tcPr>
            <w:tcW w:type="dxa" w:w="47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沿用清洗表的最近历史实验匹配结果</w:t>
            </w:r>
          </w:p>
        </w:tc>
      </w:tr>
      <w:tr>
        <w:tc>
          <w:tcPr>
            <w:tcW w:type="dxa" w:w="2088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历史滞后特征</w:t>
            </w:r>
          </w:p>
        </w:tc>
        <w:tc>
          <w:tcPr>
            <w:tcW w:type="dxa" w:w="3600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每个基础变量的 lag1 lag3 lag7</w:t>
            </w:r>
          </w:p>
        </w:tc>
        <w:tc>
          <w:tcPr>
            <w:tcW w:type="dxa" w:w="4752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同一厂区 1 天、3 天和 7 天前的数值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滚动统计特征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每个基础变量的 roll3 roll7 roll14 mean 和 std</w:t>
            </w:r>
          </w:p>
        </w:tc>
        <w:tc>
          <w:tcPr>
            <w:tcW w:type="dxa" w:w="47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仅使用当前日期之前 3 天、7 天或 14 天的均值和样本标准差</w:t>
            </w:r>
          </w:p>
        </w:tc>
      </w:tr>
      <w:tr>
        <w:tc>
          <w:tcPr>
            <w:tcW w:type="dxa" w:w="2088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模型目标</w:t>
            </w:r>
          </w:p>
        </w:tc>
        <w:tc>
          <w:tcPr>
            <w:tcW w:type="dxa" w:w="3600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8 个 y 字段</w:t>
            </w:r>
          </w:p>
        </w:tc>
        <w:tc>
          <w:tcPr>
            <w:tcW w:type="dxa" w:w="4752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将电耗、药剂、N2O、CH4、外加碳源和总碳排放除以当日处理水量得到强度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数据集划分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split</w:t>
            </w:r>
          </w:p>
        </w:tc>
        <w:tc>
          <w:tcPr>
            <w:tcW w:type="dxa" w:w="47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train 为 2019 年 1 月 15 日至 2023 年 7 月 2 日，共 3260 条；test 为 2023 年 7 月 3 日至 12 月 31 日，共 364 条</w:t>
            </w:r>
          </w:p>
        </w:tc>
      </w:tr>
    </w:tbl>
    <w:p>
      <w:pPr>
        <w:spacing w:after="0"/>
      </w:pPr>
    </w:p>
    <w:p>
      <w:pPr>
        <w:pStyle w:val="Heading2"/>
      </w:pPr>
      <w:r>
        <w:t>时序特征覆盖的基础变量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088"/>
            <w:vAlign w:val="center"/>
            <w:shd w:fill="27455C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8352"/>
            <w:vAlign w:val="center"/>
            <w:shd w:fill="27455C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32 个基础变量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运行状态</w:t>
            </w:r>
          </w:p>
        </w:tc>
        <w:tc>
          <w:tcPr>
            <w:tcW w:type="dxa" w:w="83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flow_m3_d；water_temp_C；rain_flag；mlss_mean_mg_L；dry_sludge_kg_m3</w:t>
            </w:r>
          </w:p>
        </w:tc>
      </w:tr>
      <w:tr>
        <w:tc>
          <w:tcPr>
            <w:tcW w:type="dxa" w:w="2088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水质浓度</w:t>
            </w:r>
          </w:p>
        </w:tc>
        <w:tc>
          <w:tcPr>
            <w:tcW w:type="dxa" w:w="8352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COD_in；BOD5_in；NH4_in；TN_in；TP_in；COD_out；NH4_out；TN_out；TP_out，单位均为 mg/L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污染物负荷</w:t>
            </w:r>
          </w:p>
        </w:tc>
        <w:tc>
          <w:tcPr>
            <w:tcW w:type="dxa" w:w="83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COD、BOD5、NH4 N、TN、TP、SS 进水负荷；COD、NH4 N、TN、TP 去除负荷，单位均为 kg/d</w:t>
            </w:r>
          </w:p>
        </w:tc>
      </w:tr>
      <w:tr>
        <w:tc>
          <w:tcPr>
            <w:tcW w:type="dxa" w:w="2088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水质比值</w:t>
            </w:r>
          </w:p>
        </w:tc>
        <w:tc>
          <w:tcPr>
            <w:tcW w:type="dxa" w:w="8352"/>
            <w:vAlign w:val="center"/>
            <w:shd w:fill="F4F7F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COD/TN；BOD5/TN；COD/NH4 N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单位水量消耗</w:t>
            </w:r>
          </w:p>
        </w:tc>
        <w:tc>
          <w:tcPr>
            <w:tcW w:type="dxa" w:w="83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Microsoft YaHei"/>
                <w:sz w:val="17"/>
              </w:rPr>
              <w:t>electricity_kWh_m3；PAC_kg_m3；PAM_kg_m3；acetate_kg_m3；chlorine_kg_m3</w:t>
            </w:r>
          </w:p>
        </w:tc>
      </w:tr>
    </w:tbl>
    <w:p>
      <w:pPr>
        <w:spacing w:after="0"/>
      </w:pPr>
    </w:p>
    <w:p>
      <w:r>
        <w:t>每个基础变量生成 9 个历史特征，即 3 个滞后值和 6 个滚动统计量，共形成 288 列。单位水量干污泥量等于干污泥量除以处理水量；chlorine_kg_m3 等于氯酸钠与次氯酸钠投加量之和再除以处理水量。由于需要 14 天历史窗口，每个厂区最初 14 天不进入最终建模表，因此行数由 3652 条减少为 3624 条。</w:t>
      </w:r>
    </w:p>
    <w:p>
      <w:pPr>
        <w:pStyle w:val="Heading1"/>
      </w:pPr>
      <w:r>
        <w:t>使用注意事项</w:t>
      </w:r>
    </w:p>
    <w:p>
      <w:pPr>
        <w:ind w:left="288" w:hanging="288"/>
      </w:pPr>
      <w:r>
        <w:rPr>
          <w:rFonts w:ascii="Arial" w:hAnsi="Arial" w:eastAsia="Microsoft YaHei"/>
          <w:b/>
          <w:sz w:val="21"/>
        </w:rPr>
        <w:t xml:space="preserve">• </w:t>
      </w:r>
      <w:r>
        <w:t>原始值、计算值和插补值应在论文方法部分分开说明。带 imputed_flag 的记录可用于模型，但建议同时开展剔除后的稳健性检查。</w:t>
      </w:r>
    </w:p>
    <w:p>
      <w:pPr>
        <w:ind w:left="288" w:hanging="288"/>
      </w:pPr>
      <w:r>
        <w:rPr>
          <w:rFonts w:ascii="Arial" w:hAnsi="Arial" w:eastAsia="Microsoft YaHei"/>
          <w:b/>
          <w:sz w:val="21"/>
        </w:rPr>
        <w:t xml:space="preserve">• </w:t>
      </w:r>
      <w:r>
        <w:t>0 与空值含义不同。0 表示记录为零或该厂未使用该药剂；空值表示原表缺失、没有对应实验或无法计算。</w:t>
      </w:r>
    </w:p>
    <w:p>
      <w:pPr>
        <w:ind w:left="288" w:hanging="288"/>
      </w:pPr>
      <w:r>
        <w:rPr>
          <w:rFonts w:ascii="Arial" w:hAnsi="Arial" w:eastAsia="Microsoft YaHei"/>
          <w:b/>
          <w:sz w:val="21"/>
        </w:rPr>
        <w:t xml:space="preserve">• </w:t>
      </w:r>
      <w:r>
        <w:t>pam_primary_kg_d 当前中文含义为 PAM 阳离子投加量。论文或最终数据字典建议将英文名改为 pam_cationic_kg_d，以免被理解为初沉段 PAM。</w:t>
      </w:r>
    </w:p>
    <w:p>
      <w:pPr>
        <w:ind w:left="288" w:hanging="288"/>
      </w:pPr>
      <w:r>
        <w:rPr>
          <w:rFonts w:ascii="Arial" w:hAnsi="Arial" w:eastAsia="Microsoft YaHei"/>
          <w:b/>
          <w:sz w:val="21"/>
        </w:rPr>
        <w:t xml:space="preserve">• </w:t>
      </w:r>
      <w:r>
        <w:t>乙酸相关字段的碳核算使用乙酸钠分子量 82。论文中宜统一写作乙酸钠或外加碳源，不宜只写乙酸。</w:t>
      </w:r>
    </w:p>
    <w:p>
      <w:pPr>
        <w:ind w:left="288" w:hanging="288"/>
      </w:pPr>
      <w:r>
        <w:rPr>
          <w:rFonts w:ascii="Arial" w:hAnsi="Arial" w:eastAsia="Microsoft YaHei"/>
          <w:b/>
          <w:sz w:val="21"/>
        </w:rPr>
        <w:t xml:space="preserve">• </w:t>
      </w:r>
      <w:r>
        <w:t>基准碳排放用于主结果和主模型。N2O 敏感情景及敏感情景总量用于不确定性分析，不与基准结果混合作为同一目标。</w:t>
      </w:r>
    </w:p>
    <w:p>
      <w:pPr>
        <w:ind w:left="288" w:hanging="288"/>
      </w:pPr>
      <w:r>
        <w:rPr>
          <w:rFonts w:ascii="Arial" w:hAnsi="Arial" w:eastAsia="Microsoft YaHei"/>
          <w:b/>
          <w:sz w:val="21"/>
        </w:rPr>
        <w:t xml:space="preserve">• </w:t>
      </w:r>
      <w:r>
        <w:t>建模输入应优先使用历史滞后和滚动特征。同日碳排放组成项及其直接活动数据可能造成目标泄漏，应在正式特征筛选中排除或单独说明。</w:t>
      </w:r>
    </w:p>
    <w:p>
      <w:pPr>
        <w:pStyle w:val="Heading1"/>
      </w:pPr>
      <w:r>
        <w:t>依据文件</w:t>
      </w:r>
    </w:p>
    <w:p>
      <w:pPr>
        <w:spacing w:after="40"/>
        <w:ind w:left="288"/>
      </w:pPr>
      <w:r>
        <w:t>双厂_2019-2023_完整清洗日尺度数据_中文在前表头.csv</w:t>
      </w:r>
    </w:p>
    <w:p>
      <w:pPr>
        <w:spacing w:after="40"/>
        <w:ind w:left="288"/>
      </w:pPr>
      <w:r>
        <w:t>双厂_2019-2023_完整PI-DPCH建模数据_中文在前表头.csv</w:t>
      </w:r>
    </w:p>
    <w:p>
      <w:pPr>
        <w:spacing w:after="40"/>
        <w:ind w:left="288"/>
      </w:pPr>
      <w:r>
        <w:t>江边厂_2022_直接碳排计算说明.txt</w:t>
      </w:r>
    </w:p>
    <w:p>
      <w:pPr>
        <w:spacing w:after="40"/>
        <w:ind w:left="288"/>
      </w:pPr>
      <w:r>
        <w:t>PI-DPCH config.json</w:t>
      </w:r>
    </w:p>
    <w:sectPr w:rsidR="00FC693F" w:rsidRPr="0006063C" w:rsidSect="00034616">
      <w:pgSz w:w="12240" w:h="15840"/>
      <w:pgMar w:top="979" w:right="893" w:bottom="979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双厂日尺度数据非原始字段说明</dc:title>
  <dc:subject>城北厂和江边厂 2019 至 2023 年清洗及建模数据字段说明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