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12D1F">
      <w:r>
        <w:rPr>
          <w:rFonts w:ascii="宋体" w:hAnsi="宋体" w:eastAsia="宋体" w:cs="宋体"/>
          <w:sz w:val="24"/>
          <w:szCs w:val="24"/>
        </w:rPr>
        <w:t>“N₂O敏感情景碳排放”不是另一次实测结果，而是为了评价排放因子不确定性而设置的高排放情景。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F2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2026-10-07T01:58:10Z</dcterms:created>
  <dc:creator>19925</dc:creator>
  <cp:lastModifiedBy>MJ</cp:lastModifiedBy>
  <dcterms:modified xsi:type="dcterms:W3CDTF">2026-10-07T01:58:34Z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eyJoZGlkIjoiZDRlNmI0ZjY3NTBlODM4Y2VhOWVkZTVjODI2MGEzZWEiLCJ1c2VySWQiOiIxMjQzMTMwNzM0In0=</vt:lpwstr>
  </property>
  <property fmtid="{D5CDD505-2E9C-101B-9397-08002B2CF9AE}" pid="4" name="ICV">
    <vt:lpwstr>E377A277EC764F03836C5C77A4704E17_12</vt:lpwstr>
  </property>
</Properties>
</file>