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B1D985">
      <w:pPr>
        <w:spacing w:line="440" w:lineRule="exact"/>
        <w:rPr>
          <w:rFonts w:ascii="仿宋_GB2312" w:hAnsi="仿宋_GB2312" w:eastAsia="仿宋_GB2312"/>
          <w:color w:val="000000"/>
          <w:sz w:val="28"/>
          <w:szCs w:val="28"/>
        </w:rPr>
      </w:pPr>
    </w:p>
    <w:p w14:paraId="25F707D9">
      <w:pPr>
        <w:jc w:val="center"/>
        <w:rPr>
          <w:color w:val="000000"/>
        </w:rPr>
      </w:pPr>
      <w:r>
        <w:rPr>
          <w:color w:val="000000"/>
        </w:rPr>
        <w:drawing>
          <wp:inline distT="0" distB="0" distL="0" distR="0">
            <wp:extent cx="4740910" cy="114236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8"/>
                    <a:srcRect l="-5" t="-19" r="-5" b="-19"/>
                    <a:stretch>
                      <a:fillRect/>
                    </a:stretch>
                  </pic:blipFill>
                  <pic:spPr>
                    <a:xfrm>
                      <a:off x="0" y="0"/>
                      <a:ext cx="4740910" cy="1142365"/>
                    </a:xfrm>
                    <a:prstGeom prst="rect">
                      <a:avLst/>
                    </a:prstGeom>
                    <a:noFill/>
                  </pic:spPr>
                </pic:pic>
              </a:graphicData>
            </a:graphic>
          </wp:inline>
        </w:drawing>
      </w:r>
    </w:p>
    <w:p w14:paraId="344E8C8D">
      <w:pPr>
        <w:jc w:val="center"/>
        <w:rPr>
          <w:color w:val="000000"/>
        </w:rPr>
      </w:pPr>
    </w:p>
    <w:p w14:paraId="4EBD262D">
      <w:pPr>
        <w:jc w:val="center"/>
        <w:rPr>
          <w:rFonts w:eastAsia="黑体"/>
          <w:b/>
          <w:color w:val="000000"/>
          <w:sz w:val="56"/>
          <w:szCs w:val="56"/>
        </w:rPr>
      </w:pPr>
      <w:r>
        <w:rPr>
          <w:rFonts w:eastAsia="黑体"/>
          <w:b/>
          <w:color w:val="000000"/>
          <w:sz w:val="56"/>
          <w:szCs w:val="56"/>
          <w:lang w:val="en-US" w:eastAsia="zh-CN"/>
        </w:rPr>
        <w:t>专业学位</w:t>
      </w:r>
      <w:r>
        <w:rPr>
          <w:rFonts w:eastAsia="黑体"/>
          <w:b/>
          <w:color w:val="000000"/>
          <w:sz w:val="56"/>
          <w:szCs w:val="56"/>
        </w:rPr>
        <w:t>研究生学位论文开题报告</w:t>
      </w:r>
    </w:p>
    <w:p w14:paraId="6F64208D">
      <w:pPr>
        <w:spacing w:line="800" w:lineRule="exact"/>
        <w:rPr>
          <w:rFonts w:eastAsia="黑体"/>
          <w:b/>
          <w:color w:val="000000"/>
          <w:sz w:val="56"/>
          <w:szCs w:val="56"/>
        </w:rPr>
      </w:pPr>
    </w:p>
    <w:p w14:paraId="670B564B">
      <w:pPr>
        <w:spacing w:line="200" w:lineRule="atLeast"/>
        <w:ind w:right="0" w:firstLine="1249"/>
        <w:rPr>
          <w:rFonts w:eastAsia="黑体"/>
          <w:bCs/>
          <w:color w:val="000000"/>
          <w:sz w:val="36"/>
          <w:szCs w:val="36"/>
        </w:rPr>
      </w:pPr>
    </w:p>
    <w:p w14:paraId="2140F6CD">
      <w:pPr>
        <w:rPr>
          <w:rFonts w:eastAsia="黑体"/>
          <w:bCs/>
          <w:color w:val="000000"/>
          <w:sz w:val="36"/>
          <w:szCs w:val="36"/>
        </w:rPr>
      </w:pPr>
    </w:p>
    <w:p w14:paraId="32D1E281">
      <w:pPr>
        <w:rPr>
          <w:color w:val="000000"/>
        </w:rPr>
      </w:pPr>
    </w:p>
    <w:p w14:paraId="3675DB0D">
      <w:pPr>
        <w:rPr>
          <w:color w:val="000000"/>
        </w:rPr>
      </w:pPr>
    </w:p>
    <w:tbl>
      <w:tblPr>
        <w:tblStyle w:val="11"/>
        <w:tblW w:w="77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1928"/>
        <w:gridCol w:w="5783"/>
      </w:tblGrid>
      <w:tr w14:paraId="299349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28" w:type="dxa"/>
            <w:tcBorders>
              <w:top w:val="nil"/>
              <w:left w:val="nil"/>
              <w:bottom w:val="nil"/>
              <w:right w:val="nil"/>
              <w:insideH w:val="nil"/>
              <w:insideV w:val="nil"/>
              <w:tl2br w:val="nil"/>
              <w:tr2bl w:val="nil"/>
            </w:tcBorders>
            <w:vAlign w:val="center"/>
          </w:tcPr>
          <w:p w14:paraId="72E26975">
            <w:pPr>
              <w:keepNext/>
              <w:snapToGrid w:val="0"/>
              <w:spacing w:before="0" w:after="0" w:line="480" w:lineRule="exact"/>
              <w:ind w:left="0" w:right="227" w:firstLine="0"/>
              <w:jc w:val="distribute"/>
            </w:pPr>
            <w:r>
              <w:rPr>
                <w:rFonts w:ascii="Times New Roman" w:hAnsi="Times New Roman" w:eastAsia="仿宋_GB2312"/>
                <w:spacing w:val="0"/>
                <w:w w:val="100"/>
                <w:sz w:val="32"/>
              </w:rPr>
              <w:t>学号</w:t>
            </w:r>
          </w:p>
        </w:tc>
        <w:tc>
          <w:tcPr>
            <w:tcW w:w="5783" w:type="dxa"/>
            <w:tcBorders>
              <w:top w:val="nil"/>
              <w:left w:val="nil"/>
              <w:bottom w:val="single" w:color="000000" w:sz="6" w:space="0"/>
              <w:right w:val="nil"/>
              <w:insideH w:val="nil"/>
              <w:insideV w:val="nil"/>
              <w:tl2br w:val="nil"/>
              <w:tr2bl w:val="nil"/>
            </w:tcBorders>
            <w:vAlign w:val="center"/>
          </w:tcPr>
          <w:p w14:paraId="2AB2CB50">
            <w:pPr>
              <w:keepNext/>
              <w:snapToGrid w:val="0"/>
              <w:spacing w:before="0" w:after="0" w:line="480" w:lineRule="exact"/>
              <w:ind w:left="0" w:right="0" w:firstLine="0"/>
              <w:jc w:val="center"/>
            </w:pPr>
            <w:r>
              <w:rPr>
                <w:rFonts w:ascii="Times New Roman" w:hAnsi="Times New Roman" w:eastAsia="仿宋_GB2312"/>
                <w:spacing w:val="0"/>
                <w:w w:val="100"/>
                <w:sz w:val="32"/>
              </w:rPr>
              <w:t>2025602050</w:t>
            </w:r>
          </w:p>
        </w:tc>
      </w:tr>
      <w:tr w14:paraId="36F6B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28" w:type="dxa"/>
            <w:tcBorders>
              <w:top w:val="nil"/>
              <w:left w:val="nil"/>
              <w:bottom w:val="nil"/>
              <w:right w:val="nil"/>
              <w:insideH w:val="nil"/>
              <w:insideV w:val="nil"/>
              <w:tl2br w:val="nil"/>
              <w:tr2bl w:val="nil"/>
            </w:tcBorders>
            <w:vAlign w:val="center"/>
          </w:tcPr>
          <w:p w14:paraId="2E19CA9D">
            <w:pPr>
              <w:keepNext/>
              <w:snapToGrid w:val="0"/>
              <w:spacing w:before="0" w:after="0" w:line="480" w:lineRule="exact"/>
              <w:ind w:left="0" w:right="227" w:firstLine="0"/>
              <w:jc w:val="distribute"/>
            </w:pPr>
            <w:r>
              <w:rPr>
                <w:rFonts w:ascii="Times New Roman" w:hAnsi="Times New Roman" w:eastAsia="仿宋_GB2312"/>
                <w:spacing w:val="0"/>
                <w:w w:val="100"/>
                <w:sz w:val="32"/>
              </w:rPr>
              <w:t>姓名</w:t>
            </w:r>
          </w:p>
        </w:tc>
        <w:tc>
          <w:tcPr>
            <w:tcW w:w="5783" w:type="dxa"/>
            <w:tcBorders>
              <w:top w:val="nil"/>
              <w:left w:val="nil"/>
              <w:bottom w:val="single" w:color="000000" w:sz="6" w:space="0"/>
              <w:right w:val="nil"/>
              <w:insideH w:val="nil"/>
              <w:insideV w:val="nil"/>
              <w:tl2br w:val="nil"/>
              <w:tr2bl w:val="nil"/>
            </w:tcBorders>
            <w:vAlign w:val="center"/>
          </w:tcPr>
          <w:p w14:paraId="3CA0724D">
            <w:pPr>
              <w:keepNext/>
              <w:snapToGrid w:val="0"/>
              <w:spacing w:before="0" w:after="0" w:line="480" w:lineRule="exact"/>
              <w:ind w:left="0" w:right="0" w:firstLine="0"/>
              <w:jc w:val="center"/>
            </w:pPr>
            <w:r>
              <w:rPr>
                <w:rFonts w:ascii="Times New Roman" w:hAnsi="Times New Roman" w:eastAsia="仿宋_GB2312"/>
                <w:spacing w:val="0"/>
                <w:w w:val="100"/>
                <w:sz w:val="32"/>
              </w:rPr>
              <w:t>苗骏</w:t>
            </w:r>
          </w:p>
        </w:tc>
      </w:tr>
      <w:tr w14:paraId="5B5F60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28" w:type="dxa"/>
            <w:tcBorders>
              <w:top w:val="nil"/>
              <w:left w:val="nil"/>
              <w:bottom w:val="nil"/>
              <w:right w:val="nil"/>
              <w:insideH w:val="nil"/>
              <w:insideV w:val="nil"/>
              <w:tl2br w:val="nil"/>
              <w:tr2bl w:val="nil"/>
            </w:tcBorders>
            <w:vAlign w:val="center"/>
          </w:tcPr>
          <w:p w14:paraId="5444EEE0">
            <w:pPr>
              <w:keepNext/>
              <w:snapToGrid w:val="0"/>
              <w:spacing w:before="0" w:after="0" w:line="480" w:lineRule="exact"/>
              <w:ind w:left="0" w:right="227" w:firstLine="0"/>
              <w:jc w:val="distribute"/>
            </w:pPr>
            <w:r>
              <w:rPr>
                <w:rFonts w:ascii="Times New Roman" w:hAnsi="Times New Roman" w:eastAsia="仿宋_GB2312"/>
                <w:spacing w:val="0"/>
                <w:w w:val="100"/>
                <w:sz w:val="32"/>
              </w:rPr>
              <w:t>专业</w:t>
            </w:r>
          </w:p>
        </w:tc>
        <w:tc>
          <w:tcPr>
            <w:tcW w:w="5783" w:type="dxa"/>
            <w:tcBorders>
              <w:top w:val="nil"/>
              <w:left w:val="nil"/>
              <w:bottom w:val="single" w:color="000000" w:sz="6" w:space="0"/>
              <w:right w:val="nil"/>
              <w:insideH w:val="nil"/>
              <w:insideV w:val="nil"/>
              <w:tl2br w:val="nil"/>
              <w:tr2bl w:val="nil"/>
            </w:tcBorders>
            <w:vAlign w:val="center"/>
          </w:tcPr>
          <w:p w14:paraId="48A1DFF1">
            <w:pPr>
              <w:keepNext/>
              <w:snapToGrid w:val="0"/>
              <w:spacing w:before="0" w:after="0" w:line="480" w:lineRule="exact"/>
              <w:ind w:left="0" w:right="0" w:firstLine="0"/>
              <w:jc w:val="center"/>
            </w:pPr>
            <w:r>
              <w:rPr>
                <w:rFonts w:ascii="Times New Roman" w:hAnsi="Times New Roman" w:eastAsia="仿宋_GB2312"/>
                <w:spacing w:val="0"/>
                <w:w w:val="100"/>
                <w:sz w:val="32"/>
              </w:rPr>
              <w:t>资源与环境</w:t>
            </w:r>
          </w:p>
        </w:tc>
      </w:tr>
      <w:tr w14:paraId="388EC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28" w:type="dxa"/>
            <w:tcBorders>
              <w:top w:val="nil"/>
              <w:left w:val="nil"/>
              <w:bottom w:val="nil"/>
              <w:right w:val="nil"/>
              <w:insideH w:val="nil"/>
              <w:insideV w:val="nil"/>
              <w:tl2br w:val="nil"/>
              <w:tr2bl w:val="nil"/>
            </w:tcBorders>
            <w:vAlign w:val="center"/>
          </w:tcPr>
          <w:p w14:paraId="37F9066E">
            <w:pPr>
              <w:keepNext/>
              <w:snapToGrid w:val="0"/>
              <w:spacing w:before="0" w:after="0" w:line="480" w:lineRule="exact"/>
              <w:ind w:left="0" w:right="227" w:firstLine="0"/>
              <w:jc w:val="distribute"/>
            </w:pPr>
            <w:r>
              <w:rPr>
                <w:rFonts w:ascii="Times New Roman" w:hAnsi="Times New Roman" w:eastAsia="仿宋_GB2312"/>
                <w:spacing w:val="0"/>
                <w:w w:val="100"/>
                <w:sz w:val="32"/>
              </w:rPr>
              <w:t>培养学院</w:t>
            </w:r>
          </w:p>
        </w:tc>
        <w:tc>
          <w:tcPr>
            <w:tcW w:w="5783" w:type="dxa"/>
            <w:tcBorders>
              <w:top w:val="nil"/>
              <w:left w:val="nil"/>
              <w:bottom w:val="single" w:color="000000" w:sz="6" w:space="0"/>
              <w:right w:val="nil"/>
              <w:insideH w:val="nil"/>
              <w:insideV w:val="nil"/>
              <w:tl2br w:val="nil"/>
              <w:tr2bl w:val="nil"/>
            </w:tcBorders>
            <w:vAlign w:val="center"/>
          </w:tcPr>
          <w:p w14:paraId="1B48DD54">
            <w:pPr>
              <w:keepNext/>
              <w:snapToGrid w:val="0"/>
              <w:spacing w:before="0" w:after="0" w:line="480" w:lineRule="exact"/>
              <w:ind w:left="0" w:right="0" w:firstLine="0"/>
              <w:jc w:val="center"/>
            </w:pPr>
            <w:r>
              <w:rPr>
                <w:rFonts w:ascii="Times New Roman" w:hAnsi="Times New Roman" w:eastAsia="仿宋_GB2312"/>
                <w:spacing w:val="0"/>
                <w:w w:val="100"/>
                <w:sz w:val="32"/>
              </w:rPr>
              <w:t>资源与环境工程学院</w:t>
            </w:r>
          </w:p>
        </w:tc>
      </w:tr>
      <w:tr w14:paraId="6DE815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28" w:type="dxa"/>
            <w:tcBorders>
              <w:top w:val="nil"/>
              <w:left w:val="nil"/>
              <w:bottom w:val="nil"/>
              <w:right w:val="nil"/>
              <w:insideH w:val="nil"/>
              <w:insideV w:val="nil"/>
              <w:tl2br w:val="nil"/>
              <w:tr2bl w:val="nil"/>
            </w:tcBorders>
            <w:vAlign w:val="center"/>
          </w:tcPr>
          <w:p w14:paraId="58B41CE7">
            <w:pPr>
              <w:keepNext/>
              <w:snapToGrid w:val="0"/>
              <w:spacing w:before="0" w:after="0" w:line="480" w:lineRule="exact"/>
              <w:ind w:left="0" w:right="227" w:firstLine="0"/>
              <w:jc w:val="distribute"/>
            </w:pPr>
            <w:r>
              <w:rPr>
                <w:rFonts w:ascii="Times New Roman" w:hAnsi="Times New Roman" w:eastAsia="仿宋_GB2312"/>
                <w:spacing w:val="0"/>
                <w:w w:val="100"/>
                <w:sz w:val="32"/>
              </w:rPr>
              <w:t>研究方向</w:t>
            </w:r>
          </w:p>
        </w:tc>
        <w:tc>
          <w:tcPr>
            <w:tcW w:w="5783" w:type="dxa"/>
            <w:tcBorders>
              <w:top w:val="nil"/>
              <w:left w:val="nil"/>
              <w:bottom w:val="single" w:color="000000" w:sz="6" w:space="0"/>
              <w:right w:val="nil"/>
              <w:insideH w:val="nil"/>
              <w:insideV w:val="nil"/>
              <w:tl2br w:val="nil"/>
              <w:tr2bl w:val="nil"/>
            </w:tcBorders>
            <w:vAlign w:val="center"/>
          </w:tcPr>
          <w:p w14:paraId="6D1B7384">
            <w:pPr>
              <w:keepNext/>
              <w:snapToGrid w:val="0"/>
              <w:spacing w:before="0" w:after="0" w:line="480" w:lineRule="exact"/>
              <w:ind w:left="0" w:right="0" w:firstLine="0"/>
              <w:jc w:val="center"/>
            </w:pPr>
            <w:r>
              <w:rPr>
                <w:rFonts w:ascii="Times New Roman" w:hAnsi="Times New Roman" w:eastAsia="仿宋_GB2312"/>
                <w:spacing w:val="0"/>
                <w:w w:val="100"/>
                <w:sz w:val="32"/>
              </w:rPr>
              <w:t>环境污染控制</w:t>
            </w:r>
          </w:p>
        </w:tc>
      </w:tr>
      <w:tr w14:paraId="62F77F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28" w:type="dxa"/>
            <w:tcBorders>
              <w:top w:val="nil"/>
              <w:left w:val="nil"/>
              <w:bottom w:val="nil"/>
              <w:right w:val="nil"/>
              <w:insideH w:val="nil"/>
              <w:insideV w:val="nil"/>
              <w:tl2br w:val="nil"/>
              <w:tr2bl w:val="nil"/>
            </w:tcBorders>
            <w:vAlign w:val="center"/>
          </w:tcPr>
          <w:p w14:paraId="3E3A7984">
            <w:pPr>
              <w:keepNext/>
              <w:snapToGrid w:val="0"/>
              <w:spacing w:before="0" w:after="0" w:line="480" w:lineRule="exact"/>
              <w:ind w:left="0" w:right="227" w:firstLine="0"/>
              <w:jc w:val="distribute"/>
            </w:pPr>
            <w:r>
              <w:rPr>
                <w:rFonts w:ascii="Times New Roman" w:hAnsi="Times New Roman" w:eastAsia="仿宋_GB2312"/>
                <w:spacing w:val="0"/>
                <w:w w:val="100"/>
                <w:sz w:val="32"/>
              </w:rPr>
              <w:t>校内导师</w:t>
            </w:r>
          </w:p>
        </w:tc>
        <w:tc>
          <w:tcPr>
            <w:tcW w:w="5783" w:type="dxa"/>
            <w:tcBorders>
              <w:top w:val="nil"/>
              <w:left w:val="nil"/>
              <w:bottom w:val="single" w:color="000000" w:sz="6" w:space="0"/>
              <w:right w:val="nil"/>
              <w:insideH w:val="nil"/>
              <w:insideV w:val="nil"/>
              <w:tl2br w:val="nil"/>
              <w:tr2bl w:val="nil"/>
            </w:tcBorders>
            <w:vAlign w:val="center"/>
          </w:tcPr>
          <w:p w14:paraId="5A2E4ABC">
            <w:pPr>
              <w:keepNext/>
              <w:snapToGrid w:val="0"/>
              <w:spacing w:before="0" w:after="0" w:line="480" w:lineRule="exact"/>
              <w:ind w:left="0" w:right="0" w:firstLine="0"/>
              <w:jc w:val="center"/>
            </w:pPr>
            <w:r>
              <w:rPr>
                <w:rFonts w:ascii="Times New Roman" w:hAnsi="Times New Roman" w:eastAsia="仿宋_GB2312"/>
                <w:spacing w:val="0"/>
                <w:w w:val="100"/>
                <w:sz w:val="32"/>
              </w:rPr>
              <w:t>程洁红</w:t>
            </w:r>
          </w:p>
        </w:tc>
      </w:tr>
      <w:tr w14:paraId="1427D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80" w:hRule="atLeast"/>
          <w:jc w:val="center"/>
        </w:trPr>
        <w:tc>
          <w:tcPr>
            <w:tcW w:w="1928" w:type="dxa"/>
            <w:tcBorders>
              <w:top w:val="nil"/>
              <w:left w:val="nil"/>
              <w:bottom w:val="nil"/>
              <w:right w:val="nil"/>
              <w:insideH w:val="nil"/>
              <w:insideV w:val="nil"/>
              <w:tl2br w:val="nil"/>
              <w:tr2bl w:val="nil"/>
            </w:tcBorders>
            <w:vAlign w:val="center"/>
          </w:tcPr>
          <w:p w14:paraId="5D799929">
            <w:pPr>
              <w:keepNext/>
              <w:snapToGrid w:val="0"/>
              <w:spacing w:before="0" w:after="0" w:line="480" w:lineRule="exact"/>
              <w:ind w:left="0" w:right="227" w:firstLine="0"/>
              <w:jc w:val="distribute"/>
            </w:pPr>
            <w:r>
              <w:rPr>
                <w:rFonts w:ascii="Times New Roman" w:hAnsi="Times New Roman" w:eastAsia="仿宋_GB2312"/>
                <w:spacing w:val="0"/>
                <w:w w:val="100"/>
                <w:sz w:val="32"/>
              </w:rPr>
              <w:t>校外导师</w:t>
            </w:r>
          </w:p>
        </w:tc>
        <w:tc>
          <w:tcPr>
            <w:tcW w:w="5783" w:type="dxa"/>
            <w:tcBorders>
              <w:top w:val="nil"/>
              <w:left w:val="nil"/>
              <w:bottom w:val="single" w:color="000000" w:sz="6" w:space="0"/>
              <w:right w:val="nil"/>
              <w:insideH w:val="nil"/>
              <w:insideV w:val="nil"/>
              <w:tl2br w:val="nil"/>
              <w:tr2bl w:val="nil"/>
            </w:tcBorders>
            <w:vAlign w:val="center"/>
          </w:tcPr>
          <w:p w14:paraId="605FC9E4">
            <w:pPr>
              <w:keepNext/>
              <w:snapToGrid w:val="0"/>
              <w:spacing w:before="0" w:after="0" w:line="480" w:lineRule="exact"/>
              <w:ind w:left="0" w:right="0" w:firstLine="0"/>
              <w:jc w:val="center"/>
            </w:pPr>
            <w:r>
              <w:rPr>
                <w:rFonts w:ascii="Times New Roman" w:hAnsi="Times New Roman" w:eastAsia="仿宋_GB2312"/>
                <w:spacing w:val="0"/>
                <w:w w:val="100"/>
                <w:sz w:val="32"/>
              </w:rPr>
              <w:t>朱铖</w:t>
            </w:r>
          </w:p>
        </w:tc>
      </w:tr>
    </w:tbl>
    <w:p w14:paraId="25B08294">
      <w:pPr>
        <w:spacing w:before="0" w:after="0" w:line="20" w:lineRule="exact"/>
        <w:ind w:right="0" w:firstLine="2100"/>
        <w:rPr>
          <w:rFonts w:ascii="仿宋_GB2312" w:hAnsi="仿宋_GB2312" w:eastAsia="仿宋_GB2312"/>
          <w:color w:val="000000"/>
          <w:sz w:val="28"/>
          <w:szCs w:val="32"/>
          <w:u w:val="single"/>
        </w:rPr>
      </w:pPr>
    </w:p>
    <w:p w14:paraId="3F7DE65C">
      <w:pPr>
        <w:spacing w:before="0" w:after="0" w:line="20" w:lineRule="atLeast"/>
        <w:jc w:val="center"/>
        <w:rPr>
          <w:rFonts w:ascii="楷体_GB2312;楷体" w:hAnsi="楷体_GB2312;楷体" w:eastAsia="楷体_GB2312;楷体" w:cs="宋体"/>
          <w:color w:val="000000"/>
          <w:sz w:val="28"/>
          <w:szCs w:val="30"/>
          <w:u w:val="single"/>
        </w:rPr>
      </w:pPr>
    </w:p>
    <w:p w14:paraId="1DE542C5">
      <w:pPr>
        <w:spacing w:before="40" w:after="0" w:line="240" w:lineRule="auto"/>
        <w:jc w:val="center"/>
        <w:rPr>
          <w:rFonts w:ascii="楷体_GB2312;楷体" w:hAnsi="楷体_GB2312;楷体" w:eastAsia="楷体_GB2312;楷体" w:cs="宋体"/>
          <w:color w:val="000000"/>
          <w:sz w:val="28"/>
          <w:szCs w:val="30"/>
        </w:rPr>
        <w:sectPr>
          <w:headerReference r:id="rId6" w:type="first"/>
          <w:footerReference r:id="rId8" w:type="first"/>
          <w:headerReference r:id="rId5" w:type="default"/>
          <w:footerReference r:id="rId7" w:type="default"/>
          <w:pgSz w:w="11906" w:h="16838"/>
          <w:pgMar w:top="1021" w:right="1021" w:bottom="1134" w:left="1021" w:header="851" w:footer="992" w:gutter="0"/>
          <w:pgNumType w:fmt="decimal" w:start="1"/>
          <w:cols w:space="720" w:num="1"/>
          <w:formProt w:val="0"/>
          <w:titlePg/>
          <w:docGrid w:type="lines" w:linePitch="312" w:charSpace="0"/>
        </w:sectPr>
      </w:pPr>
      <w:r>
        <w:rPr>
          <w:rFonts w:ascii="仿宋_GB2312" w:hAnsi="仿宋_GB2312" w:eastAsia="仿宋_GB2312" w:cs="仿宋_GB2312"/>
          <w:color w:val="000000"/>
          <w:sz w:val="32"/>
          <w:szCs w:val="32"/>
        </w:rPr>
        <w:t>研究生</w:t>
      </w:r>
      <w:r>
        <w:rPr>
          <w:rFonts w:ascii="仿宋_GB2312" w:hAnsi="仿宋_GB2312" w:eastAsia="仿宋_GB2312" w:cs="仿宋_GB2312"/>
          <w:color w:val="000000"/>
          <w:sz w:val="32"/>
          <w:szCs w:val="32"/>
          <w:lang w:val="en-US" w:eastAsia="zh-CN"/>
        </w:rPr>
        <w:t>院</w:t>
      </w:r>
      <w:r>
        <w:rPr>
          <w:rFonts w:ascii="仿宋_GB2312" w:hAnsi="仿宋_GB2312" w:eastAsia="仿宋_GB2312" w:cs="仿宋_GB2312"/>
          <w:color w:val="000000"/>
          <w:sz w:val="32"/>
          <w:szCs w:val="32"/>
        </w:rPr>
        <w:t>制</w:t>
      </w:r>
      <w:r>
        <w:rPr>
          <w:rFonts w:ascii="楷体_GB2312;楷体" w:hAnsi="楷体_GB2312;楷体" w:eastAsia="楷体_GB2312;楷体" w:cs="宋体"/>
          <w:color w:val="000000"/>
          <w:sz w:val="28"/>
          <w:szCs w:val="30"/>
        </w:rPr>
        <w:t xml:space="preserve">      </w:t>
      </w:r>
    </w:p>
    <w:p w14:paraId="56286A4F">
      <w:pPr>
        <w:jc w:val="center"/>
        <w:rPr>
          <w:rFonts w:ascii="楷体_GB2312;楷体" w:hAnsi="楷体_GB2312;楷体" w:eastAsia="楷体_GB2312;楷体" w:cs="宋体"/>
          <w:b/>
          <w:color w:val="000000"/>
          <w:sz w:val="18"/>
          <w:szCs w:val="30"/>
        </w:rPr>
      </w:pPr>
    </w:p>
    <w:p w14:paraId="262641EE">
      <w:pPr>
        <w:pageBreakBefore w:val="0"/>
        <w:snapToGrid w:val="0"/>
        <w:spacing w:before="156" w:after="600"/>
        <w:ind w:left="2599" w:right="0" w:hanging="2602"/>
        <w:jc w:val="center"/>
        <w:rPr>
          <w:b/>
          <w:color w:val="000000"/>
          <w:spacing w:val="360"/>
          <w:sz w:val="44"/>
          <w:szCs w:val="44"/>
        </w:rPr>
      </w:pPr>
      <w:r>
        <w:rPr>
          <w:b/>
          <w:color w:val="000000"/>
          <w:spacing w:val="360"/>
          <w:sz w:val="44"/>
          <w:szCs w:val="44"/>
        </w:rPr>
        <w:t>填表说明</w:t>
      </w:r>
    </w:p>
    <w:p w14:paraId="56E63F8C">
      <w:pPr>
        <w:keepNext w:val="0"/>
        <w:keepLines w:val="0"/>
        <w:pageBreakBefore w:val="0"/>
        <w:widowControl w:val="0"/>
        <w:kinsoku/>
        <w:overflowPunct/>
        <w:autoSpaceDE/>
        <w:bidi w:val="0"/>
        <w:snapToGrid w:val="0"/>
        <w:spacing w:line="360" w:lineRule="auto"/>
        <w:ind w:right="0" w:firstLine="560"/>
        <w:textAlignment w:val="auto"/>
        <w:rPr>
          <w:rFonts w:ascii="仿宋_GB2312" w:hAnsi="仿宋_GB2312" w:eastAsia="仿宋_GB2312"/>
          <w:color w:val="000000"/>
          <w:sz w:val="28"/>
          <w:szCs w:val="28"/>
          <w:lang w:val="en-US" w:eastAsia="zh-CN"/>
        </w:rPr>
      </w:pPr>
      <w:r>
        <w:rPr>
          <w:rFonts w:ascii="仿宋_GB2312" w:hAnsi="仿宋_GB2312" w:eastAsia="仿宋_GB2312"/>
          <w:color w:val="000000"/>
          <w:sz w:val="28"/>
          <w:szCs w:val="28"/>
          <w:lang w:val="en-US" w:eastAsia="zh-CN"/>
        </w:rPr>
        <w:t>1.学位论文开题报告应按要求逐项认真填写，</w:t>
      </w:r>
      <w:r>
        <w:rPr>
          <w:rFonts w:ascii="仿宋_GB2312" w:hAnsi="仿宋_GB2312" w:eastAsia="仿宋_GB2312"/>
          <w:color w:val="000000"/>
          <w:sz w:val="28"/>
          <w:szCs w:val="28"/>
        </w:rPr>
        <w:t>各栏空格不够时请自行加页</w:t>
      </w:r>
      <w:r>
        <w:rPr>
          <w:rFonts w:ascii="仿宋_GB2312" w:hAnsi="仿宋_GB2312" w:eastAsia="仿宋_GB2312"/>
          <w:color w:val="000000"/>
          <w:sz w:val="28"/>
          <w:szCs w:val="28"/>
          <w:lang w:eastAsia="zh-CN"/>
        </w:rPr>
        <w:t>，</w:t>
      </w:r>
      <w:r>
        <w:rPr>
          <w:rFonts w:ascii="仿宋_GB2312" w:hAnsi="仿宋_GB2312" w:eastAsia="仿宋_GB2312"/>
          <w:color w:val="000000"/>
          <w:sz w:val="28"/>
          <w:szCs w:val="28"/>
          <w:lang w:val="en-US" w:eastAsia="zh-CN"/>
        </w:rPr>
        <w:t>内容须真实、完整。准确。</w:t>
      </w:r>
    </w:p>
    <w:p w14:paraId="45889102">
      <w:pPr>
        <w:keepNext w:val="0"/>
        <w:keepLines w:val="0"/>
        <w:pageBreakBefore w:val="0"/>
        <w:widowControl w:val="0"/>
        <w:kinsoku/>
        <w:overflowPunct/>
        <w:autoSpaceDE/>
        <w:bidi w:val="0"/>
        <w:snapToGrid w:val="0"/>
        <w:spacing w:line="360" w:lineRule="auto"/>
        <w:ind w:right="0" w:firstLine="560"/>
        <w:textAlignment w:val="auto"/>
        <w:rPr>
          <w:rFonts w:ascii="仿宋_GB2312" w:hAnsi="仿宋_GB2312" w:eastAsia="仿宋_GB2312"/>
          <w:color w:val="000000"/>
          <w:sz w:val="28"/>
          <w:szCs w:val="28"/>
        </w:rPr>
      </w:pPr>
      <w:r>
        <w:rPr>
          <w:rFonts w:ascii="仿宋_GB2312" w:hAnsi="仿宋_GB2312" w:eastAsia="仿宋_GB2312"/>
          <w:color w:val="000000"/>
          <w:sz w:val="28"/>
          <w:szCs w:val="28"/>
          <w:lang w:val="en-US" w:eastAsia="zh-CN"/>
        </w:rPr>
        <w:t>2.研究生</w:t>
      </w:r>
      <w:r>
        <w:rPr>
          <w:rFonts w:ascii="仿宋_GB2312" w:hAnsi="仿宋_GB2312" w:eastAsia="仿宋_GB2312"/>
          <w:color w:val="000000"/>
          <w:sz w:val="28"/>
          <w:szCs w:val="28"/>
        </w:rPr>
        <w:t>学位论文开题报告必须用计算机输入、</w:t>
      </w:r>
      <w:r>
        <w:rPr>
          <w:rFonts w:ascii="仿宋_GB2312" w:hAnsi="仿宋_GB2312" w:eastAsia="仿宋_GB2312"/>
          <w:color w:val="000000"/>
          <w:sz w:val="28"/>
          <w:szCs w:val="28"/>
          <w:lang w:val="en-US" w:eastAsia="zh-CN"/>
        </w:rPr>
        <w:t>A4纸双面</w:t>
      </w:r>
      <w:r>
        <w:rPr>
          <w:rFonts w:ascii="仿宋_GB2312" w:hAnsi="仿宋_GB2312" w:eastAsia="仿宋_GB2312"/>
          <w:color w:val="000000"/>
          <w:sz w:val="28"/>
          <w:szCs w:val="28"/>
        </w:rPr>
        <w:t>打印于左侧装订成册。字体设置为</w:t>
      </w:r>
      <w:r>
        <w:rPr>
          <w:rFonts w:ascii="仿宋_GB2312" w:hAnsi="仿宋_GB2312" w:eastAsia="仿宋_GB2312"/>
          <w:color w:val="000000"/>
          <w:sz w:val="28"/>
          <w:szCs w:val="28"/>
          <w:lang w:val="en-US" w:eastAsia="zh-CN"/>
        </w:rPr>
        <w:t>仿宋GB2312</w:t>
      </w:r>
      <w:r>
        <w:rPr>
          <w:rFonts w:ascii="仿宋_GB2312" w:hAnsi="仿宋_GB2312" w:eastAsia="仿宋_GB2312"/>
          <w:color w:val="000000"/>
          <w:sz w:val="28"/>
          <w:szCs w:val="28"/>
        </w:rPr>
        <w:t>、</w:t>
      </w:r>
      <w:r>
        <w:rPr>
          <w:rFonts w:ascii="仿宋_GB2312" w:hAnsi="仿宋_GB2312" w:eastAsia="仿宋_GB2312"/>
          <w:color w:val="000000"/>
          <w:sz w:val="28"/>
          <w:szCs w:val="28"/>
          <w:lang w:val="en-US" w:eastAsia="zh-CN"/>
        </w:rPr>
        <w:t>小四号</w:t>
      </w:r>
      <w:r>
        <w:rPr>
          <w:rFonts w:ascii="仿宋_GB2312" w:hAnsi="仿宋_GB2312" w:eastAsia="仿宋_GB2312"/>
          <w:color w:val="000000"/>
          <w:sz w:val="28"/>
          <w:szCs w:val="28"/>
        </w:rPr>
        <w:t>，行间距设置为固定值</w:t>
      </w:r>
      <w:r>
        <w:rPr>
          <w:rFonts w:ascii="仿宋_GB2312" w:hAnsi="仿宋_GB2312" w:eastAsia="仿宋_GB2312"/>
          <w:color w:val="000000"/>
          <w:sz w:val="28"/>
          <w:szCs w:val="28"/>
          <w:lang w:val="en-US" w:eastAsia="zh-CN"/>
        </w:rPr>
        <w:t>20</w:t>
      </w:r>
      <w:r>
        <w:rPr>
          <w:rFonts w:ascii="仿宋_GB2312" w:hAnsi="仿宋_GB2312" w:eastAsia="仿宋_GB2312"/>
          <w:color w:val="000000"/>
          <w:sz w:val="28"/>
          <w:szCs w:val="28"/>
        </w:rPr>
        <w:t>磅。</w:t>
      </w:r>
    </w:p>
    <w:p w14:paraId="4A3ED4FD">
      <w:pPr>
        <w:keepNext w:val="0"/>
        <w:keepLines w:val="0"/>
        <w:pageBreakBefore w:val="0"/>
        <w:widowControl w:val="0"/>
        <w:kinsoku/>
        <w:overflowPunct/>
        <w:autoSpaceDE/>
        <w:bidi w:val="0"/>
        <w:snapToGrid w:val="0"/>
        <w:spacing w:line="360" w:lineRule="auto"/>
        <w:ind w:right="0" w:firstLine="560"/>
        <w:textAlignment w:val="auto"/>
        <w:rPr>
          <w:rFonts w:ascii="仿宋_GB2312" w:hAnsi="仿宋_GB2312" w:eastAsia="仿宋_GB2312"/>
          <w:color w:val="000000"/>
          <w:sz w:val="28"/>
          <w:szCs w:val="28"/>
        </w:rPr>
      </w:pPr>
      <w:r>
        <w:rPr>
          <w:rFonts w:ascii="仿宋_GB2312" w:hAnsi="仿宋_GB2312" w:eastAsia="仿宋_GB2312"/>
          <w:color w:val="000000"/>
          <w:sz w:val="28"/>
          <w:szCs w:val="28"/>
          <w:lang w:val="en-US" w:eastAsia="zh-CN"/>
        </w:rPr>
        <w:t>3.此表由学生、指导教师、开题小组填写，研究生培养学院审查后，</w:t>
      </w:r>
      <w:r>
        <w:rPr>
          <w:rFonts w:ascii="仿宋_GB2312" w:hAnsi="仿宋_GB2312" w:eastAsia="仿宋_GB2312"/>
          <w:color w:val="000000"/>
          <w:sz w:val="28"/>
          <w:szCs w:val="28"/>
        </w:rPr>
        <w:t>由</w:t>
      </w:r>
      <w:r>
        <w:rPr>
          <w:rFonts w:ascii="仿宋_GB2312" w:hAnsi="仿宋_GB2312" w:eastAsia="仿宋_GB2312"/>
          <w:color w:val="000000"/>
          <w:sz w:val="28"/>
          <w:szCs w:val="28"/>
          <w:lang w:val="en-US" w:eastAsia="zh-CN"/>
        </w:rPr>
        <w:t>学院</w:t>
      </w:r>
      <w:r>
        <w:rPr>
          <w:rFonts w:ascii="仿宋_GB2312" w:hAnsi="仿宋_GB2312" w:eastAsia="仿宋_GB2312"/>
          <w:color w:val="000000"/>
          <w:sz w:val="28"/>
          <w:szCs w:val="28"/>
        </w:rPr>
        <w:t>留存。</w:t>
      </w:r>
    </w:p>
    <w:p w14:paraId="5C555B8A">
      <w:pPr>
        <w:keepNext w:val="0"/>
        <w:keepLines w:val="0"/>
        <w:pageBreakBefore w:val="0"/>
        <w:widowControl w:val="0"/>
        <w:kinsoku/>
        <w:overflowPunct/>
        <w:autoSpaceDE/>
        <w:bidi w:val="0"/>
        <w:snapToGrid w:val="0"/>
        <w:spacing w:line="360" w:lineRule="auto"/>
        <w:ind w:right="0" w:firstLine="560"/>
        <w:textAlignment w:val="auto"/>
        <w:rPr>
          <w:rFonts w:ascii="仿宋_GB2312" w:hAnsi="仿宋_GB2312" w:eastAsia="仿宋_GB2312"/>
          <w:color w:val="000000"/>
          <w:sz w:val="28"/>
          <w:szCs w:val="28"/>
        </w:rPr>
      </w:pPr>
      <w:r>
        <w:rPr>
          <w:rFonts w:ascii="仿宋_GB2312" w:hAnsi="仿宋_GB2312" w:eastAsia="仿宋_GB2312"/>
          <w:color w:val="000000"/>
          <w:sz w:val="28"/>
          <w:szCs w:val="28"/>
          <w:lang w:val="en-US" w:eastAsia="zh-CN"/>
        </w:rPr>
        <w:t>4.</w:t>
      </w:r>
      <w:r>
        <w:rPr>
          <w:rFonts w:ascii="仿宋_GB2312" w:hAnsi="仿宋_GB2312" w:eastAsia="仿宋_GB2312"/>
          <w:color w:val="000000"/>
          <w:sz w:val="28"/>
          <w:szCs w:val="28"/>
        </w:rPr>
        <w:t>“参考文献”著录按照国家标准GB/T 7714-2015执行。</w:t>
      </w:r>
    </w:p>
    <w:p w14:paraId="32531927">
      <w:pPr>
        <w:keepNext w:val="0"/>
        <w:keepLines w:val="0"/>
        <w:pageBreakBefore w:val="0"/>
        <w:widowControl w:val="0"/>
        <w:kinsoku/>
        <w:overflowPunct/>
        <w:autoSpaceDE/>
        <w:bidi w:val="0"/>
        <w:snapToGrid w:val="0"/>
        <w:spacing w:line="560" w:lineRule="exact"/>
        <w:textAlignment w:val="auto"/>
        <w:rPr>
          <w:rFonts w:ascii="宋体" w:hAnsi="宋体" w:eastAsia="仿宋_GB2312" w:cs="宋体"/>
          <w:b/>
          <w:bCs/>
          <w:color w:val="000000"/>
          <w:sz w:val="28"/>
          <w:szCs w:val="28"/>
        </w:rPr>
      </w:pPr>
    </w:p>
    <w:p w14:paraId="5A67E0F1">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7D70B078">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3632EB06">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1A43F839">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0A3860AC">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3FF36F32">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3C9C35D1">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15578422">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26C75108">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7F39D387">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17B841D0">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238A494A">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136BBCED">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7B78B929">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pPr>
    </w:p>
    <w:p w14:paraId="6C905EBE">
      <w:pPr>
        <w:keepNext w:val="0"/>
        <w:keepLines w:val="0"/>
        <w:pageBreakBefore w:val="0"/>
        <w:widowControl w:val="0"/>
        <w:kinsoku/>
        <w:overflowPunct/>
        <w:autoSpaceDE/>
        <w:bidi w:val="0"/>
        <w:snapToGrid w:val="0"/>
        <w:spacing w:line="560" w:lineRule="exact"/>
        <w:textAlignment w:val="auto"/>
        <w:rPr>
          <w:rFonts w:ascii="宋体" w:hAnsi="宋体" w:cs="宋体"/>
          <w:b/>
          <w:bCs/>
          <w:color w:val="000000"/>
          <w:sz w:val="28"/>
          <w:szCs w:val="28"/>
        </w:rPr>
        <w:sectPr>
          <w:headerReference r:id="rId10" w:type="first"/>
          <w:footerReference r:id="rId12" w:type="first"/>
          <w:headerReference r:id="rId9" w:type="default"/>
          <w:footerReference r:id="rId11" w:type="default"/>
          <w:pgSz w:w="11906" w:h="16838"/>
          <w:pgMar w:top="1134" w:right="1134" w:bottom="1134" w:left="1134" w:header="851" w:footer="992" w:gutter="0"/>
          <w:pgNumType w:fmt="decimal" w:start="1"/>
          <w:cols w:space="720" w:num="1"/>
          <w:formProt w:val="0"/>
          <w:titlePg/>
          <w:docGrid w:type="lines" w:linePitch="312" w:charSpace="0"/>
        </w:sectPr>
      </w:pPr>
      <w:r>
        <w:br w:type="page"/>
      </w:r>
    </w:p>
    <w:p w14:paraId="31E37C96">
      <w:pPr>
        <w:keepNext/>
        <w:keepLines/>
        <w:pageBreakBefore w:val="0"/>
        <w:widowControl w:val="0"/>
        <w:kinsoku/>
        <w:overflowPunct/>
        <w:autoSpaceDE/>
        <w:bidi w:val="0"/>
        <w:snapToGrid w:val="0"/>
        <w:spacing w:line="560" w:lineRule="exact"/>
        <w:textAlignment w:val="auto"/>
        <w:rPr>
          <w:rFonts w:ascii="宋体" w:hAnsi="宋体" w:eastAsia="宋体" w:cs="宋体"/>
          <w:color w:val="000000"/>
          <w:sz w:val="24"/>
          <w:szCs w:val="24"/>
          <w:lang w:eastAsia="zh-CN"/>
        </w:rPr>
      </w:pPr>
      <w:r>
        <w:rPr>
          <w:rFonts w:ascii="宋体" w:hAnsi="宋体" w:cs="宋体"/>
          <w:b w:val="0"/>
          <w:bCs w:val="0"/>
          <w:color w:val="000000"/>
          <w:sz w:val="24"/>
          <w:szCs w:val="24"/>
          <w:lang w:eastAsia="zh-CN"/>
        </w:rPr>
        <w:t>一、</w:t>
      </w:r>
      <w:r>
        <w:rPr>
          <w:rFonts w:ascii="宋体" w:hAnsi="宋体" w:cs="宋体"/>
          <w:b w:val="0"/>
          <w:bCs w:val="0"/>
          <w:color w:val="000000"/>
          <w:sz w:val="24"/>
          <w:szCs w:val="24"/>
          <w:lang w:val="en-US" w:eastAsia="zh-CN"/>
        </w:rPr>
        <w:t>基本信息</w:t>
      </w:r>
    </w:p>
    <w:tbl>
      <w:tblPr>
        <w:tblStyle w:val="11"/>
        <w:tblW w:w="975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62"/>
        <w:gridCol w:w="1677"/>
        <w:gridCol w:w="7416"/>
      </w:tblGrid>
      <w:tr w14:paraId="35C1A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662" w:type="dxa"/>
            <w:vMerge w:val="restart"/>
            <w:tcBorders>
              <w:top w:val="nil"/>
              <w:left w:val="nil"/>
              <w:bottom w:val="nil"/>
              <w:right w:val="nil"/>
              <w:insideH w:val="nil"/>
              <w:insideV w:val="nil"/>
              <w:tl2br w:val="nil"/>
              <w:tr2bl w:val="nil"/>
            </w:tcBorders>
            <w:vAlign w:val="center"/>
          </w:tcPr>
          <w:p w14:paraId="624C6938">
            <w:pPr>
              <w:snapToGrid w:val="0"/>
              <w:spacing w:line="300" w:lineRule="auto"/>
              <w:jc w:val="center"/>
              <w:rPr>
                <w:rFonts w:ascii="仿宋_GB2312" w:hAnsi="仿宋_GB2312" w:eastAsia="仿宋_GB2312" w:cs="仿宋_GB2312"/>
                <w:color w:val="000000"/>
                <w:sz w:val="24"/>
                <w:szCs w:val="24"/>
              </w:rPr>
            </w:pPr>
          </w:p>
        </w:tc>
        <w:tc>
          <w:tcPr>
            <w:tcW w:w="1677" w:type="dxa"/>
            <w:tcBorders>
              <w:top w:val="nil"/>
              <w:left w:val="nil"/>
              <w:bottom w:val="nil"/>
              <w:right w:val="nil"/>
              <w:insideH w:val="nil"/>
              <w:insideV w:val="nil"/>
              <w:tl2br w:val="nil"/>
              <w:tr2bl w:val="nil"/>
            </w:tcBorders>
            <w:vAlign w:val="center"/>
          </w:tcPr>
          <w:p w14:paraId="3561BB15">
            <w:pPr>
              <w:snapToGrid w:val="0"/>
              <w:spacing w:line="300" w:lineRule="auto"/>
              <w:jc w:val="center"/>
              <w:rPr>
                <w:rFonts w:ascii="仿宋_GB2312" w:hAnsi="仿宋_GB2312" w:eastAsia="仿宋_GB2312" w:cs="仿宋_GB2312"/>
                <w:color w:val="000000"/>
                <w:sz w:val="24"/>
                <w:szCs w:val="24"/>
                <w:lang w:val="en-US" w:eastAsia="zh-CN"/>
              </w:rPr>
            </w:pPr>
            <w:r>
              <w:rPr>
                <w:rFonts w:ascii="仿宋_GB2312" w:hAnsi="仿宋_GB2312" w:eastAsia="仿宋_GB2312" w:cs="仿宋_GB2312"/>
                <w:b/>
                <w:bCs/>
                <w:color w:val="000000"/>
                <w:sz w:val="24"/>
                <w:szCs w:val="24"/>
                <w:lang w:val="en-US" w:eastAsia="zh-CN"/>
              </w:rPr>
              <w:t>论文题目</w:t>
            </w:r>
          </w:p>
        </w:tc>
        <w:tc>
          <w:tcPr>
            <w:tcW w:w="7416" w:type="dxa"/>
            <w:tcBorders>
              <w:top w:val="nil"/>
              <w:left w:val="nil"/>
              <w:bottom w:val="nil"/>
              <w:right w:val="nil"/>
              <w:insideH w:val="nil"/>
              <w:insideV w:val="nil"/>
              <w:tl2br w:val="nil"/>
              <w:tr2bl w:val="nil"/>
            </w:tcBorders>
            <w:vAlign w:val="center"/>
          </w:tcPr>
          <w:p w14:paraId="6BFC6E48">
            <w:pPr>
              <w:snapToGrid w:val="0"/>
              <w:spacing w:before="0" w:after="0" w:line="400" w:lineRule="exact"/>
              <w:ind w:firstLine="0"/>
              <w:jc w:val="center"/>
              <w:rPr>
                <w:rFonts w:ascii="仿宋_GB2312" w:hAnsi="仿宋_GB2312" w:eastAsia="仿宋_GB2312" w:cs="仿宋_GB2312"/>
                <w:color w:val="000000"/>
                <w:sz w:val="24"/>
                <w:szCs w:val="24"/>
                <w:lang w:val="en-US" w:eastAsia="zh-CN"/>
              </w:rPr>
            </w:pPr>
            <w:r>
              <w:rPr>
                <w:rFonts w:ascii="Times New Roman" w:hAnsi="Times New Roman" w:eastAsia="仿宋_GB2312"/>
                <w:b w:val="0"/>
                <w:sz w:val="24"/>
              </w:rPr>
              <w:t>基于</w:t>
            </w:r>
            <w:r>
              <w:rPr>
                <w:rFonts w:hint="eastAsia" w:eastAsia="仿宋_GB2312"/>
                <w:b w:val="0"/>
                <w:sz w:val="24"/>
                <w:lang w:val="en-US" w:eastAsia="zh-CN"/>
              </w:rPr>
              <w:t>机器学习</w:t>
            </w:r>
            <w:r>
              <w:rPr>
                <w:rFonts w:ascii="Times New Roman" w:hAnsi="Times New Roman" w:eastAsia="仿宋_GB2312"/>
                <w:b w:val="0"/>
                <w:sz w:val="24"/>
              </w:rPr>
              <w:t>的城镇污水处理厂碳排放预测及低碳运行分析</w:t>
            </w:r>
          </w:p>
        </w:tc>
      </w:tr>
      <w:tr w14:paraId="06F6C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662" w:type="dxa"/>
            <w:vMerge w:val="continue"/>
            <w:tcBorders>
              <w:top w:val="nil"/>
              <w:left w:val="nil"/>
              <w:bottom w:val="nil"/>
              <w:right w:val="nil"/>
            </w:tcBorders>
            <w:vAlign w:val="center"/>
          </w:tcPr>
          <w:p w14:paraId="1A57C007">
            <w:pPr>
              <w:snapToGrid w:val="0"/>
              <w:spacing w:line="300" w:lineRule="auto"/>
              <w:jc w:val="center"/>
              <w:rPr>
                <w:rFonts w:ascii="仿宋_GB2312" w:hAnsi="仿宋_GB2312" w:eastAsia="仿宋_GB2312" w:cs="仿宋_GB2312"/>
                <w:color w:val="000000"/>
                <w:sz w:val="24"/>
                <w:szCs w:val="24"/>
              </w:rPr>
            </w:pPr>
          </w:p>
        </w:tc>
        <w:tc>
          <w:tcPr>
            <w:tcW w:w="1677" w:type="dxa"/>
            <w:tcBorders>
              <w:top w:val="nil"/>
              <w:left w:val="nil"/>
              <w:bottom w:val="nil"/>
              <w:right w:val="nil"/>
              <w:insideH w:val="nil"/>
              <w:insideV w:val="nil"/>
              <w:tl2br w:val="nil"/>
              <w:tr2bl w:val="nil"/>
            </w:tcBorders>
            <w:vAlign w:val="center"/>
          </w:tcPr>
          <w:p w14:paraId="30B4C063">
            <w:pPr>
              <w:snapToGrid w:val="0"/>
              <w:spacing w:line="300" w:lineRule="auto"/>
              <w:jc w:val="center"/>
              <w:rPr>
                <w:rFonts w:ascii="仿宋_GB2312" w:hAnsi="仿宋_GB2312" w:eastAsia="仿宋_GB2312" w:cs="仿宋_GB2312"/>
                <w:color w:val="000000"/>
                <w:sz w:val="24"/>
                <w:szCs w:val="24"/>
                <w:lang w:val="en-US" w:eastAsia="zh-CN"/>
              </w:rPr>
            </w:pPr>
            <w:r>
              <w:rPr>
                <w:rFonts w:ascii="仿宋_GB2312" w:hAnsi="仿宋_GB2312" w:eastAsia="仿宋_GB2312" w:cs="仿宋_GB2312"/>
                <w:b/>
                <w:bCs/>
                <w:color w:val="000000"/>
                <w:sz w:val="24"/>
                <w:szCs w:val="24"/>
                <w:lang w:val="en-US" w:eastAsia="zh-CN"/>
              </w:rPr>
              <w:t>论文关键词</w:t>
            </w:r>
          </w:p>
        </w:tc>
        <w:tc>
          <w:tcPr>
            <w:tcW w:w="7416" w:type="dxa"/>
            <w:tcBorders>
              <w:top w:val="nil"/>
              <w:left w:val="nil"/>
              <w:bottom w:val="nil"/>
              <w:right w:val="nil"/>
              <w:insideH w:val="nil"/>
              <w:insideV w:val="nil"/>
              <w:tl2br w:val="nil"/>
              <w:tr2bl w:val="nil"/>
            </w:tcBorders>
            <w:vAlign w:val="center"/>
          </w:tcPr>
          <w:p w14:paraId="11A12E09">
            <w:pPr>
              <w:snapToGrid w:val="0"/>
              <w:spacing w:before="0" w:after="0" w:line="400" w:lineRule="exact"/>
              <w:ind w:firstLine="0"/>
              <w:jc w:val="center"/>
              <w:rPr>
                <w:rFonts w:hint="default" w:ascii="仿宋_GB2312" w:hAnsi="仿宋_GB2312" w:eastAsia="仿宋_GB2312" w:cs="仿宋_GB2312"/>
                <w:color w:val="000000"/>
                <w:sz w:val="24"/>
                <w:szCs w:val="24"/>
                <w:lang w:val="en-US" w:eastAsia="zh-CN"/>
              </w:rPr>
            </w:pPr>
            <w:r>
              <w:rPr>
                <w:rFonts w:ascii="Times New Roman" w:hAnsi="Times New Roman" w:eastAsia="仿宋_GB2312"/>
                <w:b w:val="0"/>
                <w:sz w:val="24"/>
              </w:rPr>
              <w:t>城镇污水处理厂；碳排放预测；</w:t>
            </w:r>
            <w:r>
              <w:rPr>
                <w:rFonts w:hint="eastAsia" w:eastAsia="仿宋_GB2312"/>
                <w:b w:val="0"/>
                <w:sz w:val="24"/>
                <w:lang w:val="en-US" w:eastAsia="zh-CN"/>
              </w:rPr>
              <w:t>机器学习；</w:t>
            </w:r>
            <w:r>
              <w:rPr>
                <w:rFonts w:ascii="Times New Roman" w:hAnsi="Times New Roman" w:eastAsia="仿宋_GB2312"/>
                <w:b w:val="0"/>
                <w:sz w:val="24"/>
              </w:rPr>
              <w:t>生物活性</w:t>
            </w:r>
            <w:r>
              <w:rPr>
                <w:rFonts w:hint="eastAsia" w:eastAsia="仿宋_GB2312"/>
                <w:b w:val="0"/>
                <w:sz w:val="24"/>
                <w:lang w:val="en-US" w:eastAsia="zh-CN"/>
              </w:rPr>
              <w:t>实验</w:t>
            </w:r>
            <w:r>
              <w:rPr>
                <w:rFonts w:ascii="Times New Roman" w:hAnsi="Times New Roman" w:eastAsia="仿宋_GB2312"/>
                <w:b w:val="0"/>
                <w:sz w:val="24"/>
              </w:rPr>
              <w:t>；</w:t>
            </w:r>
            <w:r>
              <w:rPr>
                <w:rFonts w:hint="eastAsia" w:eastAsia="仿宋_GB2312"/>
                <w:b w:val="0"/>
                <w:sz w:val="24"/>
                <w:lang w:val="en-US" w:eastAsia="zh-CN"/>
              </w:rPr>
              <w:t>减排分析</w:t>
            </w:r>
          </w:p>
        </w:tc>
      </w:tr>
      <w:tr w14:paraId="6B85B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51" w:hRule="exact"/>
          <w:jc w:val="center"/>
        </w:trPr>
        <w:tc>
          <w:tcPr>
            <w:tcW w:w="662" w:type="dxa"/>
            <w:vMerge w:val="continue"/>
            <w:tcBorders>
              <w:top w:val="nil"/>
              <w:left w:val="nil"/>
              <w:bottom w:val="nil"/>
              <w:right w:val="nil"/>
            </w:tcBorders>
            <w:vAlign w:val="center"/>
          </w:tcPr>
          <w:p w14:paraId="5AA7F516">
            <w:pPr>
              <w:snapToGrid w:val="0"/>
              <w:spacing w:line="300" w:lineRule="auto"/>
              <w:jc w:val="center"/>
              <w:rPr>
                <w:rFonts w:ascii="仿宋_GB2312" w:hAnsi="仿宋_GB2312" w:eastAsia="仿宋_GB2312" w:cs="仿宋_GB2312"/>
                <w:color w:val="000000"/>
                <w:sz w:val="24"/>
                <w:szCs w:val="24"/>
              </w:rPr>
            </w:pPr>
          </w:p>
        </w:tc>
        <w:tc>
          <w:tcPr>
            <w:tcW w:w="1677" w:type="dxa"/>
            <w:tcBorders>
              <w:top w:val="nil"/>
              <w:left w:val="nil"/>
              <w:bottom w:val="nil"/>
              <w:right w:val="nil"/>
              <w:insideH w:val="nil"/>
              <w:insideV w:val="nil"/>
              <w:tl2br w:val="nil"/>
              <w:tr2bl w:val="nil"/>
            </w:tcBorders>
            <w:vAlign w:val="center"/>
          </w:tcPr>
          <w:p w14:paraId="3A9CC636">
            <w:pPr>
              <w:snapToGrid w:val="0"/>
              <w:spacing w:line="300" w:lineRule="auto"/>
              <w:jc w:val="center"/>
              <w:rPr>
                <w:rFonts w:ascii="仿宋_GB2312" w:hAnsi="仿宋_GB2312" w:eastAsia="仿宋_GB2312" w:cs="仿宋_GB2312"/>
                <w:b/>
                <w:bCs/>
                <w:color w:val="000000"/>
                <w:sz w:val="24"/>
                <w:szCs w:val="24"/>
              </w:rPr>
            </w:pPr>
            <w:r>
              <w:rPr>
                <w:rFonts w:ascii="仿宋_GB2312" w:hAnsi="仿宋_GB2312" w:eastAsia="仿宋_GB2312" w:cs="仿宋_GB2312"/>
                <w:b/>
                <w:bCs/>
                <w:color w:val="000000"/>
                <w:sz w:val="24"/>
                <w:szCs w:val="24"/>
              </w:rPr>
              <w:t>论文选题来源</w:t>
            </w:r>
          </w:p>
          <w:p w14:paraId="30AE4ECF">
            <w:pPr>
              <w:snapToGrid w:val="0"/>
              <w:spacing w:line="300" w:lineRule="auto"/>
              <w:jc w:val="center"/>
              <w:rPr>
                <w:rFonts w:ascii="仿宋_GB2312" w:hAnsi="仿宋_GB2312" w:eastAsia="仿宋_GB2312" w:cs="仿宋_GB2312"/>
                <w:b/>
                <w:bCs/>
                <w:color w:val="000000"/>
                <w:sz w:val="24"/>
                <w:szCs w:val="24"/>
                <w:lang w:eastAsia="zh-CN"/>
              </w:rPr>
            </w:pPr>
            <w:r>
              <w:rPr>
                <w:rFonts w:ascii="仿宋_GB2312" w:hAnsi="仿宋_GB2312" w:eastAsia="仿宋_GB2312" w:cs="仿宋_GB2312"/>
                <w:b/>
                <w:bCs/>
                <w:color w:val="000000"/>
                <w:sz w:val="24"/>
                <w:szCs w:val="24"/>
                <w:lang w:eastAsia="zh-CN"/>
              </w:rPr>
              <w:t>（</w:t>
            </w:r>
            <w:r>
              <w:rPr>
                <w:rFonts w:ascii="仿宋_GB2312" w:hAnsi="仿宋_GB2312" w:eastAsia="仿宋_GB2312" w:cs="仿宋_GB2312"/>
                <w:b/>
                <w:bCs/>
                <w:color w:val="000000"/>
                <w:sz w:val="24"/>
                <w:szCs w:val="24"/>
                <w:lang w:val="en-US" w:eastAsia="zh-CN"/>
              </w:rPr>
              <w:t>单选</w:t>
            </w:r>
            <w:r>
              <w:rPr>
                <w:rFonts w:ascii="仿宋_GB2312" w:hAnsi="仿宋_GB2312" w:eastAsia="仿宋_GB2312" w:cs="仿宋_GB2312"/>
                <w:b/>
                <w:bCs/>
                <w:color w:val="000000"/>
                <w:sz w:val="24"/>
                <w:szCs w:val="24"/>
                <w:lang w:eastAsia="zh-CN"/>
              </w:rPr>
              <w:t>）</w:t>
            </w:r>
          </w:p>
        </w:tc>
        <w:tc>
          <w:tcPr>
            <w:tcW w:w="7416" w:type="dxa"/>
            <w:tcBorders>
              <w:top w:val="nil"/>
              <w:left w:val="nil"/>
              <w:bottom w:val="nil"/>
              <w:right w:val="nil"/>
              <w:insideH w:val="nil"/>
              <w:insideV w:val="nil"/>
              <w:tl2br w:val="nil"/>
              <w:tr2bl w:val="nil"/>
            </w:tcBorders>
            <w:vAlign w:val="center"/>
          </w:tcPr>
          <w:p w14:paraId="793D6D21">
            <w:pPr>
              <w:tabs>
                <w:tab w:val="left" w:pos="4080"/>
              </w:tabs>
              <w:spacing w:line="276" w:lineRule="auto"/>
              <w:ind w:left="0" w:leftChars="0" w:firstLine="120" w:firstLineChars="50"/>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lang w:val="en-US" w:eastAsia="zh-CN"/>
              </w:rPr>
              <w:t>国家重点研发计划</w:t>
            </w:r>
            <w:r>
              <w:rPr>
                <w:rFonts w:hint="eastAsia" w:ascii="仿宋_GB2312" w:hAnsi="仿宋_GB2312" w:eastAsia="仿宋_GB2312" w:cs="仿宋_GB2312"/>
                <w:color w:val="auto"/>
                <w:sz w:val="24"/>
                <w:szCs w:val="24"/>
              </w:rPr>
              <w:t xml:space="preserve">             </w:t>
            </w:r>
            <w:r>
              <w:rPr>
                <w:rFonts w:hint="eastAsia" w:ascii="仿宋_GB2312" w:hAnsi="仿宋_GB2312" w:eastAsia="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国家社科规划、基金项目</w:t>
            </w:r>
          </w:p>
          <w:p w14:paraId="3A72F027">
            <w:pPr>
              <w:spacing w:line="276" w:lineRule="auto"/>
              <w:ind w:firstLine="115" w:firstLineChars="48"/>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教育部人文、社会科学研究项目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国家自然科学基金项目  </w:t>
            </w:r>
          </w:p>
          <w:p w14:paraId="675052CC">
            <w:pPr>
              <w:spacing w:line="276" w:lineRule="auto"/>
              <w:ind w:firstLine="115" w:firstLineChars="48"/>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中央、国家各部门项目         </w:t>
            </w:r>
            <w:r>
              <w:rPr>
                <w:rFonts w:hint="eastAsia" w:ascii="仿宋_GB2312" w:hAnsi="仿宋_GB2312" w:eastAsia="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 xml:space="preserve">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省（自治区、直辖市）项目  </w:t>
            </w:r>
          </w:p>
          <w:p w14:paraId="1F4BC7F9">
            <w:pPr>
              <w:spacing w:line="276" w:lineRule="auto"/>
              <w:ind w:firstLine="115" w:firstLineChars="48"/>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国际合作研究项目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与港、澳、台合作研究项目  </w:t>
            </w:r>
          </w:p>
          <w:p w14:paraId="64D60FA8">
            <w:pPr>
              <w:spacing w:line="276" w:lineRule="auto"/>
              <w:ind w:firstLine="115" w:firstLineChars="48"/>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企、事业单位委托项目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外资项目  </w:t>
            </w:r>
          </w:p>
          <w:p w14:paraId="09A69539">
            <w:pPr>
              <w:spacing w:line="276" w:lineRule="auto"/>
              <w:ind w:firstLine="115" w:firstLineChars="48"/>
              <w:rPr>
                <w:rFonts w:hint="eastAsia" w:ascii="仿宋_GB2312" w:hAnsi="仿宋_GB2312" w:eastAsia="仿宋_GB2312" w:cs="仿宋_GB2312"/>
                <w:color w:val="auto"/>
                <w:sz w:val="24"/>
                <w:szCs w:val="24"/>
                <w:lang w:val="en-US" w:eastAsia="zh-CN"/>
              </w:rPr>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学校自选项目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国防项目</w:t>
            </w:r>
            <w:r>
              <w:rPr>
                <w:rFonts w:hint="eastAsia" w:ascii="仿宋_GB2312" w:hAnsi="仿宋_GB2312" w:eastAsia="仿宋_GB2312" w:cs="仿宋_GB2312"/>
                <w:color w:val="auto"/>
                <w:sz w:val="24"/>
                <w:szCs w:val="24"/>
                <w:lang w:val="en-US" w:eastAsia="zh-CN"/>
              </w:rPr>
              <w:t xml:space="preserve"> </w:t>
            </w:r>
          </w:p>
          <w:p w14:paraId="5B2F200D">
            <w:pPr>
              <w:spacing w:line="276" w:lineRule="auto"/>
              <w:ind w:firstLine="115" w:firstLineChars="48"/>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非立项                         </w:t>
            </w:r>
            <w:r>
              <w:rPr>
                <w:rFonts w:hint="eastAsia" w:ascii="仿宋_GB2312" w:hAnsi="仿宋_GB2312" w:eastAsia="仿宋_GB2312" w:cs="仿宋_GB2312"/>
                <w:color w:val="auto"/>
                <w:sz w:val="24"/>
                <w:szCs w:val="24"/>
              </w:rPr>
              <w:sym w:font="Wingdings" w:char="00FE"/>
            </w:r>
            <w:r>
              <w:rPr>
                <w:rFonts w:hint="eastAsia" w:ascii="仿宋_GB2312" w:hAnsi="仿宋_GB2312" w:eastAsia="仿宋_GB2312" w:cs="仿宋_GB2312"/>
                <w:color w:val="auto"/>
                <w:sz w:val="24"/>
                <w:szCs w:val="24"/>
              </w:rPr>
              <w:t>其他</w:t>
            </w:r>
          </w:p>
        </w:tc>
      </w:tr>
      <w:tr w14:paraId="638494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20" w:hRule="exact"/>
          <w:jc w:val="center"/>
        </w:trPr>
        <w:tc>
          <w:tcPr>
            <w:tcW w:w="662" w:type="dxa"/>
            <w:vMerge w:val="continue"/>
            <w:tcBorders>
              <w:top w:val="nil"/>
              <w:left w:val="nil"/>
              <w:bottom w:val="nil"/>
              <w:right w:val="nil"/>
            </w:tcBorders>
            <w:vAlign w:val="center"/>
          </w:tcPr>
          <w:p w14:paraId="73A82BE3">
            <w:pPr>
              <w:snapToGrid w:val="0"/>
              <w:spacing w:line="300" w:lineRule="auto"/>
              <w:jc w:val="center"/>
              <w:rPr>
                <w:rFonts w:ascii="仿宋_GB2312" w:hAnsi="仿宋_GB2312" w:eastAsia="仿宋_GB2312" w:cs="仿宋_GB2312"/>
                <w:color w:val="000000"/>
                <w:sz w:val="24"/>
                <w:szCs w:val="24"/>
              </w:rPr>
            </w:pPr>
          </w:p>
        </w:tc>
        <w:tc>
          <w:tcPr>
            <w:tcW w:w="1677" w:type="dxa"/>
            <w:tcBorders>
              <w:top w:val="nil"/>
              <w:left w:val="nil"/>
              <w:bottom w:val="nil"/>
              <w:right w:val="nil"/>
              <w:insideH w:val="nil"/>
              <w:insideV w:val="nil"/>
              <w:tl2br w:val="nil"/>
              <w:tr2bl w:val="nil"/>
            </w:tcBorders>
            <w:vAlign w:val="center"/>
          </w:tcPr>
          <w:p w14:paraId="6146376C">
            <w:pPr>
              <w:jc w:val="center"/>
              <w:rPr>
                <w:rFonts w:ascii="仿宋_GB2312" w:hAnsi="仿宋_GB2312" w:eastAsia="仿宋_GB2312" w:cs="仿宋_GB2312"/>
                <w:b/>
                <w:bCs/>
                <w:color w:val="000000"/>
                <w:sz w:val="24"/>
                <w:szCs w:val="24"/>
                <w:lang w:val="en-US" w:eastAsia="zh-CN"/>
              </w:rPr>
            </w:pPr>
            <w:r>
              <w:rPr>
                <w:rFonts w:ascii="仿宋_GB2312" w:hAnsi="仿宋_GB2312" w:eastAsia="仿宋_GB2312" w:cs="仿宋_GB2312"/>
                <w:b/>
                <w:bCs/>
                <w:color w:val="000000"/>
                <w:sz w:val="24"/>
                <w:szCs w:val="24"/>
                <w:lang w:val="en-US" w:eastAsia="zh-CN"/>
              </w:rPr>
              <w:t>学位论文形式</w:t>
            </w:r>
          </w:p>
        </w:tc>
        <w:tc>
          <w:tcPr>
            <w:tcW w:w="7416" w:type="dxa"/>
            <w:tcBorders>
              <w:top w:val="nil"/>
              <w:left w:val="nil"/>
              <w:bottom w:val="nil"/>
              <w:right w:val="nil"/>
              <w:insideH w:val="nil"/>
              <w:insideV w:val="nil"/>
              <w:tl2br w:val="nil"/>
              <w:tr2bl w:val="nil"/>
            </w:tcBorders>
            <w:vAlign w:val="center"/>
          </w:tcPr>
          <w:p w14:paraId="4D2CD6AB">
            <w:pPr>
              <w:spacing w:line="360" w:lineRule="exact"/>
              <w:ind w:firstLine="240" w:firstLineChars="100"/>
              <w:rPr>
                <w:rFonts w:hint="eastAsia" w:ascii="仿宋_GB2312" w:hAnsi="仿宋_GB2312" w:eastAsia="仿宋_GB2312" w:cs="仿宋_GB2312"/>
                <w:color w:val="auto"/>
                <w:sz w:val="24"/>
                <w:szCs w:val="24"/>
              </w:rPr>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产品研发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工程设计    </w:t>
            </w:r>
            <w:r>
              <w:rPr>
                <w:rFonts w:hint="eastAsia" w:ascii="仿宋_GB2312" w:hAnsi="仿宋_GB2312" w:eastAsia="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 xml:space="preserve">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工程/项目管理 </w:t>
            </w:r>
          </w:p>
          <w:p w14:paraId="530398FB">
            <w:pPr>
              <w:spacing w:before="0" w:after="0" w:line="400" w:lineRule="exact"/>
              <w:ind w:right="0" w:firstLine="240" w:firstLineChars="100"/>
              <w:jc w:val="left"/>
              <w:rPr>
                <w:rFonts w:ascii="仿宋_GB2312" w:hAnsi="仿宋_GB2312" w:eastAsia="仿宋_GB2312" w:cs="仿宋_GB2312"/>
                <w:color w:val="000000"/>
                <w:sz w:val="24"/>
                <w:szCs w:val="24"/>
              </w:rPr>
            </w:pPr>
            <w:r>
              <w:rPr>
                <w:rFonts w:hint="eastAsia" w:ascii="仿宋_GB2312" w:hAnsi="仿宋_GB2312" w:eastAsia="仿宋_GB2312" w:cs="仿宋_GB2312"/>
                <w:color w:val="auto"/>
                <w:sz w:val="24"/>
                <w:szCs w:val="24"/>
              </w:rPr>
              <w:sym w:font="Wingdings" w:char="00FE"/>
            </w:r>
            <w:r>
              <w:rPr>
                <w:rFonts w:hint="eastAsia" w:ascii="仿宋_GB2312" w:hAnsi="仿宋_GB2312" w:eastAsia="仿宋_GB2312" w:cs="仿宋_GB2312"/>
                <w:color w:val="auto"/>
                <w:sz w:val="24"/>
                <w:szCs w:val="24"/>
                <w:lang w:val="en-US" w:eastAsia="zh-CN"/>
              </w:rPr>
              <w:t>应用研究</w:t>
            </w:r>
            <w:r>
              <w:rPr>
                <w:rFonts w:hint="eastAsia" w:ascii="仿宋_GB2312" w:hAnsi="仿宋_GB2312" w:eastAsia="仿宋_GB2312" w:cs="仿宋_GB2312"/>
                <w:color w:val="auto"/>
                <w:sz w:val="24"/>
                <w:szCs w:val="24"/>
              </w:rPr>
              <w:t xml:space="preserve">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 xml:space="preserve">调研报告 </w:t>
            </w:r>
            <w:r>
              <w:rPr>
                <w:rFonts w:hint="eastAsia" w:ascii="仿宋_GB2312" w:hAnsi="仿宋_GB2312" w:eastAsia="仿宋_GB2312" w:cs="仿宋_GB2312"/>
                <w:color w:val="auto"/>
                <w:sz w:val="24"/>
                <w:szCs w:val="24"/>
                <w:lang w:val="en-US" w:eastAsia="zh-CN"/>
              </w:rPr>
              <w:t xml:space="preserve">    </w:t>
            </w:r>
            <w:r>
              <w:rPr>
                <w:rFonts w:hint="eastAsia" w:ascii="仿宋_GB2312" w:hAnsi="仿宋_GB2312" w:eastAsia="仿宋_GB2312" w:cs="仿宋_GB2312"/>
                <w:color w:val="auto"/>
                <w:sz w:val="24"/>
                <w:szCs w:val="24"/>
              </w:rPr>
              <w:t xml:space="preserve"> </w:t>
            </w: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rPr>
              <w:t>其他</w:t>
            </w:r>
          </w:p>
        </w:tc>
      </w:tr>
      <w:tr w14:paraId="0EA1C6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7" w:hRule="exact"/>
          <w:jc w:val="center"/>
        </w:trPr>
        <w:tc>
          <w:tcPr>
            <w:tcW w:w="662" w:type="dxa"/>
            <w:vMerge w:val="continue"/>
            <w:tcBorders>
              <w:top w:val="nil"/>
              <w:left w:val="nil"/>
              <w:bottom w:val="nil"/>
              <w:right w:val="nil"/>
            </w:tcBorders>
            <w:vAlign w:val="center"/>
          </w:tcPr>
          <w:p w14:paraId="734068B2">
            <w:pPr>
              <w:snapToGrid w:val="0"/>
              <w:spacing w:line="300" w:lineRule="auto"/>
              <w:jc w:val="center"/>
              <w:rPr>
                <w:rFonts w:ascii="仿宋_GB2312" w:hAnsi="仿宋_GB2312" w:eastAsia="仿宋_GB2312" w:cs="仿宋_GB2312"/>
                <w:color w:val="000000"/>
                <w:sz w:val="24"/>
                <w:szCs w:val="24"/>
              </w:rPr>
            </w:pPr>
          </w:p>
        </w:tc>
        <w:tc>
          <w:tcPr>
            <w:tcW w:w="1677" w:type="dxa"/>
            <w:tcBorders>
              <w:top w:val="nil"/>
              <w:left w:val="nil"/>
              <w:bottom w:val="nil"/>
              <w:right w:val="nil"/>
              <w:insideH w:val="nil"/>
              <w:insideV w:val="nil"/>
              <w:tl2br w:val="nil"/>
              <w:tr2bl w:val="nil"/>
            </w:tcBorders>
            <w:vAlign w:val="center"/>
          </w:tcPr>
          <w:p w14:paraId="032369CB">
            <w:pPr>
              <w:jc w:val="center"/>
              <w:rPr>
                <w:rFonts w:ascii="仿宋_GB2312" w:hAnsi="仿宋_GB2312" w:eastAsia="仿宋_GB2312" w:cs="仿宋_GB2312"/>
                <w:b/>
                <w:bCs/>
                <w:color w:val="000000"/>
                <w:sz w:val="24"/>
                <w:szCs w:val="24"/>
                <w:lang w:val="en-US" w:eastAsia="zh-CN"/>
              </w:rPr>
            </w:pPr>
            <w:r>
              <w:rPr>
                <w:rFonts w:ascii="仿宋_GB2312" w:hAnsi="仿宋_GB2312" w:eastAsia="仿宋_GB2312" w:cs="仿宋_GB2312"/>
                <w:b/>
                <w:bCs/>
                <w:color w:val="000000"/>
                <w:sz w:val="24"/>
                <w:szCs w:val="24"/>
                <w:lang w:val="en-US" w:eastAsia="zh-CN"/>
              </w:rPr>
              <w:t>学位论文类型</w:t>
            </w:r>
          </w:p>
        </w:tc>
        <w:tc>
          <w:tcPr>
            <w:tcW w:w="7416" w:type="dxa"/>
            <w:tcBorders>
              <w:top w:val="nil"/>
              <w:left w:val="nil"/>
              <w:bottom w:val="nil"/>
              <w:right w:val="nil"/>
              <w:insideH w:val="nil"/>
              <w:insideV w:val="nil"/>
              <w:tl2br w:val="nil"/>
              <w:tr2bl w:val="nil"/>
            </w:tcBorders>
            <w:vAlign w:val="center"/>
          </w:tcPr>
          <w:p w14:paraId="1FA7DDC6">
            <w:pPr>
              <w:snapToGrid w:val="0"/>
              <w:spacing w:before="0" w:after="0" w:line="400" w:lineRule="exact"/>
              <w:ind w:right="0" w:firstLine="240" w:firstLineChars="100"/>
              <w:jc w:val="left"/>
              <w:rPr>
                <w:rFonts w:ascii="仿宋_GB2312" w:hAnsi="仿宋_GB2312" w:eastAsia="仿宋_GB2312" w:cs="仿宋_GB2312"/>
                <w:b/>
                <w:bCs/>
                <w:color w:val="000000"/>
                <w:sz w:val="24"/>
                <w:szCs w:val="24"/>
              </w:rPr>
            </w:pPr>
            <w:r>
              <w:rPr>
                <w:rFonts w:hint="eastAsia" w:ascii="仿宋_GB2312" w:hAnsi="仿宋_GB2312" w:eastAsia="仿宋_GB2312" w:cs="仿宋_GB2312"/>
                <w:sz w:val="24"/>
                <w:szCs w:val="24"/>
              </w:rPr>
              <w:sym w:font="Wingdings" w:char="00A8"/>
            </w:r>
            <w:r>
              <w:rPr>
                <w:rFonts w:hint="eastAsia" w:ascii="仿宋_GB2312" w:hAnsi="仿宋_GB2312" w:eastAsia="仿宋_GB2312" w:cs="仿宋_GB2312"/>
                <w:sz w:val="24"/>
                <w:szCs w:val="24"/>
              </w:rPr>
              <w:t xml:space="preserve">基础研究     </w:t>
            </w:r>
            <w:r>
              <w:rPr>
                <w:rFonts w:hint="eastAsia" w:ascii="仿宋_GB2312" w:hAnsi="仿宋_GB2312" w:eastAsia="仿宋_GB2312" w:cs="仿宋_GB2312"/>
                <w:sz w:val="24"/>
                <w:szCs w:val="24"/>
              </w:rPr>
              <w:sym w:font="Wingdings" w:char="00A8"/>
            </w:r>
            <w:r>
              <w:rPr>
                <w:rFonts w:hint="eastAsia" w:ascii="仿宋_GB2312" w:hAnsi="仿宋_GB2312" w:eastAsia="仿宋_GB2312" w:cs="仿宋_GB2312"/>
                <w:sz w:val="24"/>
                <w:szCs w:val="24"/>
              </w:rPr>
              <w:t xml:space="preserve">应用研究     </w:t>
            </w:r>
            <w:r>
              <w:rPr>
                <w:rFonts w:hint="eastAsia" w:ascii="仿宋_GB2312" w:hAnsi="仿宋_GB2312" w:eastAsia="仿宋_GB2312" w:cs="仿宋_GB2312"/>
                <w:sz w:val="24"/>
                <w:szCs w:val="24"/>
              </w:rPr>
              <w:sym w:font="Wingdings" w:char="00FE"/>
            </w:r>
            <w:r>
              <w:rPr>
                <w:rFonts w:hint="eastAsia" w:ascii="仿宋_GB2312" w:hAnsi="仿宋_GB2312" w:eastAsia="仿宋_GB2312" w:cs="仿宋_GB2312"/>
                <w:sz w:val="24"/>
                <w:szCs w:val="24"/>
              </w:rPr>
              <w:t xml:space="preserve">综合研究     </w:t>
            </w:r>
            <w:r>
              <w:rPr>
                <w:rFonts w:hint="eastAsia" w:ascii="仿宋_GB2312" w:hAnsi="仿宋_GB2312" w:eastAsia="仿宋_GB2312" w:cs="仿宋_GB2312"/>
                <w:sz w:val="24"/>
                <w:szCs w:val="24"/>
              </w:rPr>
              <w:sym w:font="Wingdings" w:char="00A8"/>
            </w:r>
            <w:r>
              <w:rPr>
                <w:rFonts w:hint="eastAsia" w:ascii="仿宋_GB2312" w:hAnsi="仿宋_GB2312" w:eastAsia="仿宋_GB2312" w:cs="仿宋_GB2312"/>
                <w:sz w:val="24"/>
                <w:szCs w:val="24"/>
              </w:rPr>
              <w:t>其它</w:t>
            </w:r>
          </w:p>
        </w:tc>
      </w:tr>
      <w:tr w14:paraId="2B278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7" w:hRule="exact"/>
          <w:jc w:val="center"/>
        </w:trPr>
        <w:tc>
          <w:tcPr>
            <w:tcW w:w="662" w:type="dxa"/>
            <w:vMerge w:val="continue"/>
            <w:tcBorders>
              <w:top w:val="nil"/>
              <w:left w:val="nil"/>
              <w:bottom w:val="nil"/>
              <w:right w:val="nil"/>
            </w:tcBorders>
            <w:vAlign w:val="center"/>
          </w:tcPr>
          <w:p w14:paraId="4FC18EF5">
            <w:pPr>
              <w:snapToGrid w:val="0"/>
              <w:spacing w:line="300" w:lineRule="auto"/>
              <w:jc w:val="center"/>
              <w:rPr>
                <w:rFonts w:ascii="仿宋_GB2312" w:hAnsi="仿宋_GB2312" w:eastAsia="仿宋_GB2312" w:cs="仿宋_GB2312"/>
                <w:b/>
                <w:bCs/>
                <w:color w:val="000000"/>
                <w:sz w:val="24"/>
                <w:szCs w:val="24"/>
              </w:rPr>
            </w:pPr>
          </w:p>
        </w:tc>
        <w:tc>
          <w:tcPr>
            <w:tcW w:w="1677" w:type="dxa"/>
            <w:tcBorders>
              <w:top w:val="nil"/>
              <w:left w:val="nil"/>
              <w:bottom w:val="nil"/>
              <w:right w:val="nil"/>
              <w:insideH w:val="nil"/>
              <w:insideV w:val="nil"/>
              <w:tl2br w:val="nil"/>
              <w:tr2bl w:val="nil"/>
            </w:tcBorders>
            <w:vAlign w:val="center"/>
          </w:tcPr>
          <w:p w14:paraId="76005F26">
            <w:pPr>
              <w:jc w:val="center"/>
              <w:rPr>
                <w:rFonts w:ascii="仿宋_GB2312" w:hAnsi="仿宋_GB2312" w:eastAsia="仿宋_GB2312" w:cs="仿宋_GB2312"/>
                <w:b/>
                <w:bCs/>
                <w:color w:val="000000"/>
                <w:sz w:val="24"/>
                <w:szCs w:val="24"/>
                <w:lang w:val="en-US" w:eastAsia="zh-CN"/>
              </w:rPr>
            </w:pPr>
            <w:r>
              <w:rPr>
                <w:rFonts w:ascii="仿宋_GB2312" w:hAnsi="仿宋_GB2312" w:eastAsia="仿宋_GB2312" w:cs="仿宋_GB2312"/>
                <w:b/>
                <w:bCs/>
                <w:color w:val="000000"/>
                <w:sz w:val="24"/>
                <w:szCs w:val="24"/>
                <w:lang w:val="en-US" w:eastAsia="zh-CN"/>
              </w:rPr>
              <w:t>选题方式</w:t>
            </w:r>
          </w:p>
        </w:tc>
        <w:tc>
          <w:tcPr>
            <w:tcW w:w="7416" w:type="dxa"/>
            <w:tcBorders>
              <w:top w:val="nil"/>
              <w:left w:val="nil"/>
              <w:bottom w:val="nil"/>
              <w:right w:val="nil"/>
              <w:insideH w:val="nil"/>
              <w:insideV w:val="nil"/>
              <w:tl2br w:val="nil"/>
              <w:tr2bl w:val="nil"/>
            </w:tcBorders>
            <w:vAlign w:val="center"/>
          </w:tcPr>
          <w:p w14:paraId="5F596D28">
            <w:pPr>
              <w:snapToGrid w:val="0"/>
              <w:spacing w:before="0" w:after="0" w:line="400" w:lineRule="exact"/>
              <w:ind w:right="0" w:firstLine="0"/>
              <w:jc w:val="center"/>
              <w:rPr>
                <w:rFonts w:ascii="仿宋_GB2312" w:hAnsi="仿宋_GB2312" w:eastAsia="仿宋_GB2312" w:cs="仿宋_GB2312"/>
                <w:sz w:val="24"/>
                <w:szCs w:val="24"/>
                <w:lang w:val="en-US" w:eastAsia="zh-CN"/>
              </w:rPr>
            </w:pPr>
            <w:r>
              <w:rPr>
                <w:rFonts w:hint="eastAsia" w:ascii="仿宋_GB2312" w:hAnsi="仿宋_GB2312" w:eastAsia="仿宋_GB2312" w:cs="仿宋_GB2312"/>
                <w:sz w:val="24"/>
                <w:szCs w:val="24"/>
                <w:lang w:val="en-US" w:eastAsia="zh-CN"/>
              </w:rPr>
              <w:sym w:font="Wingdings" w:char="00FE"/>
            </w:r>
            <w:r>
              <w:rPr>
                <w:rFonts w:hint="eastAsia" w:ascii="仿宋_GB2312" w:hAnsi="仿宋_GB2312" w:eastAsia="仿宋_GB2312" w:cs="仿宋_GB2312"/>
                <w:sz w:val="24"/>
                <w:szCs w:val="24"/>
                <w:lang w:val="en-US" w:eastAsia="zh-CN"/>
              </w:rPr>
              <w:t xml:space="preserve">导师推荐        </w:t>
            </w:r>
            <w:r>
              <w:rPr>
                <w:rFonts w:hint="eastAsia" w:ascii="仿宋_GB2312" w:hAnsi="仿宋_GB2312" w:eastAsia="仿宋_GB2312" w:cs="仿宋_GB2312"/>
                <w:sz w:val="24"/>
                <w:szCs w:val="24"/>
                <w:lang w:val="en-US" w:eastAsia="zh-CN"/>
              </w:rPr>
              <w:sym w:font="Wingdings" w:char="00A8"/>
            </w:r>
            <w:r>
              <w:rPr>
                <w:rFonts w:hint="eastAsia" w:ascii="仿宋_GB2312" w:hAnsi="仿宋_GB2312" w:eastAsia="仿宋_GB2312" w:cs="仿宋_GB2312"/>
                <w:sz w:val="24"/>
                <w:szCs w:val="24"/>
                <w:lang w:val="en-US" w:eastAsia="zh-CN"/>
              </w:rPr>
              <w:t>研究生自选</w:t>
            </w:r>
          </w:p>
        </w:tc>
      </w:tr>
      <w:tr w14:paraId="6B146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7" w:hRule="exact"/>
          <w:jc w:val="center"/>
        </w:trPr>
        <w:tc>
          <w:tcPr>
            <w:tcW w:w="662" w:type="dxa"/>
            <w:vMerge w:val="continue"/>
            <w:tcBorders>
              <w:top w:val="nil"/>
              <w:left w:val="nil"/>
              <w:bottom w:val="nil"/>
              <w:right w:val="nil"/>
            </w:tcBorders>
            <w:vAlign w:val="center"/>
          </w:tcPr>
          <w:p w14:paraId="040F1B22">
            <w:pPr>
              <w:snapToGrid w:val="0"/>
              <w:spacing w:line="300" w:lineRule="auto"/>
              <w:jc w:val="center"/>
              <w:rPr>
                <w:rFonts w:ascii="仿宋_GB2312" w:hAnsi="仿宋_GB2312" w:eastAsia="仿宋_GB2312" w:cs="仿宋_GB2312"/>
                <w:color w:val="000000"/>
                <w:sz w:val="24"/>
                <w:szCs w:val="24"/>
                <w:lang w:val="en-US" w:eastAsia="zh-CN"/>
              </w:rPr>
            </w:pPr>
          </w:p>
        </w:tc>
        <w:tc>
          <w:tcPr>
            <w:tcW w:w="1677" w:type="dxa"/>
            <w:tcBorders>
              <w:top w:val="nil"/>
              <w:left w:val="nil"/>
              <w:bottom w:val="nil"/>
              <w:right w:val="nil"/>
              <w:insideH w:val="nil"/>
              <w:insideV w:val="nil"/>
              <w:tl2br w:val="nil"/>
              <w:tr2bl w:val="nil"/>
            </w:tcBorders>
            <w:vAlign w:val="center"/>
          </w:tcPr>
          <w:p w14:paraId="1142FC5B">
            <w:pPr>
              <w:jc w:val="center"/>
              <w:rPr>
                <w:rFonts w:ascii="仿宋_GB2312" w:hAnsi="仿宋_GB2312" w:eastAsia="仿宋_GB2312" w:cs="仿宋_GB2312"/>
                <w:b/>
                <w:bCs/>
                <w:color w:val="000000"/>
                <w:sz w:val="24"/>
                <w:szCs w:val="24"/>
                <w:lang w:val="en-US" w:eastAsia="zh-CN"/>
              </w:rPr>
            </w:pPr>
            <w:r>
              <w:rPr>
                <w:rFonts w:ascii="仿宋_GB2312" w:hAnsi="仿宋_GB2312" w:eastAsia="仿宋_GB2312" w:cs="仿宋_GB2312"/>
                <w:b/>
                <w:bCs/>
                <w:color w:val="000000"/>
                <w:sz w:val="24"/>
                <w:szCs w:val="24"/>
                <w:lang w:val="en-US" w:eastAsia="zh-CN"/>
              </w:rPr>
              <w:t>论文选题项目是否涉密</w:t>
            </w:r>
          </w:p>
        </w:tc>
        <w:tc>
          <w:tcPr>
            <w:tcW w:w="7416" w:type="dxa"/>
            <w:tcBorders>
              <w:top w:val="nil"/>
              <w:left w:val="nil"/>
              <w:bottom w:val="nil"/>
              <w:right w:val="nil"/>
              <w:insideH w:val="nil"/>
              <w:insideV w:val="nil"/>
              <w:tl2br w:val="nil"/>
              <w:tr2bl w:val="nil"/>
            </w:tcBorders>
            <w:vAlign w:val="center"/>
          </w:tcPr>
          <w:p w14:paraId="1B9D8FE0">
            <w:pPr>
              <w:snapToGrid w:val="0"/>
              <w:spacing w:before="0" w:after="0" w:line="400" w:lineRule="exact"/>
              <w:ind w:right="0" w:firstLine="0"/>
              <w:jc w:val="center"/>
              <w:rPr>
                <w:rFonts w:ascii="仿宋_GB2312" w:hAnsi="仿宋_GB2312" w:eastAsia="仿宋_GB2312" w:cs="仿宋_GB2312"/>
                <w:color w:val="000000"/>
                <w:sz w:val="24"/>
                <w:szCs w:val="24"/>
                <w:lang w:val="en-US" w:eastAsia="zh-CN"/>
              </w:rPr>
            </w:pPr>
            <w:r>
              <w:rPr>
                <w:rFonts w:hint="eastAsia" w:ascii="仿宋_GB2312" w:hAnsi="仿宋_GB2312" w:eastAsia="仿宋_GB2312" w:cs="仿宋_GB2312"/>
                <w:color w:val="auto"/>
                <w:sz w:val="24"/>
                <w:szCs w:val="24"/>
              </w:rPr>
              <w:sym w:font="Wingdings" w:char="00A8"/>
            </w:r>
            <w:r>
              <w:rPr>
                <w:rFonts w:hint="eastAsia" w:ascii="仿宋_GB2312" w:hAnsi="仿宋_GB2312" w:eastAsia="仿宋_GB2312" w:cs="仿宋_GB2312"/>
                <w:color w:val="auto"/>
                <w:sz w:val="24"/>
                <w:szCs w:val="24"/>
                <w:lang w:val="en-US" w:eastAsia="zh-CN"/>
              </w:rPr>
              <w:t xml:space="preserve"> 是             </w:t>
            </w:r>
            <w:r>
              <w:rPr>
                <w:rFonts w:hint="eastAsia" w:ascii="仿宋_GB2312" w:hAnsi="仿宋_GB2312" w:eastAsia="仿宋_GB2312" w:cs="仿宋_GB2312"/>
                <w:color w:val="auto"/>
                <w:sz w:val="24"/>
                <w:szCs w:val="24"/>
                <w:lang w:val="en-US" w:eastAsia="zh-CN"/>
              </w:rPr>
              <w:sym w:font="Wingdings" w:char="00FE"/>
            </w:r>
            <w:r>
              <w:rPr>
                <w:rFonts w:hint="eastAsia" w:ascii="仿宋_GB2312" w:hAnsi="仿宋_GB2312" w:eastAsia="仿宋_GB2312" w:cs="仿宋_GB2312"/>
                <w:color w:val="auto"/>
                <w:sz w:val="24"/>
                <w:szCs w:val="24"/>
                <w:lang w:val="en-US" w:eastAsia="zh-CN"/>
              </w:rPr>
              <w:t>否</w:t>
            </w:r>
          </w:p>
        </w:tc>
      </w:tr>
    </w:tbl>
    <w:p w14:paraId="05EA3947">
      <w:pPr>
        <w:keepNext/>
        <w:keepLines/>
        <w:pageBreakBefore w:val="0"/>
        <w:widowControl w:val="0"/>
        <w:kinsoku/>
        <w:overflowPunct/>
        <w:autoSpaceDE/>
        <w:bidi w:val="0"/>
        <w:snapToGrid w:val="0"/>
        <w:spacing w:line="560" w:lineRule="exact"/>
        <w:textAlignment w:val="auto"/>
        <w:rPr>
          <w:rFonts w:ascii="宋体" w:hAnsi="宋体" w:cs="宋体"/>
          <w:b/>
          <w:color w:val="000000"/>
          <w:sz w:val="28"/>
          <w:szCs w:val="28"/>
        </w:rPr>
      </w:pPr>
      <w:r>
        <w:rPr>
          <w:rFonts w:ascii="宋体" w:hAnsi="宋体" w:eastAsia="黑体" w:cs="宋体"/>
          <w:b/>
          <w:bCs w:val="0"/>
          <w:color w:val="000000"/>
          <w:sz w:val="28"/>
          <w:szCs w:val="28"/>
        </w:rPr>
        <w:t>二</w:t>
      </w:r>
      <w:r>
        <w:rPr>
          <w:rFonts w:ascii="宋体" w:hAnsi="宋体" w:eastAsia="黑体" w:cs="宋体"/>
          <w:b/>
          <w:bCs w:val="0"/>
          <w:color w:val="000000"/>
          <w:sz w:val="28"/>
          <w:szCs w:val="28"/>
          <w:lang w:eastAsia="zh-CN"/>
        </w:rPr>
        <w:t>、</w:t>
      </w:r>
      <w:r>
        <w:rPr>
          <w:rFonts w:ascii="宋体" w:hAnsi="宋体" w:eastAsia="黑体" w:cs="宋体"/>
          <w:b/>
          <w:bCs w:val="0"/>
          <w:color w:val="000000"/>
          <w:sz w:val="28"/>
          <w:szCs w:val="28"/>
        </w:rPr>
        <w:t>选题依据</w:t>
      </w:r>
    </w:p>
    <w:tbl>
      <w:tblPr>
        <w:tblStyle w:val="11"/>
        <w:tblW w:w="9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98"/>
      </w:tblGrid>
      <w:tr w14:paraId="70E738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6" w:hRule="atLeast"/>
          <w:jc w:val="center"/>
        </w:trPr>
        <w:tc>
          <w:tcPr>
            <w:tcW w:w="9498" w:type="dxa"/>
            <w:tcBorders>
              <w:top w:val="nil"/>
              <w:left w:val="nil"/>
              <w:bottom w:val="nil"/>
              <w:right w:val="nil"/>
              <w:insideH w:val="nil"/>
              <w:insideV w:val="nil"/>
              <w:tl2br w:val="nil"/>
              <w:tr2bl w:val="nil"/>
            </w:tcBorders>
            <w:vAlign w:val="top"/>
          </w:tcPr>
          <w:p w14:paraId="48113DD8">
            <w:pPr>
              <w:keepNext w:val="0"/>
              <w:keepLines w:val="0"/>
              <w:widowControl w:val="0"/>
              <w:kinsoku/>
              <w:overflowPunct/>
              <w:autoSpaceDE/>
              <w:bidi w:val="0"/>
              <w:snapToGrid w:val="0"/>
              <w:spacing w:before="0" w:after="0" w:line="400" w:lineRule="exact"/>
              <w:ind w:firstLine="0"/>
              <w:jc w:val="both"/>
              <w:textAlignment w:val="auto"/>
              <w:rPr>
                <w:rFonts w:ascii="仿宋_GB2312" w:hAnsi="仿宋_GB2312" w:eastAsia="仿宋_GB2312" w:cs="仿宋_GB2312"/>
                <w:color w:val="000000"/>
                <w:sz w:val="24"/>
                <w:szCs w:val="24"/>
                <w:lang w:val="en-US" w:eastAsia="zh-CN"/>
              </w:rPr>
            </w:pPr>
            <w:r>
              <w:rPr>
                <w:rFonts w:ascii="Times New Roman" w:hAnsi="Times New Roman" w:eastAsia="仿宋_GB2312" w:cs="仿宋_GB2312"/>
                <w:b w:val="0"/>
                <w:color w:val="000000"/>
                <w:sz w:val="24"/>
                <w:szCs w:val="24"/>
                <w:lang w:val="en-US" w:eastAsia="zh-CN"/>
              </w:rPr>
              <w:t>（内容包括</w:t>
            </w:r>
            <w:bookmarkStart w:id="0" w:name="_Hlk108115757"/>
            <w:r>
              <w:rPr>
                <w:rFonts w:ascii="Times New Roman" w:hAnsi="Times New Roman" w:eastAsia="仿宋_GB2312" w:cs="仿宋_GB2312"/>
                <w:b w:val="0"/>
                <w:color w:val="000000"/>
                <w:sz w:val="24"/>
                <w:szCs w:val="24"/>
                <w:lang w:val="en-US" w:eastAsia="zh-CN"/>
              </w:rPr>
              <w:t>课题来源、研究背景及意义、国内外研究现状及分析</w:t>
            </w:r>
            <w:bookmarkEnd w:id="0"/>
            <w:r>
              <w:rPr>
                <w:rFonts w:ascii="Times New Roman" w:hAnsi="Times New Roman" w:eastAsia="仿宋_GB2312" w:cs="仿宋_GB2312"/>
                <w:b w:val="0"/>
                <w:color w:val="000000"/>
                <w:sz w:val="24"/>
                <w:szCs w:val="24"/>
                <w:lang w:val="en-US" w:eastAsia="zh-CN"/>
              </w:rPr>
              <w:t>、主要参考文献目录）</w:t>
            </w:r>
          </w:p>
          <w:p w14:paraId="17B5E9BF">
            <w:pPr>
              <w:keepNext/>
              <w:spacing w:before="0" w:after="0" w:line="400" w:lineRule="exact"/>
              <w:ind w:firstLine="482" w:firstLineChars="200"/>
              <w:jc w:val="left"/>
            </w:pPr>
            <w:r>
              <w:rPr>
                <w:rFonts w:ascii="Times New Roman" w:hAnsi="Times New Roman" w:eastAsia="仿宋_GB2312"/>
                <w:b/>
                <w:sz w:val="24"/>
              </w:rPr>
              <w:t>1. 课题来源</w:t>
            </w:r>
          </w:p>
          <w:p w14:paraId="4B48997D">
            <w:pPr>
              <w:spacing w:before="0" w:after="0" w:line="400" w:lineRule="exact"/>
              <w:ind w:firstLine="480"/>
              <w:jc w:val="both"/>
            </w:pPr>
            <w:r>
              <w:rPr>
                <w:rFonts w:ascii="Times New Roman" w:hAnsi="Times New Roman" w:eastAsia="仿宋_GB2312"/>
                <w:b w:val="0"/>
                <w:sz w:val="24"/>
              </w:rPr>
              <w:t>本课题依托常州市城镇污水处理厂实际运行数据和现场实验条件支持下开展。研究对象来源于全规模市政污水处理设施，数据包括长期日运行台账、生物活性批次实验和非 CO₂ 温室气体现场监测信息。</w:t>
            </w:r>
          </w:p>
          <w:p w14:paraId="765B4BF1">
            <w:pPr>
              <w:keepNext/>
              <w:spacing w:before="0" w:after="0" w:line="400" w:lineRule="exact"/>
              <w:ind w:firstLine="482" w:firstLineChars="200"/>
              <w:jc w:val="left"/>
            </w:pPr>
            <w:r>
              <w:rPr>
                <w:rFonts w:ascii="Times New Roman" w:hAnsi="Times New Roman" w:eastAsia="仿宋_GB2312"/>
                <w:b/>
                <w:sz w:val="24"/>
              </w:rPr>
              <w:t>一、研究背景</w:t>
            </w:r>
          </w:p>
          <w:p w14:paraId="01EDAB66">
            <w:pPr>
              <w:keepNext/>
              <w:spacing w:before="0" w:after="0" w:line="400" w:lineRule="exact"/>
              <w:ind w:firstLine="482" w:firstLineChars="200"/>
              <w:jc w:val="left"/>
            </w:pPr>
            <w:r>
              <w:rPr>
                <w:rFonts w:ascii="Times New Roman" w:hAnsi="Times New Roman" w:eastAsia="仿宋_GB2312"/>
                <w:b/>
                <w:sz w:val="24"/>
              </w:rPr>
              <w:t>1.1 城镇污水处理行业碳排放现状及“双碳”转型需求</w:t>
            </w:r>
          </w:p>
          <w:p w14:paraId="43715042">
            <w:pPr>
              <w:spacing w:before="0" w:after="0" w:line="400" w:lineRule="exact"/>
              <w:ind w:firstLine="480"/>
              <w:jc w:val="both"/>
            </w:pPr>
            <w:r>
              <w:rPr>
                <w:rFonts w:ascii="Times New Roman" w:hAnsi="Times New Roman" w:eastAsia="仿宋_GB2312"/>
                <w:b w:val="0"/>
                <w:sz w:val="24"/>
              </w:rPr>
              <w:t>城镇污水处理承担着污染物削减和水环境质量保障的重要功能，但在污染物去除过程中也会通过生物转化、电力消耗和药剂使用产生温室气体排放。已有研究表明，污水处理系统的直接温室气体主要包括 N₂O、CH₄ 及部分化石源 CO₂，间接排放则主要来自外购电力和药剂生产。随着处理规模扩大、出水标准提高以及深度处理单元增加，污水处理行业逐步由单纯关注“达标排放”转向兼顾水质、能耗和碳排放的综合运行目标</w:t>
            </w:r>
            <w:r>
              <w:rPr>
                <w:rFonts w:ascii="Times New Roman" w:hAnsi="Times New Roman" w:eastAsia="仿宋_GB2312"/>
                <w:b w:val="0"/>
                <w:sz w:val="24"/>
                <w:vertAlign w:val="superscript"/>
              </w:rPr>
              <w:t>[1,2]</w:t>
            </w:r>
            <w:r>
              <w:rPr>
                <w:rFonts w:ascii="Times New Roman" w:hAnsi="Times New Roman" w:eastAsia="仿宋_GB2312"/>
                <w:b w:val="0"/>
                <w:sz w:val="24"/>
              </w:rPr>
              <w:t>。因此，建立面向实际运行过程的碳排放核算、预测和调控方法，是污水处理行业实现减污降碳协同的重要基础。</w:t>
            </w:r>
          </w:p>
          <w:p w14:paraId="1C17693D">
            <w:pPr>
              <w:spacing w:before="0" w:after="0" w:line="400" w:lineRule="exact"/>
              <w:ind w:firstLine="480"/>
              <w:jc w:val="both"/>
            </w:pPr>
            <w:r>
              <w:rPr>
                <w:rFonts w:ascii="Times New Roman" w:hAnsi="Times New Roman" w:eastAsia="仿宋_GB2312"/>
                <w:b w:val="0"/>
                <w:sz w:val="24"/>
              </w:rPr>
              <w:t>我国近年来持续推进污水处理行业绿色低碳转型。GB/T 46725—2025《协同降碳绩效评价 城镇污水处理》已将吨水电耗、外加碳源和除磷药剂消耗、能源优化、碳排放核算与管理以及数智化运行等纳入评价体系，说明碳排放管理正在从单次核算逐步转向持续监测、运行控制和绩效评价</w:t>
            </w:r>
            <w:r>
              <w:rPr>
                <w:rFonts w:ascii="Times New Roman" w:hAnsi="Times New Roman" w:eastAsia="仿宋_GB2312"/>
                <w:b w:val="0"/>
                <w:sz w:val="24"/>
                <w:vertAlign w:val="superscript"/>
              </w:rPr>
              <w:t>[3]</w:t>
            </w:r>
            <w:r>
              <w:rPr>
                <w:rFonts w:ascii="Times New Roman" w:hAnsi="Times New Roman" w:eastAsia="仿宋_GB2312"/>
                <w:b w:val="0"/>
                <w:sz w:val="24"/>
              </w:rPr>
              <w:t>。在此背景下，仅给出年度碳排放总量已难以满足厂级运行管理需求，更需要识别“何时高排放、由什么因素驱动、应调哪个工艺环节”，从而形成可用于运行决策的动态碳管理工具。</w:t>
            </w:r>
          </w:p>
          <w:p w14:paraId="6DBF2213">
            <w:pPr>
              <w:keepNext/>
              <w:spacing w:before="0" w:after="0" w:line="400" w:lineRule="exact"/>
              <w:ind w:firstLine="482" w:firstLineChars="200"/>
              <w:jc w:val="left"/>
            </w:pPr>
            <w:r>
              <w:rPr>
                <w:rFonts w:ascii="Times New Roman" w:hAnsi="Times New Roman" w:eastAsia="仿宋_GB2312"/>
                <w:b/>
                <w:sz w:val="24"/>
              </w:rPr>
              <w:t>1.2 污水处理厂碳排放核算、实测与动态管理面临的问题</w:t>
            </w:r>
          </w:p>
          <w:p w14:paraId="46525E9B">
            <w:pPr>
              <w:spacing w:before="0" w:after="0" w:line="400" w:lineRule="exact"/>
              <w:ind w:firstLine="480"/>
              <w:jc w:val="both"/>
            </w:pPr>
            <w:r>
              <w:rPr>
                <w:rFonts w:ascii="Times New Roman" w:hAnsi="Times New Roman" w:eastAsia="仿宋_GB2312"/>
                <w:b w:val="0"/>
                <w:sz w:val="24"/>
              </w:rPr>
              <w:t>现有污水处理厂碳排放核算仍以排放因子法为主。该方法具有边界明确、计算方便、便于不同厂站比较等优势，但 N₂O 和 CH₄ 排放高度受水温、溶解氧、碳氮比、氮负荷、工艺类型及微生物状态影响，固定排放因子难以反映不同季节和不同运行工况下的动态变化</w:t>
            </w:r>
            <w:r>
              <w:rPr>
                <w:rFonts w:ascii="Times New Roman" w:hAnsi="Times New Roman" w:eastAsia="仿宋_GB2312"/>
                <w:b w:val="0"/>
                <w:sz w:val="24"/>
                <w:vertAlign w:val="superscript"/>
              </w:rPr>
              <w:t>[4,5]</w:t>
            </w:r>
            <w:r>
              <w:rPr>
                <w:rFonts w:ascii="Times New Roman" w:hAnsi="Times New Roman" w:eastAsia="仿宋_GB2312"/>
                <w:b w:val="0"/>
                <w:sz w:val="24"/>
              </w:rPr>
              <w:t>。尤其是 N₂O 全球增温潜势高，较小的排放因子差异即可显著改变总碳排放判断，因此直接排放的不确定性是厂级碳核算中必须重点处理的问题。</w:t>
            </w:r>
          </w:p>
          <w:p w14:paraId="3CC5C729">
            <w:pPr>
              <w:spacing w:before="0" w:after="0" w:line="400" w:lineRule="exact"/>
              <w:ind w:firstLine="480"/>
              <w:jc w:val="both"/>
            </w:pPr>
            <w:r>
              <w:rPr>
                <w:rFonts w:ascii="Times New Roman" w:hAnsi="Times New Roman" w:eastAsia="仿宋_GB2312"/>
                <w:b w:val="0"/>
                <w:sz w:val="24"/>
              </w:rPr>
              <w:t>现场实测能够直接获得非 CO₂ 温室气体的释放特征，但长期、连续、高频监测成本较高，难以覆盖数年运行过程。不同运行条件下，实测结果与排放因子估算结果可能存在差异，具体研究将在后文介绍。另一方面，传统机理模型虽然能够描述氮转化和 N₂O 形成过程，但需要较多动力学参数和持续校准。如何将长期运行台账、现场监测和生物实验相结合，是本课题需要考虑的问题。</w:t>
            </w:r>
          </w:p>
          <w:p w14:paraId="437BC3AA">
            <w:pPr>
              <w:keepNext/>
              <w:spacing w:before="0" w:after="0" w:line="400" w:lineRule="exact"/>
              <w:ind w:firstLine="482" w:firstLineChars="200"/>
              <w:jc w:val="left"/>
            </w:pPr>
            <w:r>
              <w:rPr>
                <w:rFonts w:ascii="Times New Roman" w:hAnsi="Times New Roman" w:eastAsia="仿宋_GB2312"/>
                <w:b/>
                <w:sz w:val="24"/>
              </w:rPr>
              <w:t>1.3 多尺度实测与机器学习驱动低碳运行的提出、优势与应用前景</w:t>
            </w:r>
          </w:p>
          <w:p w14:paraId="27A0B2B0">
            <w:pPr>
              <w:spacing w:before="0" w:after="0" w:line="400" w:lineRule="exact"/>
              <w:ind w:firstLine="480"/>
              <w:jc w:val="both"/>
            </w:pPr>
            <w:r>
              <w:rPr>
                <w:rFonts w:ascii="Times New Roman" w:hAnsi="Times New Roman" w:eastAsia="仿宋_GB2312"/>
                <w:b w:val="0"/>
                <w:sz w:val="24"/>
              </w:rPr>
              <w:t>机器学习能够从水量、水质、能耗、药耗和工艺运行等多源数据中学习复杂的非线性关系，为碳排放动态预测提供新的技术路径。已有全规模污水处理厂研究利用运行数据开展机器学习预测，说明实际运行记录能够为模型构建提供数据基础</w:t>
            </w:r>
            <w:r>
              <w:rPr>
                <w:rFonts w:ascii="Times New Roman" w:hAnsi="Times New Roman" w:eastAsia="仿宋_GB2312"/>
                <w:b w:val="0"/>
                <w:sz w:val="24"/>
                <w:vertAlign w:val="superscript"/>
              </w:rPr>
              <w:t>[6]</w:t>
            </w:r>
            <w:r>
              <w:rPr>
                <w:rFonts w:ascii="Times New Roman" w:hAnsi="Times New Roman" w:eastAsia="仿宋_GB2312"/>
                <w:b w:val="0"/>
                <w:sz w:val="24"/>
              </w:rPr>
              <w:t>。但若模型直接使用预测当日的电耗、药耗或由核算公式派生的变量，可能只是重复排放因子公式，不能真正形成提前预警；若只追求总量预测精度，也可能丢失电耗、药耗、N₂O、CH₄ 等排放来源结构，影响工程解释。</w:t>
            </w:r>
          </w:p>
          <w:p w14:paraId="492E55F8">
            <w:pPr>
              <w:spacing w:before="0" w:after="0" w:line="400" w:lineRule="exact"/>
              <w:ind w:firstLine="480"/>
              <w:jc w:val="both"/>
            </w:pPr>
            <w:r>
              <w:rPr>
                <w:rFonts w:ascii="Times New Roman" w:hAnsi="Times New Roman" w:eastAsia="仿宋_GB2312"/>
                <w:b w:val="0"/>
                <w:sz w:val="24"/>
              </w:rPr>
              <w:t>基于此，本课题拟整理两座污水处理厂的运行、水质、能耗、药耗和气象数据，开展碳排放核算与机器学习预测。通过比较不同模型和两厂预测结果，分析电耗、进水水量、进水污染物负荷及污染物去除率等因素的影响，进一步预测气温、降雨和出水标准变化条件下的碳排放，为出水达标条件下的减排分析提供依据。</w:t>
            </w:r>
          </w:p>
          <w:p w14:paraId="3163CD72">
            <w:pPr>
              <w:keepNext/>
              <w:spacing w:before="0" w:after="0" w:line="400" w:lineRule="exact"/>
              <w:ind w:firstLine="482" w:firstLineChars="200"/>
              <w:jc w:val="left"/>
            </w:pPr>
            <w:r>
              <w:rPr>
                <w:rFonts w:ascii="Times New Roman" w:hAnsi="Times New Roman" w:eastAsia="仿宋_GB2312"/>
                <w:b/>
                <w:sz w:val="24"/>
              </w:rPr>
              <w:t>二、国内外研究现状</w:t>
            </w:r>
          </w:p>
          <w:p w14:paraId="41CD34A7">
            <w:pPr>
              <w:keepNext/>
              <w:spacing w:before="0" w:after="0" w:line="400" w:lineRule="exact"/>
              <w:ind w:firstLine="482" w:firstLineChars="200"/>
              <w:jc w:val="left"/>
            </w:pPr>
            <w:r>
              <w:rPr>
                <w:rFonts w:ascii="Times New Roman" w:hAnsi="Times New Roman" w:eastAsia="仿宋_GB2312"/>
                <w:b/>
                <w:sz w:val="24"/>
              </w:rPr>
              <w:t>2.1 城镇污水处理厂碳排放来源与核算边界研究</w:t>
            </w:r>
          </w:p>
          <w:p w14:paraId="083774A3">
            <w:pPr>
              <w:spacing w:before="0" w:after="0" w:line="400" w:lineRule="exact"/>
              <w:ind w:firstLine="480"/>
              <w:jc w:val="both"/>
            </w:pPr>
            <w:r>
              <w:rPr>
                <w:rFonts w:ascii="Times New Roman" w:hAnsi="Times New Roman" w:eastAsia="仿宋_GB2312"/>
                <w:b w:val="0"/>
                <w:sz w:val="24"/>
              </w:rPr>
              <w:t>污水处理厂碳排放核算通常按直接排放和间接排放划分。直接排放主要来自污水与污泥处理过程中产生的 N₂O、CH₄ 及部分化石源 CO₂，间接排放主要包括外购电力和药剂生产所对应的上游排放</w:t>
            </w:r>
            <w:r>
              <w:rPr>
                <w:rFonts w:ascii="Times New Roman" w:hAnsi="Times New Roman" w:eastAsia="仿宋_GB2312"/>
                <w:b w:val="0"/>
                <w:sz w:val="24"/>
                <w:vertAlign w:val="superscript"/>
              </w:rPr>
              <w:t>[7,8]</w:t>
            </w:r>
            <w:r>
              <w:rPr>
                <w:rFonts w:ascii="Times New Roman" w:hAnsi="Times New Roman" w:eastAsia="仿宋_GB2312"/>
                <w:b w:val="0"/>
                <w:sz w:val="24"/>
              </w:rPr>
              <w:t>。IPCC 指南为污水处理温室气体核算提供了通用方法框架</w:t>
            </w:r>
            <w:r>
              <w:rPr>
                <w:rFonts w:ascii="Times New Roman" w:hAnsi="Times New Roman" w:eastAsia="仿宋_GB2312"/>
                <w:b w:val="0"/>
                <w:sz w:val="24"/>
                <w:vertAlign w:val="superscript"/>
              </w:rPr>
              <w:t>[9]</w:t>
            </w:r>
            <w:r>
              <w:rPr>
                <w:rFonts w:ascii="Times New Roman" w:hAnsi="Times New Roman" w:eastAsia="仿宋_GB2312"/>
                <w:b w:val="0"/>
                <w:sz w:val="24"/>
              </w:rPr>
              <w:t>，但不同研究在核算边界、排放因子、化石源 CO₂ 是否计入、污泥处置及管网是否纳入等方面仍存在差异。王浩宇等基于 313 座污水处理厂对多种核算框架进行对比，指出本土化排放因子和活动数据质量会显著影响核算结果</w:t>
            </w:r>
            <w:r>
              <w:rPr>
                <w:rFonts w:ascii="Times New Roman" w:hAnsi="Times New Roman" w:eastAsia="仿宋_GB2312"/>
                <w:b w:val="0"/>
                <w:sz w:val="24"/>
                <w:vertAlign w:val="superscript"/>
              </w:rPr>
              <w:t>[10]</w:t>
            </w:r>
            <w:r>
              <w:rPr>
                <w:rFonts w:ascii="Times New Roman" w:hAnsi="Times New Roman" w:eastAsia="仿宋_GB2312"/>
                <w:b w:val="0"/>
                <w:sz w:val="24"/>
              </w:rPr>
              <w:t>。这说明厂级研究首先需要明确稳定、可追溯的运行阶段边界，并保证不同年份、不同厂站的口径一致。</w:t>
            </w:r>
          </w:p>
          <w:p w14:paraId="244B4CE6">
            <w:pPr>
              <w:keepNext/>
              <w:spacing w:before="0" w:after="0" w:line="400" w:lineRule="exact"/>
              <w:ind w:firstLine="482" w:firstLineChars="200"/>
              <w:jc w:val="left"/>
            </w:pPr>
            <w:r>
              <w:rPr>
                <w:rFonts w:ascii="Times New Roman" w:hAnsi="Times New Roman" w:eastAsia="仿宋_GB2312"/>
                <w:b/>
                <w:sz w:val="24"/>
              </w:rPr>
              <w:t>2.2 非 CO₂ 温室气体 N₂O/CH₄ 排放因子与现场实测研究</w:t>
            </w:r>
          </w:p>
          <w:p w14:paraId="72B481FE">
            <w:pPr>
              <w:spacing w:before="0" w:after="0" w:line="400" w:lineRule="exact"/>
              <w:ind w:firstLine="480"/>
              <w:jc w:val="both"/>
            </w:pPr>
            <w:r>
              <w:rPr>
                <w:rFonts w:ascii="Times New Roman" w:hAnsi="Times New Roman" w:eastAsia="仿宋_GB2312"/>
                <w:b w:val="0"/>
                <w:sz w:val="24"/>
              </w:rPr>
              <w:t>N₂O 和 CH₄ 是污水处理过程中最重要的非 CO₂ 温室气体。N₂O 主要与硝化、反硝化及其旁路过程有关，其排放对 DO、水温、C/N、NO₂⁻-N 积累和氮负荷变化高度敏感；CH₄ 则主要来自厌氧环境、管网及污泥处理环节。由于不同工艺与运行条件之间差异显著，直接使用统一排放因子会带来较大不确定性。李激等在常州市全规模污水厂开展逸散性和溶解性非 CO₂ 温室气体实测，发现实测值显著低于 IPCC 模型估算值，并识别了预处理和好氧池等高贡献单元</w:t>
            </w:r>
            <w:r>
              <w:rPr>
                <w:rFonts w:ascii="Times New Roman" w:hAnsi="Times New Roman" w:eastAsia="仿宋_GB2312"/>
                <w:b w:val="0"/>
                <w:sz w:val="24"/>
                <w:vertAlign w:val="superscript"/>
              </w:rPr>
              <w:t>[11]</w:t>
            </w:r>
            <w:r>
              <w:rPr>
                <w:rFonts w:ascii="Times New Roman" w:hAnsi="Times New Roman" w:eastAsia="仿宋_GB2312"/>
                <w:b w:val="0"/>
                <w:sz w:val="24"/>
              </w:rPr>
              <w:t>。因此，采用固定因子进行长期核算，再用典型工况现场实测进行本地化校准，是兼顾时间覆盖范围和准确性的可行思路。</w:t>
            </w:r>
          </w:p>
          <w:p w14:paraId="22BCD450">
            <w:pPr>
              <w:keepNext/>
              <w:spacing w:before="0" w:after="0" w:line="400" w:lineRule="exact"/>
              <w:ind w:firstLine="482" w:firstLineChars="200"/>
              <w:jc w:val="left"/>
            </w:pPr>
            <w:r>
              <w:rPr>
                <w:rFonts w:ascii="Times New Roman" w:hAnsi="Times New Roman" w:eastAsia="仿宋_GB2312"/>
                <w:b/>
                <w:sz w:val="24"/>
              </w:rPr>
              <w:t>2.3 电耗、药耗及典型工艺碳排放特征研究</w:t>
            </w:r>
          </w:p>
          <w:p w14:paraId="44A837E8">
            <w:pPr>
              <w:spacing w:before="0" w:after="0" w:line="400" w:lineRule="exact"/>
              <w:ind w:firstLine="480"/>
              <w:jc w:val="both"/>
            </w:pPr>
            <w:r>
              <w:rPr>
                <w:rFonts w:ascii="Times New Roman" w:hAnsi="Times New Roman" w:eastAsia="仿宋_GB2312"/>
                <w:b w:val="0"/>
                <w:sz w:val="24"/>
              </w:rPr>
              <w:t>电耗和药耗是污水处理厂间接碳排放的主要来源。多座污水处理厂研究显示，鼓风曝气、提升与回流系统通常是主要用电环节，外加碳源、除磷药剂和污泥调理药剂则构成主要药耗排放</w:t>
            </w:r>
            <w:r>
              <w:rPr>
                <w:rFonts w:ascii="Times New Roman" w:hAnsi="Times New Roman" w:eastAsia="仿宋_GB2312"/>
                <w:b w:val="0"/>
                <w:sz w:val="24"/>
                <w:vertAlign w:val="superscript"/>
              </w:rPr>
              <w:t>[12]</w:t>
            </w:r>
            <w:r>
              <w:rPr>
                <w:rFonts w:ascii="Times New Roman" w:hAnsi="Times New Roman" w:eastAsia="仿宋_GB2312"/>
                <w:b w:val="0"/>
                <w:sz w:val="24"/>
              </w:rPr>
              <w:t>。不同工艺的碳排放强度差异与曝气需求、泵送负荷、碳源利用效率和药剂依赖程度密切相关。郑晓英等对江苏典型 A²O 污水厂研究发现间接排放占比较高，电力和碳源投加是重要影响因素</w:t>
            </w:r>
            <w:r>
              <w:rPr>
                <w:rFonts w:ascii="Times New Roman" w:hAnsi="Times New Roman" w:eastAsia="仿宋_GB2312"/>
                <w:b w:val="0"/>
                <w:sz w:val="24"/>
                <w:vertAlign w:val="superscript"/>
              </w:rPr>
              <w:t>[13]</w:t>
            </w:r>
            <w:r>
              <w:rPr>
                <w:rFonts w:ascii="Times New Roman" w:hAnsi="Times New Roman" w:eastAsia="仿宋_GB2312"/>
                <w:b w:val="0"/>
                <w:sz w:val="24"/>
              </w:rPr>
              <w:t>；蒋富海等案例分析同样表明电耗和药耗是减排控制重点</w:t>
            </w:r>
            <w:r>
              <w:rPr>
                <w:rFonts w:ascii="Times New Roman" w:hAnsi="Times New Roman" w:eastAsia="仿宋_GB2312"/>
                <w:b w:val="0"/>
                <w:sz w:val="24"/>
                <w:vertAlign w:val="superscript"/>
              </w:rPr>
              <w:t>[14]</w:t>
            </w:r>
            <w:r>
              <w:rPr>
                <w:rFonts w:ascii="Times New Roman" w:hAnsi="Times New Roman" w:eastAsia="仿宋_GB2312"/>
                <w:b w:val="0"/>
                <w:sz w:val="24"/>
              </w:rPr>
              <w:t>。因此，低碳运行分析不能只关注最终总量，应将电耗、药耗与曝气、回流、提升、深度处理和污泥脱水等工艺环节建立对应关系。</w:t>
            </w:r>
          </w:p>
          <w:p w14:paraId="1F17F267">
            <w:pPr>
              <w:keepNext/>
              <w:spacing w:before="0" w:after="0" w:line="400" w:lineRule="exact"/>
              <w:ind w:firstLine="482" w:firstLineChars="200"/>
              <w:jc w:val="left"/>
            </w:pPr>
            <w:r>
              <w:rPr>
                <w:rFonts w:ascii="Times New Roman" w:hAnsi="Times New Roman" w:eastAsia="仿宋_GB2312"/>
                <w:b/>
                <w:sz w:val="24"/>
              </w:rPr>
              <w:t xml:space="preserve">2.4 </w:t>
            </w:r>
            <w:r>
              <w:rPr>
                <w:rFonts w:hint="eastAsia" w:eastAsia="仿宋_GB2312"/>
                <w:b/>
                <w:color w:val="000000" w:themeColor="text1"/>
                <w:sz w:val="24"/>
                <w:lang w:val="en-US" w:eastAsia="zh-CN"/>
                <w14:textFill>
                  <w14:solidFill>
                    <w14:schemeClr w14:val="tx1"/>
                  </w14:solidFill>
                </w14:textFill>
              </w:rPr>
              <w:t>脱氮</w:t>
            </w:r>
            <w:r>
              <w:rPr>
                <w:rFonts w:ascii="Times New Roman" w:hAnsi="Times New Roman" w:eastAsia="仿宋_GB2312"/>
                <w:b/>
                <w:color w:val="000000" w:themeColor="text1"/>
                <w:sz w:val="24"/>
                <w14:textFill>
                  <w14:solidFill>
                    <w14:schemeClr w14:val="tx1"/>
                  </w14:solidFill>
                </w14:textFill>
              </w:rPr>
              <w:t>过程</w:t>
            </w:r>
            <w:r>
              <w:rPr>
                <w:rFonts w:ascii="Times New Roman" w:hAnsi="Times New Roman" w:eastAsia="仿宋_GB2312"/>
                <w:b/>
                <w:sz w:val="24"/>
              </w:rPr>
              <w:t>对 N₂O 排放的影响研究</w:t>
            </w:r>
          </w:p>
          <w:p w14:paraId="1E34F598">
            <w:pPr>
              <w:spacing w:before="0" w:after="0" w:line="400" w:lineRule="exact"/>
              <w:ind w:firstLine="480"/>
              <w:jc w:val="both"/>
            </w:pPr>
            <w:r>
              <w:rPr>
                <w:rFonts w:ascii="Times New Roman" w:hAnsi="Times New Roman" w:eastAsia="仿宋_GB2312"/>
                <w:b w:val="0"/>
                <w:sz w:val="24"/>
              </w:rPr>
              <w:t>N₂O 的形成与污水处理系统中的微生物功能状态密切相关。氨氧化菌、亚硝酸盐氧化菌和异养反硝化菌的活性受到水温、DO、污泥龄、碳源供应及氮负荷冲击影响，进而改变 N₂O 的形成与释放路径。传统在线水质数据能够描述进出水状态，但难以直接反映微生物反应能力。通过硝化、反硝化和厌氧释磷批次实验计算单位 MLSS 的表观反应速率，可补充水质台账无法直接提供的“生物活性”信息，并有助于解释低温、氮负荷突变或碳源不足时的排放变化。相关 N₂O 数据驱动研究已证明，将过程机理信息融入模型可提高预测稳定性和解释性</w:t>
            </w:r>
            <w:r>
              <w:rPr>
                <w:rFonts w:ascii="Times New Roman" w:hAnsi="Times New Roman" w:eastAsia="仿宋_GB2312"/>
                <w:b w:val="0"/>
                <w:sz w:val="24"/>
                <w:vertAlign w:val="superscript"/>
              </w:rPr>
              <w:t>[15]</w:t>
            </w:r>
            <w:r>
              <w:rPr>
                <w:rFonts w:ascii="Times New Roman" w:hAnsi="Times New Roman" w:eastAsia="仿宋_GB2312"/>
                <w:b w:val="0"/>
                <w:sz w:val="24"/>
              </w:rPr>
              <w:t>。因此，本课题将生物活性实验作为连接运行数据与氮转化机制的重要中间层。</w:t>
            </w:r>
          </w:p>
          <w:p w14:paraId="6DFBA1D2">
            <w:pPr>
              <w:keepNext/>
              <w:spacing w:before="0" w:after="0" w:line="400" w:lineRule="exact"/>
              <w:ind w:firstLine="482" w:firstLineChars="200"/>
              <w:jc w:val="left"/>
            </w:pPr>
            <w:r>
              <w:rPr>
                <w:rFonts w:ascii="Times New Roman" w:hAnsi="Times New Roman" w:eastAsia="仿宋_GB2312"/>
                <w:b/>
                <w:sz w:val="24"/>
              </w:rPr>
              <w:t>2.5 多源运行数据与时间序列特征在污水处理中的应用</w:t>
            </w:r>
          </w:p>
          <w:p w14:paraId="4015A5E0">
            <w:pPr>
              <w:spacing w:before="0" w:after="0" w:line="400" w:lineRule="exact"/>
              <w:ind w:firstLine="480"/>
              <w:jc w:val="both"/>
            </w:pPr>
            <w:r>
              <w:rPr>
                <w:rFonts w:ascii="Times New Roman" w:hAnsi="Times New Roman" w:eastAsia="仿宋_GB2312"/>
                <w:b w:val="0"/>
                <w:sz w:val="24"/>
              </w:rPr>
              <w:t>随着 SCADA、在线仪表和厂级信息化平台的发展，污水处理厂逐步积累了连续水量、水质、能耗、药耗和设备运行数据。污水处理过程存在明显的时间依赖性：前一日负荷、连续多日水温变化、设备运行惯性和污泥系统状态都会影响当前处理效果与能耗。因此，滞后特征和滚动统计特征已广泛用于出水水质、能耗和运行状态预测</w:t>
            </w:r>
            <w:r>
              <w:rPr>
                <w:rFonts w:ascii="Times New Roman" w:hAnsi="Times New Roman" w:eastAsia="仿宋_GB2312"/>
                <w:b w:val="0"/>
                <w:sz w:val="24"/>
                <w:vertAlign w:val="superscript"/>
              </w:rPr>
              <w:t>[16,17]</w:t>
            </w:r>
            <w:r>
              <w:rPr>
                <w:rFonts w:ascii="Times New Roman" w:hAnsi="Times New Roman" w:eastAsia="仿宋_GB2312"/>
                <w:b w:val="0"/>
                <w:sz w:val="24"/>
              </w:rPr>
              <w:t>。但环境数据中的缺失值、设备检修、暴雨冲击和异常投药等并非简单噪声，部分恰恰代表真实高风险工况。合理的数据质量控制应优先核对异常来源并保留真实事件，同时保证插补、标准化和特征选择只在训练数据上拟合，避免时间信息泄漏。</w:t>
            </w:r>
          </w:p>
          <w:p w14:paraId="5E160A9E">
            <w:pPr>
              <w:keepNext/>
              <w:spacing w:before="0" w:after="0" w:line="400" w:lineRule="exact"/>
              <w:ind w:firstLine="482" w:firstLineChars="200"/>
              <w:jc w:val="left"/>
            </w:pPr>
            <w:r>
              <w:rPr>
                <w:rFonts w:ascii="Times New Roman" w:hAnsi="Times New Roman" w:eastAsia="仿宋_GB2312"/>
                <w:b/>
                <w:sz w:val="24"/>
              </w:rPr>
              <w:t>2.6 机器学习在污水处理碳排放预测与智能控制中的最新进展</w:t>
            </w:r>
          </w:p>
          <w:p w14:paraId="428B9138">
            <w:pPr>
              <w:spacing w:before="0" w:after="0" w:line="400" w:lineRule="exact"/>
              <w:ind w:firstLine="480"/>
              <w:jc w:val="both"/>
            </w:pPr>
            <w:r>
              <w:rPr>
                <w:rFonts w:ascii="Times New Roman" w:hAnsi="Times New Roman" w:eastAsia="仿宋_GB2312"/>
                <w:b w:val="0"/>
                <w:sz w:val="24"/>
              </w:rPr>
              <w:t>机器学习在污水处理领域已从单一水质预测扩展到能耗、曝气、N₂O 和综合环境绩效预测。Xu 等利用自动机器学习预测多座全规模污水厂电力间接碳排放</w:t>
            </w:r>
            <w:r>
              <w:rPr>
                <w:rFonts w:ascii="Times New Roman" w:hAnsi="Times New Roman" w:eastAsia="仿宋_GB2312"/>
                <w:b w:val="0"/>
                <w:sz w:val="24"/>
                <w:vertAlign w:val="superscript"/>
              </w:rPr>
              <w:t>[18]</w:t>
            </w:r>
            <w:r>
              <w:rPr>
                <w:rFonts w:ascii="Times New Roman" w:hAnsi="Times New Roman" w:eastAsia="仿宋_GB2312"/>
                <w:b w:val="0"/>
                <w:sz w:val="24"/>
              </w:rPr>
              <w:t>；Khalil 等比较不同复杂度机器学习模型对 N₂O 排放的预测与解释能力</w:t>
            </w:r>
            <w:r>
              <w:rPr>
                <w:rFonts w:ascii="Times New Roman" w:hAnsi="Times New Roman" w:eastAsia="仿宋_GB2312"/>
                <w:b w:val="0"/>
                <w:sz w:val="24"/>
                <w:vertAlign w:val="superscript"/>
              </w:rPr>
              <w:t>[19]</w:t>
            </w:r>
            <w:r>
              <w:rPr>
                <w:rFonts w:ascii="Times New Roman" w:hAnsi="Times New Roman" w:eastAsia="仿宋_GB2312"/>
                <w:b w:val="0"/>
                <w:sz w:val="24"/>
              </w:rPr>
              <w:t>；Seshan 等使用 LSTM 对全规模污水厂 N₂O 排放进行时序预测</w:t>
            </w:r>
            <w:r>
              <w:rPr>
                <w:rFonts w:ascii="Times New Roman" w:hAnsi="Times New Roman" w:eastAsia="仿宋_GB2312"/>
                <w:b w:val="0"/>
                <w:sz w:val="24"/>
                <w:vertAlign w:val="superscript"/>
              </w:rPr>
              <w:t>[20]</w:t>
            </w:r>
            <w:r>
              <w:rPr>
                <w:rFonts w:ascii="Times New Roman" w:hAnsi="Times New Roman" w:eastAsia="仿宋_GB2312"/>
                <w:b w:val="0"/>
                <w:sz w:val="24"/>
              </w:rPr>
              <w:t>；Wang 等将经典机器学习与视觉信息融合用于智能曝气控制，并在全规模厂验证了节能效果</w:t>
            </w:r>
            <w:r>
              <w:rPr>
                <w:rFonts w:ascii="Times New Roman" w:hAnsi="Times New Roman" w:eastAsia="仿宋_GB2312"/>
                <w:b w:val="0"/>
                <w:sz w:val="24"/>
                <w:vertAlign w:val="superscript"/>
              </w:rPr>
              <w:t>[21]</w:t>
            </w:r>
            <w:r>
              <w:rPr>
                <w:rFonts w:ascii="Times New Roman" w:hAnsi="Times New Roman" w:eastAsia="仿宋_GB2312"/>
                <w:b w:val="0"/>
                <w:sz w:val="24"/>
              </w:rPr>
              <w:t>。这些研究说明，机器学习可用于不同的污水处理预测任务，模型评价也需要结合具体用途和运行条件。</w:t>
            </w:r>
          </w:p>
          <w:p w14:paraId="004BEA02">
            <w:pPr>
              <w:spacing w:before="0" w:after="0" w:line="400" w:lineRule="exact"/>
              <w:ind w:firstLine="480"/>
              <w:jc w:val="both"/>
            </w:pPr>
            <w:r>
              <w:rPr>
                <w:rFonts w:ascii="Times New Roman" w:hAnsi="Times New Roman" w:eastAsia="仿宋_GB2312"/>
                <w:b w:val="0"/>
                <w:sz w:val="24"/>
              </w:rPr>
              <w:t>近期 WaterMAP 将排放因子清单与多尺度机器学习结合，构建了可扩展的污水处理温室气体预测与减排分析框架，并通过 SHAP、情景分析和外部验证提高模型可解释性</w:t>
            </w:r>
            <w:r>
              <w:rPr>
                <w:rFonts w:ascii="Times New Roman" w:hAnsi="Times New Roman" w:eastAsia="仿宋_GB2312"/>
                <w:b w:val="0"/>
                <w:sz w:val="24"/>
                <w:vertAlign w:val="superscript"/>
              </w:rPr>
              <w:t>[22]</w:t>
            </w:r>
            <w:r>
              <w:rPr>
                <w:rFonts w:ascii="Times New Roman" w:hAnsi="Times New Roman" w:eastAsia="仿宋_GB2312"/>
                <w:b w:val="0"/>
                <w:sz w:val="24"/>
              </w:rPr>
              <w:t>。这一思路为本课题提供了重要参考，但其监督标签仍主要由排放因子推导，且全国或区域尺度数据难以描述单厂 DO、MLSS、外加碳源、生物活性和具体处理单元。针对厂级运行管理，仍需要进一步引入本地现场监测、严格控制输入信息时点，并把模型解释落实到曝气、回流、提升和投药等具体操作环节。</w:t>
            </w:r>
          </w:p>
          <w:p w14:paraId="4D5CB86C">
            <w:pPr>
              <w:keepNext/>
              <w:spacing w:before="0" w:after="0" w:line="400" w:lineRule="exact"/>
              <w:ind w:firstLine="482" w:firstLineChars="200"/>
              <w:jc w:val="left"/>
            </w:pPr>
            <w:r>
              <w:rPr>
                <w:rFonts w:ascii="Times New Roman" w:hAnsi="Times New Roman" w:eastAsia="仿宋_GB2312"/>
                <w:b/>
                <w:sz w:val="24"/>
              </w:rPr>
              <w:t>2.7 研究现状评述与本研究的切入点</w:t>
            </w:r>
          </w:p>
          <w:p w14:paraId="5DEE68C8">
            <w:pPr>
              <w:spacing w:before="0" w:after="0" w:line="400" w:lineRule="exact"/>
              <w:ind w:firstLine="480"/>
              <w:jc w:val="both"/>
            </w:pPr>
            <w:r>
              <w:rPr>
                <w:rFonts w:ascii="Times New Roman" w:hAnsi="Times New Roman" w:eastAsia="仿宋_GB2312"/>
                <w:b w:val="0"/>
                <w:sz w:val="24"/>
              </w:rPr>
              <w:t>综上所述，国内外在污水处理碳排放核算、非 CO₂ 温室气体实测、机器学习预测和低碳运行优化方面已形成较好的研究基础，但从全规模污水处理厂的动态运行需求看，仍存在以下不足：</w:t>
            </w:r>
          </w:p>
          <w:p w14:paraId="5174D543">
            <w:pPr>
              <w:spacing w:before="0" w:after="0" w:line="400" w:lineRule="exact"/>
              <w:ind w:firstLine="480"/>
              <w:jc w:val="both"/>
            </w:pPr>
            <w:r>
              <w:rPr>
                <w:rFonts w:ascii="Times New Roman" w:hAnsi="Times New Roman" w:eastAsia="仿宋_GB2312"/>
                <w:b w:val="0"/>
                <w:sz w:val="24"/>
              </w:rPr>
              <w:t>（1）多尺度数据协同不足：现有研究往往将长期运行台账、短期 N₂O 实测和生物反应实验分开分析，缺少能够按时间与工艺单元统一匹配的厂级数据体系，难以同时兼顾长期波动、现场真实性和过程机理。</w:t>
            </w:r>
          </w:p>
          <w:p w14:paraId="623AC52D">
            <w:pPr>
              <w:spacing w:before="0" w:after="0" w:line="400" w:lineRule="exact"/>
              <w:ind w:firstLine="480"/>
              <w:jc w:val="both"/>
            </w:pPr>
            <w:r>
              <w:rPr>
                <w:rFonts w:ascii="Times New Roman" w:hAnsi="Times New Roman" w:eastAsia="仿宋_GB2312"/>
                <w:b w:val="0"/>
                <w:sz w:val="24"/>
              </w:rPr>
              <w:t>（2）预测任务与核算公式容易混淆：部分机器学习研究直接使用预测当日的电耗、药耗或由核算公式派生的变量，容易形成信息泄漏；单纯预测总量又会弱化排放源结构，而五分项简单求和可能累积误差，尚缺少兼顾总量精度与分项结构的协调融合方法。</w:t>
            </w:r>
          </w:p>
          <w:p w14:paraId="39030627">
            <w:pPr>
              <w:spacing w:before="0" w:after="0" w:line="400" w:lineRule="exact"/>
              <w:ind w:firstLine="480"/>
              <w:jc w:val="both"/>
            </w:pPr>
            <w:r>
              <w:rPr>
                <w:rFonts w:ascii="Times New Roman" w:hAnsi="Times New Roman" w:eastAsia="仿宋_GB2312"/>
                <w:b w:val="0"/>
                <w:sz w:val="24"/>
              </w:rPr>
              <w:t>（3）模型解释与工程调控连接不足：SHAP 等方法常停留在变量重要性排序，未充分结合生物活性、N₂O 实测和具体工艺单元解释高排放状态，也缺少在出水达标约束下把预测结果转化为曝气、回流、提升和投药措施的完整链条。</w:t>
            </w:r>
          </w:p>
          <w:p w14:paraId="1E84A3A9">
            <w:pPr>
              <w:spacing w:before="0" w:after="0" w:line="400" w:lineRule="exact"/>
              <w:ind w:firstLine="480"/>
              <w:jc w:val="both"/>
            </w:pPr>
            <w:r>
              <w:rPr>
                <w:rFonts w:ascii="Times New Roman" w:hAnsi="Times New Roman" w:eastAsia="仿宋_GB2312"/>
                <w:b w:val="0"/>
                <w:sz w:val="24"/>
              </w:rPr>
              <w:t>（4）跨时间与跨厂泛化验证不足：单厂随机划分得到的高精度并不代表模型可以应对未来时间段或其他污水厂。如何采用时间外测试、双向跨厂验证和排放因子敏感性分析评价模型可靠性，是实现工程应用前必须解决的问题。</w:t>
            </w:r>
          </w:p>
          <w:p w14:paraId="55C9D4BA">
            <w:pPr>
              <w:spacing w:before="0" w:after="0" w:line="400" w:lineRule="exact"/>
              <w:ind w:firstLine="480"/>
              <w:jc w:val="both"/>
            </w:pPr>
            <w:r>
              <w:rPr>
                <w:rFonts w:ascii="Times New Roman" w:hAnsi="Times New Roman" w:eastAsia="仿宋_GB2312"/>
                <w:b w:val="0"/>
                <w:sz w:val="24"/>
              </w:rPr>
              <w:t>为此，本课题拟以常州市城北和江边污水处理厂为研究对象，开展模型构建与评价、两厂碳排放核算与数据整理、关键运行变量分析、气温和降雨影响分析，以及出水标准提高后的碳排放与减排效果预测。已有实验和监测资料用于辅助理解处理过程，研究重点是将预测结果与污水处理厂实际运行问题相联系。</w:t>
            </w:r>
          </w:p>
          <w:p w14:paraId="451D41DA">
            <w:pPr>
              <w:keepNext/>
              <w:spacing w:before="0" w:after="0" w:line="400" w:lineRule="exact"/>
              <w:ind w:firstLine="482" w:firstLineChars="200"/>
              <w:jc w:val="left"/>
            </w:pPr>
            <w:r>
              <w:rPr>
                <w:rFonts w:ascii="Times New Roman" w:hAnsi="Times New Roman" w:eastAsia="仿宋_GB2312"/>
                <w:b/>
                <w:sz w:val="24"/>
              </w:rPr>
              <w:t>3. 主要参考文献</w:t>
            </w:r>
          </w:p>
          <w:p w14:paraId="16396CDB">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w:t>
            </w:r>
            <w:r>
              <w:rPr>
                <w:rFonts w:ascii="Times New Roman" w:hAnsi="Times New Roman" w:eastAsia="仿宋_GB2312"/>
                <w:spacing w:val="0"/>
                <w:w w:val="100"/>
                <w:sz w:val="24"/>
              </w:rPr>
              <w:tab/>
            </w:r>
            <w:r>
              <w:rPr>
                <w:rFonts w:ascii="Times New Roman" w:hAnsi="Times New Roman" w:eastAsia="仿宋_GB2312"/>
                <w:spacing w:val="0"/>
                <w:w w:val="100"/>
                <w:sz w:val="24"/>
              </w:rPr>
              <w:t>YANG M, PENG M, WU D, et al. Greenhouse gas emissions from wastewater treatment plants in China: Historical emissions and future mitigation potentials[J]. Resources, Conservation and Recycling, 2023, 190: 106794.</w:t>
            </w:r>
          </w:p>
          <w:p w14:paraId="2615A829">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[2]</w:t>
            </w:r>
            <w:r>
              <w:rPr>
                <w:rFonts w:ascii="Times New Roman" w:hAnsi="Times New Roman" w:eastAsia="仿宋_GB2312"/>
                <w:spacing w:val="0"/>
                <w:w w:val="100"/>
                <w:sz w:val="24"/>
              </w:rPr>
              <w:tab/>
            </w:r>
            <w:r>
              <w:rPr>
                <w:rFonts w:ascii="Times New Roman" w:hAnsi="Times New Roman" w:eastAsia="仿宋_GB2312"/>
                <w:spacing w:val="0"/>
                <w:w w:val="100"/>
                <w:sz w:val="24"/>
              </w:rPr>
              <w:t>LI L, WANG X, MIAO J, et al. Carbon neutrality of wastewater treatment—A systematic concept beyond the plant boundary[J]. Environmental Science and Ecotechnology, 2022, 11: 100180.</w:t>
            </w:r>
          </w:p>
          <w:p w14:paraId="55B6669B">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[3]</w:t>
            </w:r>
            <w:r>
              <w:rPr>
                <w:rFonts w:ascii="Times New Roman" w:hAnsi="Times New Roman" w:eastAsia="仿宋_GB2312"/>
                <w:spacing w:val="0"/>
                <w:w w:val="100"/>
                <w:sz w:val="24"/>
              </w:rPr>
              <w:tab/>
            </w:r>
            <w:r>
              <w:rPr>
                <w:rFonts w:ascii="Times New Roman" w:hAnsi="Times New Roman" w:eastAsia="仿宋_GB2312"/>
                <w:spacing w:val="0"/>
                <w:w w:val="100"/>
                <w:sz w:val="24"/>
              </w:rPr>
              <w:t>国家市场监督管理总局, 国家标准化管理委员会. GB/T 46725—2025 协同降碳绩效评价 城镇污水处理[S]. 北京: 中国标准出版社, 2025.</w:t>
            </w:r>
          </w:p>
          <w:p w14:paraId="4A51BD36">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[4]</w:t>
            </w:r>
            <w:r>
              <w:rPr>
                <w:rFonts w:ascii="Times New Roman" w:hAnsi="Times New Roman" w:eastAsia="仿宋_GB2312"/>
                <w:spacing w:val="0"/>
                <w:w w:val="100"/>
                <w:sz w:val="24"/>
              </w:rPr>
              <w:tab/>
            </w:r>
            <w:r>
              <w:rPr>
                <w:rFonts w:ascii="Times New Roman" w:hAnsi="Times New Roman" w:eastAsia="仿宋_GB2312"/>
                <w:spacing w:val="0"/>
                <w:w w:val="100"/>
                <w:sz w:val="24"/>
              </w:rPr>
              <w:t>ASADI M, MCPHEDRAN K N. Estimation of greenhouse gas and odour emissions from a cold region municipal biological nutrient removal wastewater treatment plant[J]. Journal of Environmental Management, 2021, 281: 111864.</w:t>
            </w:r>
          </w:p>
          <w:p w14:paraId="5417CE4E">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[5]</w:t>
            </w:r>
            <w:r>
              <w:rPr>
                <w:rFonts w:ascii="Times New Roman" w:hAnsi="Times New Roman" w:eastAsia="仿宋_GB2312"/>
                <w:spacing w:val="0"/>
                <w:w w:val="100"/>
                <w:sz w:val="24"/>
              </w:rPr>
              <w:tab/>
            </w:r>
            <w:r>
              <w:rPr>
                <w:rFonts w:ascii="Times New Roman" w:hAnsi="Times New Roman" w:eastAsia="仿宋_GB2312"/>
                <w:spacing w:val="0"/>
                <w:w w:val="100"/>
                <w:sz w:val="24"/>
              </w:rPr>
              <w:t>HUA H, JIANG S, YUAN Z, et al. Advancing greenhouse gas emission factors for municipal wastewater treatment plants in China[J]. Environmental Pollution, 2022, 295: 118648.</w:t>
            </w:r>
          </w:p>
          <w:p w14:paraId="75E29CF1">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[6]</w:t>
            </w:r>
            <w:r>
              <w:rPr>
                <w:rFonts w:ascii="Times New Roman" w:hAnsi="Times New Roman" w:eastAsia="仿宋_GB2312"/>
                <w:spacing w:val="0"/>
                <w:w w:val="100"/>
                <w:sz w:val="24"/>
              </w:rPr>
              <w:tab/>
            </w:r>
            <w:r>
              <w:rPr>
                <w:rFonts w:ascii="Times New Roman" w:hAnsi="Times New Roman" w:eastAsia="仿宋_GB2312"/>
                <w:spacing w:val="0"/>
                <w:w w:val="100"/>
                <w:sz w:val="24"/>
              </w:rPr>
              <w:t>MA Y, QIAO Y, CHEN M, et al. How small is big enough? Big data-driven machine learning predictions for a full-scale wastewater treatment plant[J]. Water Research, 2025, 274: 123041.</w:t>
            </w:r>
          </w:p>
          <w:p w14:paraId="0B554F9D">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[7]</w:t>
            </w:r>
            <w:r>
              <w:rPr>
                <w:rFonts w:ascii="Times New Roman" w:hAnsi="Times New Roman" w:eastAsia="仿宋_GB2312"/>
                <w:spacing w:val="0"/>
                <w:w w:val="100"/>
                <w:sz w:val="24"/>
              </w:rPr>
              <w:tab/>
            </w:r>
            <w:r>
              <w:rPr>
                <w:rFonts w:ascii="Times New Roman" w:hAnsi="Times New Roman" w:eastAsia="仿宋_GB2312"/>
                <w:spacing w:val="0"/>
                <w:w w:val="100"/>
                <w:sz w:val="24"/>
              </w:rPr>
              <w:t>HUANG L, LI H, LI Y. Greenhouse gas accounting methodologies for wastewater treatment plants: A review[J]. Journal of Cleaner Production, 2024, 448: 141424.</w:t>
            </w:r>
          </w:p>
          <w:p w14:paraId="7A2E5D90">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[8]</w:t>
            </w:r>
            <w:r>
              <w:rPr>
                <w:rFonts w:ascii="Times New Roman" w:hAnsi="Times New Roman" w:eastAsia="仿宋_GB2312"/>
                <w:spacing w:val="0"/>
                <w:w w:val="100"/>
                <w:sz w:val="24"/>
              </w:rPr>
              <w:tab/>
            </w:r>
            <w:r>
              <w:rPr>
                <w:rFonts w:ascii="Times New Roman" w:hAnsi="Times New Roman" w:eastAsia="仿宋_GB2312"/>
                <w:spacing w:val="0"/>
                <w:w w:val="100"/>
                <w:sz w:val="24"/>
              </w:rPr>
              <w:t>WU Z, DUAN H, LI K, et al. A comprehensive carbon footprint analysis of different wastewater treatment plant configurations[J]. Environmental Research, 2022, 214: 113818.</w:t>
            </w:r>
          </w:p>
          <w:p w14:paraId="7DFB67E3">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[9]</w:t>
            </w:r>
            <w:r>
              <w:rPr>
                <w:rFonts w:ascii="Times New Roman" w:hAnsi="Times New Roman" w:eastAsia="仿宋_GB2312"/>
                <w:spacing w:val="0"/>
                <w:w w:val="100"/>
                <w:sz w:val="24"/>
              </w:rPr>
              <w:tab/>
            </w:r>
            <w:r>
              <w:rPr>
                <w:rFonts w:ascii="Times New Roman" w:hAnsi="Times New Roman" w:eastAsia="仿宋_GB2312"/>
                <w:spacing w:val="0"/>
                <w:w w:val="100"/>
                <w:sz w:val="24"/>
              </w:rPr>
              <w:t>INTERGOVERNMENTAL PANEL ON CLIMATE CHANGE. 2019 Refinement to the 2006 IPCC Guidelines for National Greenhouse Gas Inventories: Volume 5 Waste, Chapter 6 Wastewater Treatment and Discharge[R]. Geneva: IPCC, 2019.</w:t>
            </w:r>
          </w:p>
          <w:p w14:paraId="2668397E">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[10]</w:t>
            </w:r>
            <w:r>
              <w:rPr>
                <w:rFonts w:ascii="Times New Roman" w:hAnsi="Times New Roman" w:eastAsia="仿宋_GB2312"/>
                <w:spacing w:val="0"/>
                <w:w w:val="100"/>
                <w:sz w:val="24"/>
              </w:rPr>
              <w:tab/>
            </w:r>
            <w:r>
              <w:rPr>
                <w:rFonts w:ascii="Times New Roman" w:hAnsi="Times New Roman" w:eastAsia="仿宋_GB2312"/>
                <w:spacing w:val="0"/>
                <w:w w:val="100"/>
                <w:sz w:val="24"/>
              </w:rPr>
              <w:t>王浩宇, 张秀平, 李俐频, 田禹. 3种碳排放核算框架验证与工艺碳排放特征分析[J/OL]. 工业水处理, 2026. DOI:10.19965/j.cnki.iwt.2025-0488.</w:t>
            </w:r>
          </w:p>
          <w:p w14:paraId="162B2FE9">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[11]</w:t>
            </w:r>
            <w:r>
              <w:rPr>
                <w:rFonts w:ascii="Times New Roman" w:hAnsi="Times New Roman" w:eastAsia="仿宋_GB2312"/>
                <w:spacing w:val="0"/>
                <w:w w:val="100"/>
                <w:sz w:val="24"/>
              </w:rPr>
              <w:tab/>
            </w:r>
            <w:r>
              <w:rPr>
                <w:rFonts w:ascii="Times New Roman" w:hAnsi="Times New Roman" w:eastAsia="仿宋_GB2312"/>
                <w:spacing w:val="0"/>
                <w:w w:val="100"/>
                <w:sz w:val="24"/>
              </w:rPr>
              <w:t>李激, 陈灿, 陈思思, 等. 常州市某污水处理厂碳排放特征与非二温室气体排放特征实测研究[J]. 给水排水, 2025, 51(12): 42-49.</w:t>
            </w:r>
          </w:p>
          <w:p w14:paraId="6491FB1B">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[12]</w:t>
            </w:r>
            <w:r>
              <w:rPr>
                <w:rFonts w:ascii="Times New Roman" w:hAnsi="Times New Roman" w:eastAsia="仿宋_GB2312"/>
                <w:spacing w:val="0"/>
                <w:w w:val="100"/>
                <w:sz w:val="24"/>
              </w:rPr>
              <w:tab/>
            </w:r>
            <w:r>
              <w:rPr>
                <w:rFonts w:ascii="Times New Roman" w:hAnsi="Times New Roman" w:eastAsia="仿宋_GB2312"/>
                <w:spacing w:val="0"/>
                <w:w w:val="100"/>
                <w:sz w:val="24"/>
              </w:rPr>
              <w:t>HE X, LI Z, XING C, et al. Carbon footprint of a conventional wastewater treatment plant: An analysis of water-energy nexus from life cycle perspective for emission reduction[J]. Journal of Cleaner Production, 2023, 429: 139562.</w:t>
            </w:r>
          </w:p>
          <w:p w14:paraId="7DC85E2F">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[13]</w:t>
            </w:r>
            <w:r>
              <w:rPr>
                <w:rFonts w:ascii="Times New Roman" w:hAnsi="Times New Roman" w:eastAsia="仿宋_GB2312"/>
                <w:spacing w:val="0"/>
                <w:w w:val="100"/>
                <w:sz w:val="24"/>
              </w:rPr>
              <w:tab/>
            </w:r>
            <w:r>
              <w:rPr>
                <w:rFonts w:ascii="Times New Roman" w:hAnsi="Times New Roman" w:eastAsia="仿宋_GB2312"/>
                <w:spacing w:val="0"/>
                <w:w w:val="100"/>
                <w:sz w:val="24"/>
              </w:rPr>
              <w:t>郑晓英, 胡天星, 邓雄成, 等. 典型A²/O工艺城镇污水处理厂碳排放核算、影响因素及碳减排路径研究[J/OL]. 环境工程, 2025.</w:t>
            </w:r>
          </w:p>
          <w:p w14:paraId="0E3AD9F0">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[14]</w:t>
            </w:r>
            <w:r>
              <w:rPr>
                <w:rFonts w:ascii="Times New Roman" w:hAnsi="Times New Roman" w:eastAsia="仿宋_GB2312"/>
                <w:spacing w:val="0"/>
                <w:w w:val="100"/>
                <w:sz w:val="24"/>
              </w:rPr>
              <w:tab/>
            </w:r>
            <w:r>
              <w:rPr>
                <w:rFonts w:ascii="Times New Roman" w:hAnsi="Times New Roman" w:eastAsia="仿宋_GB2312"/>
                <w:spacing w:val="0"/>
                <w:w w:val="100"/>
                <w:sz w:val="24"/>
              </w:rPr>
              <w:t>蒋富海, 王琴, 张显忠, 等. 城镇污水处理厂碳排放核算及减碳案例分析[J]. 给水排水, 2023, 49(2): 42-49.</w:t>
            </w:r>
          </w:p>
          <w:p w14:paraId="73222FD9">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[15]</w:t>
            </w:r>
            <w:r>
              <w:rPr>
                <w:rFonts w:ascii="Times New Roman" w:hAnsi="Times New Roman" w:eastAsia="仿宋_GB2312"/>
                <w:spacing w:val="0"/>
                <w:w w:val="100"/>
                <w:sz w:val="24"/>
              </w:rPr>
              <w:tab/>
            </w:r>
            <w:r>
              <w:rPr>
                <w:rFonts w:ascii="Times New Roman" w:hAnsi="Times New Roman" w:eastAsia="仿宋_GB2312"/>
                <w:spacing w:val="0"/>
                <w:w w:val="100"/>
                <w:sz w:val="24"/>
              </w:rPr>
              <w:t>LI K, DUAN H, LIU L, et al. An integrated first principal and deep learning approach for modeling nitrous oxide emissions from wastewater treatment plants[J]. Environmental Science &amp; Technology, 2022, 56(4): 2816-2826.</w:t>
            </w:r>
          </w:p>
          <w:p w14:paraId="6A147D30">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[16]</w:t>
            </w:r>
            <w:r>
              <w:rPr>
                <w:rFonts w:ascii="Times New Roman" w:hAnsi="Times New Roman" w:eastAsia="仿宋_GB2312"/>
                <w:spacing w:val="0"/>
                <w:w w:val="100"/>
                <w:sz w:val="24"/>
              </w:rPr>
              <w:tab/>
            </w:r>
            <w:r>
              <w:rPr>
                <w:rFonts w:ascii="Times New Roman" w:hAnsi="Times New Roman" w:eastAsia="仿宋_GB2312"/>
                <w:spacing w:val="0"/>
                <w:w w:val="100"/>
                <w:sz w:val="24"/>
              </w:rPr>
              <w:t>YUN J, YU Y, TAO C, et al. Machine learning-based optimization of enhanced nitrogen removal in a full-scale urban wastewater treatment plant with ecological combination ponds[J]. Water Research, 2025, 285: 123976.</w:t>
            </w:r>
          </w:p>
          <w:p w14:paraId="72593491">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[17]</w:t>
            </w:r>
            <w:r>
              <w:rPr>
                <w:rFonts w:ascii="Times New Roman" w:hAnsi="Times New Roman" w:eastAsia="仿宋_GB2312"/>
                <w:spacing w:val="0"/>
                <w:w w:val="100"/>
                <w:sz w:val="24"/>
              </w:rPr>
              <w:tab/>
            </w:r>
            <w:r>
              <w:rPr>
                <w:rFonts w:ascii="Times New Roman" w:hAnsi="Times New Roman" w:eastAsia="仿宋_GB2312"/>
                <w:spacing w:val="0"/>
                <w:w w:val="100"/>
                <w:sz w:val="24"/>
              </w:rPr>
              <w:t>WANG Y Q, WANG H C, SONG Y P, et al. Machine learning framework for intelligent aeration control in wastewater treatment plants: Automatic feature engineering based on variation sliding layer[J]. Water Research, 2023, 246: 120676.</w:t>
            </w:r>
          </w:p>
          <w:p w14:paraId="19B2C4FE">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[18]</w:t>
            </w:r>
            <w:r>
              <w:rPr>
                <w:rFonts w:ascii="Times New Roman" w:hAnsi="Times New Roman" w:eastAsia="仿宋_GB2312"/>
                <w:spacing w:val="0"/>
                <w:w w:val="100"/>
                <w:sz w:val="24"/>
              </w:rPr>
              <w:tab/>
            </w:r>
            <w:r>
              <w:rPr>
                <w:rFonts w:ascii="Times New Roman" w:hAnsi="Times New Roman" w:eastAsia="仿宋_GB2312"/>
                <w:spacing w:val="0"/>
                <w:w w:val="100"/>
                <w:sz w:val="24"/>
              </w:rPr>
              <w:t>XU R, LI Y, LUO Y, et al. Prediction and evaluation of indirect carbon emission from electrical consumption in multiple full-scale wastewater treatment plants via automated machine learning-based analysis[J]. ACS ES&amp;T Engineering, 2023, 3(3): 360-372.</w:t>
            </w:r>
          </w:p>
          <w:p w14:paraId="28FE9877">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[19]</w:t>
            </w:r>
            <w:r>
              <w:rPr>
                <w:rFonts w:ascii="Times New Roman" w:hAnsi="Times New Roman" w:eastAsia="仿宋_GB2312"/>
                <w:spacing w:val="0"/>
                <w:w w:val="100"/>
                <w:sz w:val="24"/>
              </w:rPr>
              <w:tab/>
            </w:r>
            <w:r>
              <w:rPr>
                <w:rFonts w:ascii="Times New Roman" w:hAnsi="Times New Roman" w:eastAsia="仿宋_GB2312"/>
                <w:spacing w:val="0"/>
                <w:w w:val="100"/>
                <w:sz w:val="24"/>
              </w:rPr>
              <w:t>KHALIL M, ALSAYED A, LIU Y, et al. Machine learning for modeling N₂O emissions from wastewater treatment plants: Aligning model performance, complexity, and interpretability[J]. Water Research, 2023, 245: 120667.</w:t>
            </w:r>
          </w:p>
          <w:p w14:paraId="29861DF8">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[20]</w:t>
            </w:r>
            <w:r>
              <w:rPr>
                <w:rFonts w:ascii="Times New Roman" w:hAnsi="Times New Roman" w:eastAsia="仿宋_GB2312"/>
                <w:spacing w:val="0"/>
                <w:w w:val="100"/>
                <w:sz w:val="24"/>
              </w:rPr>
              <w:tab/>
            </w:r>
            <w:r>
              <w:rPr>
                <w:rFonts w:ascii="Times New Roman" w:hAnsi="Times New Roman" w:eastAsia="仿宋_GB2312"/>
                <w:spacing w:val="0"/>
                <w:w w:val="100"/>
                <w:sz w:val="24"/>
              </w:rPr>
              <w:t>SESHAN S, POINAPEN J, ZANDVOORT M H, et al. Forecasting nitrous oxide emissions from a full-scale wastewater treatment plant using LSTM-based deep learning models[J]. Water Research, 2025, 268: 122754.</w:t>
            </w:r>
          </w:p>
          <w:p w14:paraId="4747EC51">
            <w:pPr>
              <w:tabs>
                <w:tab w:val="left" w:pos="510"/>
              </w:tabs>
              <w:wordWrap/>
              <w:autoSpaceDE w:val="0"/>
              <w:autoSpaceDN w:val="0"/>
              <w:adjustRightInd w:val="0"/>
              <w:snapToGrid w:val="0"/>
              <w:spacing w:before="0" w:after="0" w:line="400" w:lineRule="exact"/>
              <w:ind w:left="510" w:right="0" w:hanging="510"/>
              <w:jc w:val="left"/>
            </w:pPr>
            <w:r>
              <w:rPr>
                <w:rFonts w:ascii="Times New Roman" w:hAnsi="Times New Roman" w:eastAsia="仿宋_GB2312"/>
                <w:spacing w:val="0"/>
                <w:w w:val="100"/>
                <w:sz w:val="24"/>
              </w:rPr>
              <w:t>[21]</w:t>
            </w:r>
            <w:r>
              <w:rPr>
                <w:rFonts w:ascii="Times New Roman" w:hAnsi="Times New Roman" w:eastAsia="仿宋_GB2312"/>
                <w:spacing w:val="0"/>
                <w:w w:val="100"/>
                <w:sz w:val="24"/>
              </w:rPr>
              <w:tab/>
            </w:r>
            <w:r>
              <w:rPr>
                <w:rFonts w:ascii="Times New Roman" w:hAnsi="Times New Roman" w:eastAsia="仿宋_GB2312"/>
                <w:spacing w:val="0"/>
                <w:w w:val="100"/>
                <w:sz w:val="24"/>
              </w:rPr>
              <w:t>WANG H C, WANG Y Q, WANG X, et al. Multimodal machine learning guides low carbon aeration strategies in urban wastewater treatment[J]. Engineering, 2024, 36: 51-62.</w:t>
            </w:r>
          </w:p>
          <w:p w14:paraId="59E89549">
            <w:pPr>
              <w:keepNext w:val="0"/>
              <w:keepLines w:val="0"/>
              <w:pageBreakBefore w:val="0"/>
              <w:widowControl w:val="0"/>
              <w:tabs>
                <w:tab w:val="left" w:pos="510"/>
              </w:tabs>
              <w:kinsoku/>
              <w:wordWrap/>
              <w:overflowPunct/>
              <w:topLinePunct w:val="0"/>
              <w:autoSpaceDE w:val="0"/>
              <w:autoSpaceDN w:val="0"/>
              <w:bidi w:val="0"/>
              <w:adjustRightInd w:val="0"/>
              <w:snapToGrid w:val="0"/>
              <w:spacing w:before="0" w:after="0" w:line="400" w:lineRule="exact"/>
              <w:ind w:left="510" w:right="0" w:hanging="510"/>
              <w:jc w:val="left"/>
            </w:pPr>
            <w:r>
              <w:rPr>
                <w:rFonts w:ascii="Times New Roman" w:hAnsi="Times New Roman" w:eastAsia="仿宋_GB2312"/>
                <w:spacing w:val="0"/>
                <w:w w:val="100"/>
                <w:sz w:val="24"/>
              </w:rPr>
              <w:t>[22]</w:t>
            </w:r>
            <w:r>
              <w:rPr>
                <w:rFonts w:ascii="Times New Roman" w:hAnsi="Times New Roman" w:eastAsia="仿宋_GB2312"/>
                <w:spacing w:val="0"/>
                <w:w w:val="100"/>
                <w:sz w:val="24"/>
              </w:rPr>
              <w:tab/>
            </w:r>
            <w:r>
              <w:rPr>
                <w:rFonts w:ascii="Times New Roman" w:hAnsi="Times New Roman" w:eastAsia="仿宋_GB2312"/>
                <w:spacing w:val="0"/>
                <w:w w:val="100"/>
                <w:sz w:val="24"/>
              </w:rPr>
              <w:t>JIANG J, WU Z, ZHANG G, et al. WaterMAP: A scalable machine learning framework for emission-factor-derived spatiotemporal GHG prediction and mitigation in wastewater treatment plants[J]. Environmental Science &amp; Technology, 2026. DOI:10.1021/acs.est.6c03422.</w:t>
            </w:r>
          </w:p>
        </w:tc>
      </w:tr>
      <w:tr w14:paraId="79A488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76" w:hRule="atLeast"/>
          <w:jc w:val="center"/>
        </w:trPr>
        <w:tc>
          <w:tcPr>
            <w:tcW w:w="9498" w:type="dxa"/>
            <w:tcBorders>
              <w:top w:val="nil"/>
              <w:left w:val="nil"/>
              <w:bottom w:val="nil"/>
              <w:right w:val="nil"/>
              <w:insideH w:val="nil"/>
              <w:insideV w:val="nil"/>
              <w:tl2br w:val="nil"/>
              <w:tr2bl w:val="nil"/>
            </w:tcBorders>
            <w:vAlign w:val="top"/>
          </w:tcPr>
          <w:p w14:paraId="27D8DBF8">
            <w:pPr>
              <w:spacing w:before="0" w:after="0" w:line="400" w:lineRule="exact"/>
              <w:ind w:left="360" w:hanging="360"/>
              <w:jc w:val="both"/>
              <w:rPr>
                <w:rFonts w:ascii="Times New Roman" w:hAnsi="Times New Roman" w:eastAsia="仿宋_GB2312"/>
                <w:b w:val="0"/>
                <w:sz w:val="24"/>
              </w:rPr>
            </w:pPr>
          </w:p>
        </w:tc>
      </w:tr>
    </w:tbl>
    <w:p w14:paraId="1BC566ED">
      <w:pPr>
        <w:keepNext/>
        <w:keepLines/>
        <w:pageBreakBefore w:val="0"/>
        <w:widowControl w:val="0"/>
        <w:kinsoku/>
        <w:overflowPunct/>
        <w:autoSpaceDE/>
        <w:bidi w:val="0"/>
        <w:snapToGrid w:val="0"/>
        <w:spacing w:line="560" w:lineRule="exact"/>
        <w:textAlignment w:val="auto"/>
        <w:rPr>
          <w:rFonts w:ascii="黑体" w:hAnsi="黑体" w:eastAsia="黑体" w:cs="黑体"/>
          <w:b w:val="0"/>
          <w:bCs w:val="0"/>
          <w:color w:val="000000"/>
          <w:sz w:val="28"/>
          <w:szCs w:val="28"/>
        </w:rPr>
      </w:pPr>
      <w:r>
        <w:rPr>
          <w:rFonts w:ascii="黑体" w:hAnsi="黑体" w:eastAsia="黑体" w:cs="黑体"/>
          <w:b w:val="0"/>
          <w:bCs w:val="0"/>
          <w:color w:val="000000"/>
          <w:sz w:val="28"/>
          <w:szCs w:val="28"/>
        </w:rPr>
        <w:t>三</w:t>
      </w:r>
      <w:r>
        <w:rPr>
          <w:rFonts w:ascii="黑体" w:hAnsi="黑体" w:eastAsia="黑体" w:cs="黑体"/>
          <w:b w:val="0"/>
          <w:bCs w:val="0"/>
          <w:color w:val="000000"/>
          <w:sz w:val="28"/>
          <w:szCs w:val="28"/>
          <w:lang w:eastAsia="zh-CN"/>
        </w:rPr>
        <w:t>、</w:t>
      </w:r>
      <w:r>
        <w:rPr>
          <w:rFonts w:ascii="黑体" w:hAnsi="黑体" w:eastAsia="黑体" w:cs="黑体"/>
          <w:b w:val="0"/>
          <w:bCs w:val="0"/>
          <w:color w:val="000000"/>
          <w:sz w:val="28"/>
          <w:szCs w:val="28"/>
        </w:rPr>
        <w:t>研究内容，研究目标，拟解决的关键问题以及方法</w:t>
      </w:r>
    </w:p>
    <w:tbl>
      <w:tblPr>
        <w:tblStyle w:val="11"/>
        <w:tblW w:w="9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98"/>
      </w:tblGrid>
      <w:tr w14:paraId="3CC6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73" w:hRule="atLeast"/>
          <w:jc w:val="center"/>
        </w:trPr>
        <w:tc>
          <w:tcPr>
            <w:tcW w:w="9498" w:type="dxa"/>
            <w:tcBorders>
              <w:top w:val="nil"/>
              <w:left w:val="nil"/>
              <w:bottom w:val="nil"/>
              <w:right w:val="nil"/>
              <w:insideH w:val="nil"/>
              <w:insideV w:val="nil"/>
              <w:tl2br w:val="nil"/>
              <w:tr2bl w:val="nil"/>
            </w:tcBorders>
            <w:vAlign w:val="top"/>
          </w:tcPr>
          <w:p w14:paraId="462CEE8F">
            <w:pPr>
              <w:keepNext/>
              <w:spacing w:before="0" w:after="0" w:line="400" w:lineRule="exact"/>
              <w:ind w:firstLine="0"/>
              <w:jc w:val="left"/>
            </w:pPr>
            <w:r>
              <w:rPr>
                <w:rFonts w:ascii="Times New Roman" w:hAnsi="Times New Roman" w:eastAsia="仿宋_GB2312"/>
                <w:b/>
                <w:sz w:val="24"/>
              </w:rPr>
              <w:t>1. 研究内容</w:t>
            </w:r>
            <w:r>
              <w:commentReference w:id="0"/>
            </w:r>
          </w:p>
          <w:p w14:paraId="0536D004">
            <w:pPr>
              <w:spacing w:before="0" w:after="0" w:line="400" w:lineRule="exact"/>
              <w:ind w:firstLine="480"/>
              <w:jc w:val="both"/>
            </w:pPr>
            <w:r>
              <w:rPr>
                <w:rFonts w:ascii="Times New Roman" w:hAnsi="Times New Roman" w:eastAsia="仿宋_GB2312"/>
                <w:b w:val="0"/>
                <w:sz w:val="24"/>
              </w:rPr>
              <w:t>（1）机器学习模型构建及评价：利用污水处理厂运行数据建立碳排放预测模型，比较单一模型与 PI-DPCH 组合模型的预测效果。按照时间先后划分训练和测试数据，采用决定系数、平均绝对误差和均方根误差等指标评价模型，并检验模型在两座污水处理厂中的适用情况，选择预测准确、结果稳定的模型。</w:t>
            </w:r>
          </w:p>
          <w:p w14:paraId="73B3BB51">
            <w:pPr>
              <w:spacing w:before="0" w:after="0" w:line="400" w:lineRule="exact"/>
              <w:ind w:firstLine="480"/>
              <w:jc w:val="both"/>
            </w:pPr>
            <w:r>
              <w:rPr>
                <w:rFonts w:ascii="Times New Roman" w:hAnsi="Times New Roman" w:eastAsia="仿宋_GB2312"/>
                <w:b w:val="0"/>
                <w:sz w:val="24"/>
              </w:rPr>
              <w:t>（2）两座污水处理厂碳排放核算与多源数据整理：以常州市城北和江边污水处理厂为对象，整理运行记录、水质检测、用电、药剂使用及气象数据，按日期建立数据库。统一核算范围和计算方法，计算两厂碳排放总量及电耗、药耗和处理过程等不同来源的排放，比较不同年份、季节及两厂之间的差异，分析各项参数与碳排放的关系。</w:t>
            </w:r>
          </w:p>
          <w:p w14:paraId="03FB0D78">
            <w:pPr>
              <w:spacing w:before="0" w:after="0" w:line="400" w:lineRule="exact"/>
              <w:ind w:firstLine="480"/>
              <w:jc w:val="both"/>
            </w:pPr>
            <w:r>
              <w:rPr>
                <w:rFonts w:ascii="Times New Roman" w:hAnsi="Times New Roman" w:eastAsia="仿宋_GB2312"/>
                <w:b w:val="0"/>
                <w:sz w:val="24"/>
              </w:rPr>
              <w:t>（3）关键运行变量对碳排放的影响及预测：重点分析电耗、进水水量、进水 BOD₅ 负荷、进水 COD 负荷及污染物去除率与碳排放的关系。污染物去除率按 COD、BOD₅、氨氮、TN、TP 五项指标计算，进水负荷根据进水浓度与水量计算。在此基础上识别主要影响因素，预测不同运行条件下的碳排放变化，并比较两厂的差异。</w:t>
            </w:r>
          </w:p>
          <w:p w14:paraId="353BDC0F">
            <w:pPr>
              <w:spacing w:before="0" w:after="0" w:line="400" w:lineRule="exact"/>
              <w:ind w:firstLine="480"/>
              <w:jc w:val="both"/>
            </w:pPr>
            <w:r>
              <w:rPr>
                <w:rFonts w:ascii="Times New Roman" w:hAnsi="Times New Roman" w:eastAsia="仿宋_GB2312"/>
                <w:b w:val="0"/>
                <w:sz w:val="24"/>
              </w:rPr>
              <w:t>（4）气温和降雨变化对碳排放的影响：将当地气温、降雨量与两厂同期运行数据对应，分析不同气温和降雨条件下进水水量、水质、电耗及碳排放的变化，关注低温和较强降雨时段。结合预测模型，估计气温和降雨变化条件下的碳排放及减排幅度，并区分环境气温与处理水温的影响。</w:t>
            </w:r>
          </w:p>
          <w:p w14:paraId="6408D119">
            <w:pPr>
              <w:spacing w:before="0" w:after="0" w:line="400" w:lineRule="exact"/>
              <w:ind w:firstLine="480"/>
              <w:jc w:val="both"/>
            </w:pPr>
            <w:r>
              <w:rPr>
                <w:rFonts w:ascii="Times New Roman" w:hAnsi="Times New Roman" w:eastAsia="仿宋_GB2312"/>
                <w:b w:val="0"/>
                <w:sz w:val="24"/>
              </w:rPr>
              <w:t>（5）排放标准提高对碳排放及减排效果的影响预测：以两厂现行出水要求为基础，设置更严格的出水水质要求，分析污染物去除要求提高后电耗、药耗和碳排放可能发生的变化。结合历史运行记录和可获得的提标运行资料，比较不同标准下的碳排放及节电、合理投药等措施的减排效果，为兼顾出水达标与降低碳排放提供参考。</w:t>
            </w:r>
          </w:p>
          <w:p w14:paraId="71142C1B">
            <w:pPr>
              <w:keepNext/>
              <w:spacing w:before="0" w:after="0" w:line="400" w:lineRule="exact"/>
              <w:ind w:firstLine="482" w:firstLineChars="200"/>
              <w:jc w:val="left"/>
            </w:pPr>
            <w:r>
              <w:rPr>
                <w:rFonts w:ascii="Times New Roman" w:hAnsi="Times New Roman" w:eastAsia="仿宋_GB2312"/>
                <w:b/>
                <w:sz w:val="24"/>
              </w:rPr>
              <w:t>2. 研究目标</w:t>
            </w:r>
          </w:p>
          <w:p w14:paraId="1BD01E44">
            <w:pPr>
              <w:spacing w:before="0" w:after="0" w:line="400" w:lineRule="exact"/>
              <w:ind w:firstLine="480"/>
              <w:jc w:val="both"/>
            </w:pPr>
            <w:r>
              <w:rPr>
                <w:rFonts w:ascii="Times New Roman" w:hAnsi="Times New Roman" w:eastAsia="仿宋_GB2312"/>
                <w:b w:val="0"/>
                <w:sz w:val="24"/>
              </w:rPr>
              <w:t>总目标：以常州市城北和江边污水处理厂为对象，核算两厂碳排放并建立预测模型，明确主要运行变量、气温、降雨及出水标准变化与碳排放的关系，比较不同条件下的减排效果，为污水处理厂在保证出水达标的前提下降低碳排放提供依据。</w:t>
            </w:r>
          </w:p>
          <w:p w14:paraId="798116DB">
            <w:pPr>
              <w:spacing w:before="0" w:after="0" w:line="400" w:lineRule="exact"/>
              <w:ind w:firstLine="480"/>
              <w:jc w:val="both"/>
            </w:pPr>
            <w:r>
              <w:rPr>
                <w:rFonts w:ascii="Times New Roman" w:hAnsi="Times New Roman" w:eastAsia="仿宋_GB2312"/>
                <w:b w:val="0"/>
                <w:sz w:val="24"/>
              </w:rPr>
              <w:t>具体目标：</w:t>
            </w:r>
          </w:p>
          <w:p w14:paraId="716A6FBE">
            <w:pPr>
              <w:spacing w:before="0" w:after="0" w:line="400" w:lineRule="exact"/>
              <w:ind w:firstLine="480"/>
              <w:jc w:val="both"/>
            </w:pPr>
            <w:r>
              <w:rPr>
                <w:rFonts w:ascii="Times New Roman" w:hAnsi="Times New Roman" w:eastAsia="仿宋_GB2312"/>
                <w:b w:val="0"/>
                <w:sz w:val="24"/>
              </w:rPr>
              <w:t>（1）建立碳排放预测模型，比较不同模型的准确性和稳定性，明确模型在不同时间段及两座污水处理厂中的适用情况。</w:t>
            </w:r>
          </w:p>
          <w:p w14:paraId="59892E6E">
            <w:pPr>
              <w:spacing w:before="0" w:after="0" w:line="400" w:lineRule="exact"/>
              <w:ind w:firstLine="480"/>
              <w:jc w:val="both"/>
            </w:pPr>
            <w:r>
              <w:rPr>
                <w:rFonts w:ascii="Times New Roman" w:hAnsi="Times New Roman" w:eastAsia="仿宋_GB2312"/>
                <w:b w:val="0"/>
                <w:sz w:val="24"/>
              </w:rPr>
              <w:t>（2）建立包括运行、水质、能耗、药耗和气象信息的数据库，完成两厂碳排放总量及各来源排放的核算，掌握两厂主要排放来源和变化特点。</w:t>
            </w:r>
          </w:p>
          <w:p w14:paraId="77F01E9D">
            <w:pPr>
              <w:spacing w:before="0" w:after="0" w:line="400" w:lineRule="exact"/>
              <w:ind w:firstLine="480"/>
              <w:jc w:val="both"/>
            </w:pPr>
            <w:r>
              <w:rPr>
                <w:rFonts w:ascii="Times New Roman" w:hAnsi="Times New Roman" w:eastAsia="仿宋_GB2312"/>
                <w:b w:val="0"/>
                <w:sz w:val="24"/>
              </w:rPr>
              <w:t>（3）明确电耗、进水水量、BOD₅ 和 COD 进水负荷，以及 COD、BOD₅、氨氮、TN、TP 去除率与碳排放的关系，找出重点关注的运行变量。</w:t>
            </w:r>
          </w:p>
          <w:p w14:paraId="1E88459D">
            <w:pPr>
              <w:spacing w:before="0" w:after="0" w:line="400" w:lineRule="exact"/>
              <w:ind w:firstLine="480"/>
              <w:jc w:val="both"/>
            </w:pPr>
            <w:r>
              <w:rPr>
                <w:rFonts w:ascii="Times New Roman" w:hAnsi="Times New Roman" w:eastAsia="仿宋_GB2312"/>
                <w:b w:val="0"/>
                <w:sz w:val="24"/>
              </w:rPr>
              <w:t>（4）分析气温和降雨变化对两厂碳排放及减排效果的影响，识别低温、较强降雨等条件下需要关注的运行变化。</w:t>
            </w:r>
          </w:p>
          <w:p w14:paraId="53B86EE0">
            <w:pPr>
              <w:spacing w:before="0" w:after="0" w:line="400" w:lineRule="exact"/>
              <w:ind w:firstLine="480"/>
              <w:jc w:val="both"/>
            </w:pPr>
            <w:r>
              <w:rPr>
                <w:rFonts w:ascii="Times New Roman" w:hAnsi="Times New Roman" w:eastAsia="仿宋_GB2312"/>
                <w:b w:val="0"/>
                <w:sz w:val="24"/>
              </w:rPr>
              <w:t>（5）预测出水标准提高后碳排放可能增加的程度，比较不同出水要求下的减排效果，提出与两厂实际条件相适应的运行建议。</w:t>
            </w:r>
          </w:p>
          <w:p w14:paraId="174E09EC">
            <w:pPr>
              <w:keepNext/>
              <w:spacing w:before="0" w:after="0" w:line="400" w:lineRule="exact"/>
              <w:ind w:firstLine="482" w:firstLineChars="200"/>
              <w:jc w:val="left"/>
            </w:pPr>
            <w:r>
              <w:rPr>
                <w:rFonts w:ascii="Times New Roman" w:hAnsi="Times New Roman" w:eastAsia="仿宋_GB2312"/>
                <w:b/>
                <w:sz w:val="24"/>
              </w:rPr>
              <w:t>3. 拟解决的关键问题</w:t>
            </w:r>
          </w:p>
          <w:p w14:paraId="7BE13B9E">
            <w:pPr>
              <w:spacing w:before="0" w:after="0" w:line="400" w:lineRule="exact"/>
              <w:ind w:firstLine="480"/>
              <w:jc w:val="both"/>
            </w:pPr>
            <w:r>
              <w:rPr>
                <w:rFonts w:ascii="Times New Roman" w:hAnsi="Times New Roman" w:eastAsia="仿宋_GB2312"/>
                <w:b w:val="0"/>
                <w:sz w:val="24"/>
              </w:rPr>
              <w:t>（1）如何判断预测模型是否准确可靠。需要按时间先后检验预测效果，避免将预测时尚未获得的数据用于建模，并比较模型在两厂和不同季节的表现，明确适用范围。</w:t>
            </w:r>
          </w:p>
          <w:p w14:paraId="785D68A1">
            <w:pPr>
              <w:spacing w:before="0" w:after="0" w:line="400" w:lineRule="exact"/>
              <w:ind w:firstLine="480"/>
              <w:jc w:val="both"/>
            </w:pPr>
            <w:r>
              <w:rPr>
                <w:rFonts w:ascii="Times New Roman" w:hAnsi="Times New Roman" w:eastAsia="仿宋_GB2312"/>
                <w:b w:val="0"/>
                <w:sz w:val="24"/>
              </w:rPr>
              <w:t>（2）如何统一两厂碳排放核算方法并整理不同来源的数据。两厂运行记录、水质、能耗、药耗和气象数据的单位、记录时间和完整程度可能不同，需要统一核算范围、日期和单位，核对缺失及异常记录，保证结果可以比较。</w:t>
            </w:r>
          </w:p>
          <w:p w14:paraId="59F8228B">
            <w:pPr>
              <w:spacing w:before="0" w:after="0" w:line="400" w:lineRule="exact"/>
              <w:ind w:firstLine="480"/>
              <w:jc w:val="both"/>
            </w:pPr>
            <w:r>
              <w:rPr>
                <w:rFonts w:ascii="Times New Roman" w:hAnsi="Times New Roman" w:eastAsia="仿宋_GB2312"/>
                <w:b w:val="0"/>
                <w:sz w:val="24"/>
              </w:rPr>
              <w:t>（3）哪些运行变量与碳排放变化关系最密切。需要比较电耗、进水水量、BOD₅ 和 COD 进水负荷以及五项污染物去除率的影响，同时注意水量、浓度和负荷之间的联系，避免把计算公式中的关系直接解释为处理过程中的因果关系。</w:t>
            </w:r>
          </w:p>
          <w:p w14:paraId="5C89467D">
            <w:pPr>
              <w:spacing w:before="0" w:after="0" w:line="400" w:lineRule="exact"/>
              <w:ind w:firstLine="480"/>
              <w:jc w:val="both"/>
            </w:pPr>
            <w:r>
              <w:rPr>
                <w:rFonts w:ascii="Times New Roman" w:hAnsi="Times New Roman" w:eastAsia="仿宋_GB2312"/>
                <w:b w:val="0"/>
                <w:sz w:val="24"/>
              </w:rPr>
              <w:t>（4）如何分析气温和降雨变化的影响。气温、降雨和进水负荷往往同时变化，需要结合季节和运行条件进行比较，分析其与水量、水质及用电变化的关系，明确不同天气条件下碳排放预测的可靠程度。</w:t>
            </w:r>
          </w:p>
          <w:p w14:paraId="3BE550B0">
            <w:pPr>
              <w:spacing w:before="0" w:after="0" w:line="400" w:lineRule="exact"/>
              <w:ind w:firstLine="480"/>
              <w:jc w:val="both"/>
            </w:pPr>
            <w:r>
              <w:rPr>
                <w:rFonts w:ascii="Times New Roman" w:hAnsi="Times New Roman" w:eastAsia="仿宋_GB2312"/>
                <w:b w:val="0"/>
                <w:sz w:val="24"/>
              </w:rPr>
              <w:t>（5）如何预测提标后的碳排放并提出合理的减排建议。出水要求提高可能改变处理负荷、电耗和药耗，需要依据实际运行或提标资料设置预测条件，比较不同标准下的排放与减排效果，并说明缺少对应运行数据时预测结果的适用范围。</w:t>
            </w:r>
          </w:p>
          <w:p w14:paraId="623A5B97">
            <w:pPr>
              <w:keepNext/>
              <w:spacing w:before="0" w:after="0" w:line="400" w:lineRule="exact"/>
              <w:ind w:firstLine="482" w:firstLineChars="200"/>
              <w:jc w:val="left"/>
            </w:pPr>
            <w:r>
              <w:rPr>
                <w:rFonts w:ascii="Times New Roman" w:hAnsi="Times New Roman" w:eastAsia="仿宋_GB2312"/>
                <w:b/>
                <w:sz w:val="24"/>
              </w:rPr>
              <w:t>4. 研究方法</w:t>
            </w:r>
          </w:p>
          <w:p w14:paraId="54FC726F">
            <w:pPr>
              <w:spacing w:before="0" w:after="0" w:line="400" w:lineRule="exact"/>
              <w:ind w:firstLine="480"/>
              <w:jc w:val="both"/>
            </w:pPr>
            <w:r>
              <w:rPr>
                <w:rFonts w:ascii="Times New Roman" w:hAnsi="Times New Roman" w:eastAsia="仿宋_GB2312"/>
                <w:b w:val="0"/>
                <w:sz w:val="24"/>
              </w:rPr>
              <w:t>（1）碳排放核算与数据分析方法：依据污水处理碳排放核算方法确定两厂一致的运行阶段核算范围，采用活动数据与排放因子计算各来源排放，统一换算为二氧化碳当量，统计日、月和年排放量及单位水量排放量。按日期匹配运行、水质、能耗、药耗和气象数据，计算进水污染物负荷及五项污染物去除率；结合已有生物活性实验和 N₂O 监测资料，辅助分析处理过程及核算结果。</w:t>
            </w:r>
          </w:p>
          <w:p w14:paraId="171E8CEC">
            <w:pPr>
              <w:spacing w:before="0" w:after="0" w:line="400" w:lineRule="exact"/>
              <w:ind w:firstLine="480"/>
              <w:jc w:val="both"/>
            </w:pPr>
            <w:r>
              <w:rPr>
                <w:rFonts w:ascii="Times New Roman" w:hAnsi="Times New Roman" w:eastAsia="仿宋_GB2312"/>
                <w:b w:val="0"/>
                <w:sz w:val="24"/>
              </w:rPr>
              <w:t>（2）模型预测与情景比较方法：采用 Python 整理数据，比较 LightGBM、CatBoost 与 PI-DPCH 等模型。PI-DPCH 分别预测总排放和各来源排放，再组合两类结果。按时间顺序划分训练、验证和测试数据，评价预测误差，并在两厂之间进行检验。采用变量重要性和 SHAP 分析了解各变量对预测结果的影响；分别设置运行条件、气温、降雨和出水标准变化情景，比较碳排放及减排幅度。提前预测仅使用预测时已经获得的信息，情景预测则明确所设条件及其数据依据。</w:t>
            </w:r>
          </w:p>
        </w:tc>
      </w:tr>
    </w:tbl>
    <w:p w14:paraId="7536042D">
      <w:pPr>
        <w:keepNext/>
        <w:keepLines/>
        <w:pageBreakBefore w:val="0"/>
        <w:widowControl w:val="0"/>
        <w:kinsoku/>
        <w:overflowPunct/>
        <w:autoSpaceDE/>
        <w:bidi w:val="0"/>
        <w:snapToGrid w:val="0"/>
        <w:spacing w:line="560" w:lineRule="exact"/>
        <w:textAlignment w:val="auto"/>
        <w:rPr>
          <w:rFonts w:ascii="黑体" w:hAnsi="黑体" w:eastAsia="黑体" w:cs="黑体"/>
          <w:b w:val="0"/>
          <w:bCs w:val="0"/>
          <w:color w:val="000000"/>
          <w:sz w:val="28"/>
          <w:szCs w:val="28"/>
        </w:rPr>
      </w:pPr>
      <w:r>
        <w:rPr>
          <w:rFonts w:ascii="黑体" w:hAnsi="黑体" w:eastAsia="黑体" w:cs="黑体"/>
          <w:b w:val="0"/>
          <w:bCs w:val="0"/>
          <w:color w:val="000000"/>
          <w:sz w:val="28"/>
          <w:szCs w:val="28"/>
        </w:rPr>
        <w:t>四</w:t>
      </w:r>
      <w:r>
        <w:rPr>
          <w:rFonts w:ascii="黑体" w:hAnsi="黑体" w:eastAsia="黑体" w:cs="黑体"/>
          <w:b w:val="0"/>
          <w:bCs w:val="0"/>
          <w:color w:val="000000"/>
          <w:sz w:val="28"/>
          <w:szCs w:val="28"/>
          <w:lang w:eastAsia="zh-CN"/>
        </w:rPr>
        <w:t>、</w:t>
      </w:r>
      <w:r>
        <w:rPr>
          <w:rFonts w:ascii="黑体" w:hAnsi="黑体" w:eastAsia="黑体" w:cs="黑体"/>
          <w:b w:val="0"/>
          <w:bCs w:val="0"/>
          <w:color w:val="000000"/>
          <w:sz w:val="28"/>
          <w:szCs w:val="28"/>
        </w:rPr>
        <w:t>研究方案</w:t>
      </w:r>
    </w:p>
    <w:tbl>
      <w:tblPr>
        <w:tblStyle w:val="11"/>
        <w:tblW w:w="9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98"/>
      </w:tblGrid>
      <w:tr w14:paraId="2EB24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2" w:hRule="atLeast"/>
          <w:jc w:val="center"/>
        </w:trPr>
        <w:tc>
          <w:tcPr>
            <w:tcW w:w="9498" w:type="dxa"/>
            <w:tcBorders>
              <w:top w:val="nil"/>
              <w:left w:val="nil"/>
              <w:bottom w:val="nil"/>
              <w:right w:val="nil"/>
              <w:insideH w:val="nil"/>
              <w:insideV w:val="nil"/>
              <w:tl2br w:val="nil"/>
              <w:tr2bl w:val="nil"/>
            </w:tcBorders>
            <w:vAlign w:val="top"/>
          </w:tcPr>
          <w:p w14:paraId="2CE7B5A0">
            <w:pPr>
              <w:keepNext w:val="0"/>
              <w:keepLines w:val="0"/>
              <w:widowControl w:val="0"/>
              <w:kinsoku/>
              <w:overflowPunct/>
              <w:autoSpaceDE/>
              <w:bidi w:val="0"/>
              <w:snapToGrid w:val="0"/>
              <w:spacing w:before="0" w:after="0" w:line="400" w:lineRule="exact"/>
              <w:ind w:firstLine="0"/>
              <w:jc w:val="both"/>
              <w:textAlignment w:val="auto"/>
              <w:rPr>
                <w:rFonts w:ascii="仿宋_GB2312" w:hAnsi="仿宋_GB2312" w:eastAsia="仿宋_GB2312" w:cs="仿宋_GB2312"/>
                <w:color w:val="000000"/>
                <w:sz w:val="24"/>
                <w:szCs w:val="24"/>
              </w:rPr>
            </w:pPr>
            <w:r>
              <w:rPr>
                <w:rFonts w:ascii="Times New Roman" w:hAnsi="Times New Roman" w:eastAsia="仿宋_GB2312" w:cs="仿宋_GB2312"/>
                <w:b w:val="0"/>
                <w:color w:val="000000"/>
                <w:sz w:val="24"/>
                <w:szCs w:val="24"/>
              </w:rPr>
              <w:t>（拟采取的研究方案及可行性分析）</w:t>
            </w:r>
          </w:p>
          <w:p w14:paraId="00FFBB19">
            <w:pPr>
              <w:keepNext/>
              <w:spacing w:before="0" w:after="0" w:line="400" w:lineRule="exact"/>
              <w:ind w:firstLine="482" w:firstLineChars="200"/>
              <w:jc w:val="left"/>
            </w:pPr>
            <w:r>
              <w:rPr>
                <w:rFonts w:ascii="Times New Roman" w:hAnsi="Times New Roman" w:eastAsia="仿宋_GB2312"/>
                <w:b/>
                <w:sz w:val="24"/>
              </w:rPr>
              <w:t>1. 拟采取的研究方案</w:t>
            </w:r>
          </w:p>
          <w:p w14:paraId="781BE482">
            <w:pPr>
              <w:spacing w:before="0" w:after="0" w:line="400" w:lineRule="exact"/>
              <w:ind w:firstLine="480"/>
              <w:jc w:val="both"/>
            </w:pPr>
            <w:r>
              <w:rPr>
                <w:rFonts w:ascii="Times New Roman" w:hAnsi="Times New Roman" w:eastAsia="仿宋_GB2312"/>
                <w:b w:val="0"/>
                <w:sz w:val="24"/>
              </w:rPr>
              <w:t>本研究按“数据整理与碳排放核算—模型构建与评价—关键变量分析—气温和降雨影响分析—提标与减排情景比较”的步骤开展。</w:t>
            </w:r>
          </w:p>
          <w:p w14:paraId="319B192D">
            <w:pPr>
              <w:spacing w:before="0" w:after="0" w:line="400" w:lineRule="exact"/>
              <w:ind w:firstLine="480"/>
              <w:jc w:val="both"/>
            </w:pPr>
            <w:r>
              <w:rPr>
                <w:rFonts w:ascii="Times New Roman" w:hAnsi="Times New Roman" w:eastAsia="仿宋_GB2312"/>
                <w:b w:val="0"/>
                <w:sz w:val="24"/>
              </w:rPr>
              <w:t>第一阶段：数据整理与碳排放核算。整理城北和江边污水处理厂 2019—2023 年日运行数据，统一日期、单位和核算范围，核对缺失及异常记录。收集同期气温和降雨量，计算进水 BOD₅、COD 负荷及 COD、BOD₅、氨氮、TN、TP 去除率。核算两厂碳排放总量及各来源排放，比较年际、季节和厂际差异。</w:t>
            </w:r>
          </w:p>
          <w:p w14:paraId="6A20A973">
            <w:pPr>
              <w:spacing w:before="0" w:after="0" w:line="400" w:lineRule="exact"/>
              <w:ind w:firstLine="480"/>
              <w:jc w:val="both"/>
            </w:pPr>
            <w:r>
              <w:rPr>
                <w:rFonts w:ascii="Times New Roman" w:hAnsi="Times New Roman" w:eastAsia="仿宋_GB2312"/>
                <w:b w:val="0"/>
                <w:sz w:val="24"/>
              </w:rPr>
              <w:t>第二阶段：模型构建与评价。按时间先后划分训练、验证和测试数据，构建并比较 LightGBM、CatBoost 和 PI-DPCH 等模型，评价预测准确性和稳定性。分别用一厂数据训练、另一厂数据检验，了解模型在不同污水处理厂中的适用情况；结合已有实验和监测资料检查核算与预测结果。</w:t>
            </w:r>
          </w:p>
          <w:p w14:paraId="3B430277">
            <w:pPr>
              <w:spacing w:before="0" w:after="0" w:line="400" w:lineRule="exact"/>
              <w:ind w:firstLine="480"/>
              <w:jc w:val="both"/>
            </w:pPr>
            <w:r>
              <w:rPr>
                <w:rFonts w:ascii="Times New Roman" w:hAnsi="Times New Roman" w:eastAsia="仿宋_GB2312"/>
                <w:b w:val="0"/>
                <w:sz w:val="24"/>
              </w:rPr>
              <w:t>第三阶段：关键运行变量及天气影响分析。重点分析电耗、进水水量、BOD₅ 和 COD 进水负荷、五项污染物去除率与碳排放的关系，利用变量重要性和 SHAP 分析解释模型结果。结合气温和降雨记录，比较低温、较强降雨与一般天气下的水量、水质、能耗及排放变化，预测不同天气条件下的碳排放。</w:t>
            </w:r>
          </w:p>
          <w:p w14:paraId="4648F1AB">
            <w:pPr>
              <w:spacing w:before="0" w:after="0" w:line="400" w:lineRule="exact"/>
              <w:ind w:firstLine="480"/>
              <w:jc w:val="both"/>
            </w:pPr>
            <w:r>
              <w:rPr>
                <w:rFonts w:ascii="Times New Roman" w:hAnsi="Times New Roman" w:eastAsia="仿宋_GB2312"/>
                <w:b w:val="0"/>
                <w:sz w:val="24"/>
              </w:rPr>
              <w:t>第四阶段：出水标准提高与减排效果预测。依据两厂现行出水要求和可获得的提标资料，设置更严格的出水指标，结合对应运行条件估计电耗、药耗及碳排放变化。在不同气温、降雨和出水要求下，比较节电、合理投药等措施的预计减排量及减排率。明确各情景的数据依据、出水达标要求和预测适用范围，形成两厂可参考的运行建议。</w:t>
            </w:r>
          </w:p>
          <w:p w14:paraId="4B0B8D2E">
            <w:pPr>
              <w:keepNext/>
              <w:spacing w:before="0" w:after="0" w:line="400" w:lineRule="exact"/>
              <w:ind w:firstLine="482" w:firstLineChars="200"/>
              <w:jc w:val="left"/>
            </w:pPr>
            <w:r>
              <w:rPr>
                <w:rFonts w:ascii="Times New Roman" w:hAnsi="Times New Roman" w:eastAsia="仿宋_GB2312"/>
                <w:b/>
                <w:sz w:val="24"/>
              </w:rPr>
              <w:t>2. 可行性分析</w:t>
            </w:r>
          </w:p>
          <w:p w14:paraId="457B6A1E">
            <w:pPr>
              <w:spacing w:before="0" w:after="0" w:line="400" w:lineRule="exact"/>
              <w:ind w:firstLine="480"/>
              <w:jc w:val="both"/>
            </w:pPr>
            <w:r>
              <w:rPr>
                <w:rFonts w:ascii="Times New Roman" w:hAnsi="Times New Roman" w:eastAsia="仿宋_GB2312"/>
                <w:b w:val="0"/>
                <w:sz w:val="24"/>
              </w:rPr>
              <w:t>（1）理论可行性：排放因子法、机器学习预测和变量影响分析已用于污水处理研究，可为本课题提供方法基础。通过统一两厂核算方法、按时间检验模型并开展厂际比较，可以评价预测结果是否可靠；气象和提标分析以运行记录及对应资料为依据，具备开展条件。</w:t>
            </w:r>
          </w:p>
          <w:p w14:paraId="142067AC">
            <w:pPr>
              <w:spacing w:before="0" w:after="0" w:line="400" w:lineRule="exact"/>
              <w:ind w:firstLine="480"/>
              <w:jc w:val="both"/>
            </w:pPr>
            <w:r>
              <w:rPr>
                <w:rFonts w:ascii="Times New Roman" w:hAnsi="Times New Roman" w:eastAsia="仿宋_GB2312"/>
                <w:b w:val="0"/>
                <w:sz w:val="24"/>
              </w:rPr>
              <w:t>（2）数据可行性：目前已获得常州市污水处理厂长期运行台账；</w:t>
            </w:r>
            <w:r>
              <w:rPr>
                <w:rFonts w:hint="eastAsia" w:eastAsia="仿宋_GB2312"/>
                <w:b w:val="0"/>
                <w:sz w:val="24"/>
                <w:lang w:val="en-US" w:eastAsia="zh-CN"/>
              </w:rPr>
              <w:t>合作单位提供宝贵的</w:t>
            </w:r>
            <w:r>
              <w:rPr>
                <w:rFonts w:ascii="Times New Roman" w:hAnsi="Times New Roman" w:eastAsia="仿宋_GB2312"/>
                <w:b w:val="0"/>
                <w:sz w:val="24"/>
              </w:rPr>
              <w:t>水质检测、能耗药耗台账和生物活性实验</w:t>
            </w:r>
            <w:r>
              <w:rPr>
                <w:rFonts w:hint="eastAsia" w:eastAsia="仿宋_GB2312"/>
                <w:b w:val="0"/>
                <w:sz w:val="24"/>
                <w:lang w:val="en-US" w:eastAsia="zh-CN"/>
              </w:rPr>
              <w:t>详细数据</w:t>
            </w:r>
            <w:r>
              <w:rPr>
                <w:rFonts w:ascii="Times New Roman" w:hAnsi="Times New Roman" w:eastAsia="仿宋_GB2312"/>
                <w:b w:val="0"/>
                <w:sz w:val="24"/>
              </w:rPr>
              <w:t>。</w:t>
            </w:r>
          </w:p>
          <w:p w14:paraId="131C344D">
            <w:pPr>
              <w:keepNext w:val="0"/>
              <w:keepLines w:val="0"/>
              <w:widowControl/>
              <w:suppressLineNumbers w:val="0"/>
              <w:ind w:firstLine="480" w:firstLineChars="200"/>
              <w:jc w:val="left"/>
            </w:pPr>
            <w:r>
              <w:rPr>
                <w:rFonts w:ascii="Times New Roman" w:hAnsi="Times New Roman" w:eastAsia="仿宋_GB2312"/>
                <w:b w:val="0"/>
                <w:sz w:val="24"/>
              </w:rPr>
              <w:t>（3）技术可行性：</w:t>
            </w:r>
            <w:r>
              <w:rPr>
                <w:rFonts w:ascii="仿宋" w:hAnsi="仿宋" w:eastAsia="仿宋" w:cs="仿宋"/>
                <w:color w:val="000000"/>
                <w:kern w:val="0"/>
                <w:sz w:val="24"/>
                <w:szCs w:val="24"/>
                <w:lang w:val="en-US" w:eastAsia="zh-CN" w:bidi="ar"/>
              </w:rPr>
              <w:t>研究团队具备</w:t>
            </w:r>
            <w:r>
              <w:rPr>
                <w:rFonts w:hint="eastAsia" w:ascii="仿宋" w:hAnsi="仿宋" w:eastAsia="仿宋" w:cs="仿宋"/>
                <w:color w:val="000000"/>
                <w:kern w:val="0"/>
                <w:sz w:val="24"/>
                <w:szCs w:val="24"/>
                <w:lang w:val="en-US" w:eastAsia="zh-CN" w:bidi="ar"/>
              </w:rPr>
              <w:t>各类污水处理工艺</w:t>
            </w:r>
            <w:r>
              <w:rPr>
                <w:rFonts w:ascii="仿宋" w:hAnsi="仿宋" w:eastAsia="仿宋" w:cs="仿宋"/>
                <w:color w:val="000000"/>
                <w:kern w:val="0"/>
                <w:sz w:val="24"/>
                <w:szCs w:val="24"/>
                <w:lang w:val="en-US" w:eastAsia="zh-CN" w:bidi="ar"/>
              </w:rPr>
              <w:t>、</w:t>
            </w:r>
            <w:r>
              <w:rPr>
                <w:rFonts w:hint="eastAsia" w:ascii="仿宋" w:hAnsi="仿宋" w:eastAsia="仿宋" w:cs="仿宋"/>
                <w:color w:val="000000"/>
                <w:kern w:val="0"/>
                <w:sz w:val="24"/>
                <w:szCs w:val="24"/>
                <w:lang w:val="en-US" w:eastAsia="zh-CN" w:bidi="ar"/>
              </w:rPr>
              <w:t>机器学习和数据处理</w:t>
            </w:r>
            <w:r>
              <w:rPr>
                <w:rFonts w:ascii="仿宋" w:hAnsi="仿宋" w:eastAsia="仿宋" w:cs="仿宋"/>
                <w:color w:val="000000"/>
                <w:kern w:val="0"/>
                <w:sz w:val="24"/>
                <w:szCs w:val="24"/>
                <w:lang w:val="en-US" w:eastAsia="zh-CN" w:bidi="ar"/>
              </w:rPr>
              <w:t>的交叉学科背景，熟悉</w:t>
            </w:r>
            <w:r>
              <w:rPr>
                <w:rFonts w:hint="eastAsia" w:ascii="仿宋" w:hAnsi="仿宋" w:eastAsia="仿宋" w:cs="仿宋"/>
                <w:color w:val="000000"/>
                <w:kern w:val="0"/>
                <w:sz w:val="24"/>
                <w:szCs w:val="24"/>
                <w:lang w:val="en-US" w:eastAsia="zh-CN" w:bidi="ar"/>
              </w:rPr>
              <w:t>相关算法与软件平台，技术路线清晰可控。</w:t>
            </w:r>
          </w:p>
        </w:tc>
      </w:tr>
    </w:tbl>
    <w:p w14:paraId="739ED3E4">
      <w:pPr>
        <w:keepNext/>
        <w:keepLines/>
        <w:pageBreakBefore w:val="0"/>
        <w:widowControl w:val="0"/>
        <w:kinsoku/>
        <w:overflowPunct/>
        <w:autoSpaceDE/>
        <w:bidi w:val="0"/>
        <w:snapToGrid w:val="0"/>
        <w:spacing w:line="560" w:lineRule="exact"/>
        <w:textAlignment w:val="auto"/>
        <w:rPr>
          <w:rFonts w:ascii="黑体" w:hAnsi="黑体" w:eastAsia="黑体" w:cs="黑体"/>
          <w:b w:val="0"/>
          <w:bCs w:val="0"/>
          <w:color w:val="000000"/>
          <w:sz w:val="28"/>
          <w:szCs w:val="28"/>
        </w:rPr>
      </w:pPr>
      <w:r>
        <w:rPr>
          <w:rFonts w:ascii="黑体" w:hAnsi="黑体" w:eastAsia="黑体" w:cs="黑体"/>
          <w:b w:val="0"/>
          <w:bCs w:val="0"/>
          <w:color w:val="000000"/>
          <w:sz w:val="28"/>
          <w:szCs w:val="28"/>
        </w:rPr>
        <w:t>五</w:t>
      </w:r>
      <w:r>
        <w:rPr>
          <w:rFonts w:ascii="黑体" w:hAnsi="黑体" w:eastAsia="黑体" w:cs="黑体"/>
          <w:b w:val="0"/>
          <w:bCs w:val="0"/>
          <w:color w:val="000000"/>
          <w:sz w:val="28"/>
          <w:szCs w:val="28"/>
          <w:lang w:eastAsia="zh-CN"/>
        </w:rPr>
        <w:t>、</w:t>
      </w:r>
      <w:r>
        <w:rPr>
          <w:rFonts w:ascii="黑体" w:hAnsi="黑体" w:eastAsia="黑体" w:cs="黑体"/>
          <w:b w:val="0"/>
          <w:bCs w:val="0"/>
          <w:color w:val="000000"/>
          <w:sz w:val="28"/>
          <w:szCs w:val="28"/>
        </w:rPr>
        <w:t>课题创新点</w:t>
      </w:r>
    </w:p>
    <w:tbl>
      <w:tblPr>
        <w:tblStyle w:val="11"/>
        <w:tblW w:w="9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98"/>
      </w:tblGrid>
      <w:tr w14:paraId="012DD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66" w:hRule="atLeast"/>
          <w:jc w:val="center"/>
        </w:trPr>
        <w:tc>
          <w:tcPr>
            <w:tcW w:w="9498" w:type="dxa"/>
            <w:tcBorders>
              <w:top w:val="nil"/>
              <w:left w:val="nil"/>
              <w:bottom w:val="nil"/>
              <w:right w:val="nil"/>
              <w:insideH w:val="nil"/>
              <w:insideV w:val="nil"/>
              <w:tl2br w:val="nil"/>
              <w:tr2bl w:val="nil"/>
            </w:tcBorders>
            <w:vAlign w:val="top"/>
          </w:tcPr>
          <w:p w14:paraId="196C4926">
            <w:pPr>
              <w:keepNext w:val="0"/>
              <w:keepLines w:val="0"/>
              <w:widowControl w:val="0"/>
              <w:kinsoku/>
              <w:overflowPunct/>
              <w:autoSpaceDE/>
              <w:bidi w:val="0"/>
              <w:snapToGrid w:val="0"/>
              <w:spacing w:before="0" w:after="0" w:line="400" w:lineRule="exact"/>
              <w:ind w:firstLine="0"/>
              <w:jc w:val="both"/>
              <w:textAlignment w:val="auto"/>
              <w:rPr>
                <w:rFonts w:ascii="仿宋_GB2312" w:hAnsi="仿宋_GB2312" w:eastAsia="仿宋_GB2312" w:cs="仿宋_GB2312"/>
                <w:color w:val="000000"/>
                <w:sz w:val="24"/>
                <w:szCs w:val="24"/>
              </w:rPr>
            </w:pPr>
            <w:r>
              <w:rPr>
                <w:rFonts w:ascii="Times New Roman" w:hAnsi="Times New Roman" w:eastAsia="仿宋_GB2312" w:cs="仿宋_GB2312"/>
                <w:b w:val="0"/>
                <w:color w:val="000000"/>
                <w:sz w:val="24"/>
                <w:szCs w:val="24"/>
              </w:rPr>
              <w:t>（说明研究内容、拟采用的研究方法、技术路线或预期成果中有哪些创新之处）</w:t>
            </w:r>
          </w:p>
          <w:p w14:paraId="2E1D6867">
            <w:pPr>
              <w:spacing w:before="0" w:after="0" w:line="400" w:lineRule="exact"/>
              <w:ind w:firstLine="480"/>
              <w:jc w:val="both"/>
            </w:pPr>
            <w:r>
              <w:rPr>
                <w:rFonts w:ascii="Times New Roman" w:hAnsi="Times New Roman" w:eastAsia="仿宋_GB2312"/>
                <w:b w:val="0"/>
                <w:sz w:val="24"/>
              </w:rPr>
              <w:t>1、研究对象与数据应用：以两座实际运行的污水处理厂为对象，将运行、水质、能耗、药耗和气象记录按日期整理，在统一核算方法下比较两厂碳排放，提高结果对实际运行问题的参考价值。</w:t>
            </w:r>
          </w:p>
          <w:p w14:paraId="370766F4">
            <w:pPr>
              <w:spacing w:before="0" w:after="0" w:line="400" w:lineRule="exact"/>
              <w:ind w:firstLine="480"/>
              <w:jc w:val="both"/>
            </w:pPr>
            <w:r>
              <w:rPr>
                <w:rFonts w:ascii="Times New Roman" w:hAnsi="Times New Roman" w:eastAsia="仿宋_GB2312"/>
                <w:b w:val="0"/>
                <w:sz w:val="24"/>
              </w:rPr>
              <w:t>2、预测方法应用：比较单一模型与 PI-DPCH 组合模型，同时检验不同时间段和两厂间的预测效果，结合各来源排放分析误差，使预测准确性评价与污水处理过程分析相结合。</w:t>
            </w:r>
          </w:p>
          <w:p w14:paraId="033C46E7">
            <w:pPr>
              <w:spacing w:before="0" w:after="0" w:line="400" w:lineRule="exact"/>
              <w:ind w:firstLine="480"/>
              <w:jc w:val="both"/>
            </w:pPr>
            <w:r>
              <w:rPr>
                <w:rFonts w:ascii="Times New Roman" w:hAnsi="Times New Roman" w:eastAsia="仿宋_GB2312"/>
                <w:b w:val="0"/>
                <w:sz w:val="24"/>
              </w:rPr>
              <w:t>3、运行条件综合分析：围绕关键运行变量、气温、降雨和出水标准变化，比较不同条件下的碳排放与减排效果，提出与两厂水质要求及运行条件相适应的建议。</w:t>
            </w:r>
          </w:p>
        </w:tc>
      </w:tr>
    </w:tbl>
    <w:p w14:paraId="71831BA6">
      <w:pPr>
        <w:keepNext/>
        <w:keepLines/>
        <w:pageBreakBefore w:val="0"/>
        <w:widowControl w:val="0"/>
        <w:kinsoku/>
        <w:overflowPunct/>
        <w:autoSpaceDE/>
        <w:bidi w:val="0"/>
        <w:snapToGrid w:val="0"/>
        <w:spacing w:line="560" w:lineRule="exact"/>
        <w:textAlignment w:val="auto"/>
        <w:rPr>
          <w:rFonts w:ascii="黑体" w:hAnsi="黑体" w:eastAsia="黑体" w:cs="黑体"/>
          <w:b w:val="0"/>
          <w:bCs w:val="0"/>
          <w:color w:val="000000"/>
          <w:sz w:val="28"/>
          <w:szCs w:val="28"/>
          <w:lang w:val="en-US" w:eastAsia="zh-CN"/>
        </w:rPr>
      </w:pPr>
      <w:r>
        <w:rPr>
          <w:rFonts w:ascii="黑体" w:hAnsi="黑体" w:eastAsia="黑体" w:cs="黑体"/>
          <w:b w:val="0"/>
          <w:bCs w:val="0"/>
          <w:color w:val="000000"/>
          <w:sz w:val="28"/>
          <w:szCs w:val="28"/>
          <w:lang w:val="en-US" w:eastAsia="zh-CN"/>
        </w:rPr>
        <w:t>六、研究进度安排和预期成果（论文、专利等）、经费预算</w:t>
      </w:r>
    </w:p>
    <w:tbl>
      <w:tblPr>
        <w:tblStyle w:val="11"/>
        <w:tblW w:w="9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98"/>
      </w:tblGrid>
      <w:tr w14:paraId="32337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62" w:hRule="atLeast"/>
          <w:jc w:val="center"/>
        </w:trPr>
        <w:tc>
          <w:tcPr>
            <w:tcW w:w="9498" w:type="dxa"/>
            <w:tcBorders>
              <w:top w:val="nil"/>
              <w:left w:val="nil"/>
              <w:bottom w:val="nil"/>
              <w:right w:val="nil"/>
              <w:insideH w:val="nil"/>
              <w:insideV w:val="nil"/>
              <w:tl2br w:val="nil"/>
              <w:tr2bl w:val="nil"/>
            </w:tcBorders>
            <w:vAlign w:val="top"/>
          </w:tcPr>
          <w:p w14:paraId="15202447">
            <w:pPr>
              <w:keepNext w:val="0"/>
              <w:keepLines w:val="0"/>
              <w:widowControl w:val="0"/>
              <w:kinsoku/>
              <w:overflowPunct/>
              <w:autoSpaceDE/>
              <w:bidi w:val="0"/>
              <w:snapToGrid w:val="0"/>
              <w:spacing w:before="0" w:after="0" w:line="400" w:lineRule="exact"/>
              <w:ind w:firstLine="0"/>
              <w:jc w:val="both"/>
              <w:textAlignment w:val="auto"/>
              <w:rPr>
                <w:rFonts w:ascii="仿宋_GB2312" w:hAnsi="仿宋_GB2312" w:eastAsia="仿宋_GB2312" w:cs="仿宋_GB2312"/>
                <w:color w:val="000000"/>
                <w:sz w:val="24"/>
                <w:szCs w:val="24"/>
              </w:rPr>
            </w:pPr>
            <w:r>
              <w:rPr>
                <w:rFonts w:ascii="Times New Roman" w:hAnsi="Times New Roman" w:eastAsia="仿宋_GB2312" w:cs="仿宋_GB2312"/>
                <w:b w:val="0"/>
                <w:color w:val="000000"/>
                <w:sz w:val="24"/>
                <w:szCs w:val="24"/>
                <w:lang w:val="en-US" w:eastAsia="zh-CN"/>
              </w:rPr>
              <w:t>（</w:t>
            </w:r>
            <w:r>
              <w:rPr>
                <w:rFonts w:ascii="Times New Roman" w:hAnsi="Times New Roman" w:eastAsia="仿宋_GB2312" w:cs="仿宋_GB2312"/>
                <w:b w:val="0"/>
                <w:color w:val="000000"/>
                <w:sz w:val="24"/>
                <w:szCs w:val="24"/>
              </w:rPr>
              <w:t>查阅资料和选题、文献综述、开题答辩、调查研究、论文写作、论文初稿、论文定稿等时间安排，完成成果情况</w:t>
            </w:r>
            <w:r>
              <w:rPr>
                <w:rFonts w:ascii="Times New Roman" w:hAnsi="Times New Roman" w:eastAsia="仿宋_GB2312" w:cs="仿宋_GB2312"/>
                <w:b w:val="0"/>
                <w:color w:val="000000"/>
                <w:sz w:val="24"/>
                <w:szCs w:val="24"/>
                <w:lang w:eastAsia="zh-CN"/>
              </w:rPr>
              <w:t>；</w:t>
            </w:r>
            <w:r>
              <w:rPr>
                <w:rFonts w:ascii="Times New Roman" w:hAnsi="Times New Roman" w:eastAsia="仿宋_GB2312" w:cs="仿宋_GB2312"/>
                <w:b w:val="0"/>
                <w:color w:val="000000"/>
                <w:sz w:val="24"/>
                <w:szCs w:val="24"/>
              </w:rPr>
              <w:t>研究经费预算计划和落实情况</w:t>
            </w:r>
            <w:r>
              <w:rPr>
                <w:rFonts w:ascii="Times New Roman" w:hAnsi="Times New Roman" w:eastAsia="仿宋_GB2312" w:cs="仿宋_GB2312"/>
                <w:b w:val="0"/>
                <w:color w:val="000000"/>
                <w:sz w:val="24"/>
                <w:szCs w:val="24"/>
                <w:lang w:val="en-US" w:eastAsia="zh-CN"/>
              </w:rPr>
              <w:t>）</w:t>
            </w:r>
          </w:p>
          <w:p w14:paraId="6BD19ECD">
            <w:pPr>
              <w:keepNext/>
              <w:spacing w:before="0" w:after="0" w:line="400" w:lineRule="exact"/>
              <w:ind w:firstLine="482" w:firstLineChars="200"/>
              <w:jc w:val="left"/>
            </w:pPr>
            <w:r>
              <w:rPr>
                <w:rFonts w:ascii="Times New Roman" w:hAnsi="Times New Roman" w:eastAsia="仿宋_GB2312"/>
                <w:b/>
                <w:sz w:val="24"/>
              </w:rPr>
              <w:t>1. 研究进度安排</w:t>
            </w:r>
          </w:p>
          <w:p w14:paraId="0FD6E253">
            <w:pPr>
              <w:spacing w:before="0" w:after="0" w:line="400" w:lineRule="exact"/>
              <w:ind w:firstLine="480"/>
              <w:jc w:val="both"/>
              <w:rPr>
                <w:rFonts w:ascii="Times New Roman" w:hAnsi="Times New Roman" w:eastAsia="仿宋_GB2312"/>
                <w:b w:val="0"/>
                <w:sz w:val="24"/>
              </w:rPr>
            </w:pPr>
            <w:r>
              <w:rPr>
                <w:rFonts w:ascii="Times New Roman" w:hAnsi="Times New Roman" w:eastAsia="仿宋_GB2312"/>
                <w:b w:val="0"/>
                <w:sz w:val="24"/>
              </w:rPr>
              <w:t>本课题计划于</w:t>
            </w:r>
            <w:r>
              <w:rPr>
                <w:rFonts w:hint="eastAsia" w:ascii="Times New Roman" w:hAnsi="Times New Roman" w:eastAsia="仿宋_GB2312"/>
                <w:b w:val="0"/>
                <w:sz w:val="24"/>
                <w:lang w:val="en-US" w:eastAsia="zh-CN"/>
              </w:rPr>
              <w:t>研三下学期</w:t>
            </w:r>
            <w:r>
              <w:rPr>
                <w:rFonts w:ascii="Times New Roman" w:hAnsi="Times New Roman" w:eastAsia="仿宋_GB2312"/>
                <w:b w:val="0"/>
                <w:sz w:val="24"/>
              </w:rPr>
              <w:t>完成，具体安排如下：</w:t>
            </w:r>
          </w:p>
          <w:p w14:paraId="37488531">
            <w:pPr>
              <w:spacing w:before="0" w:after="0" w:line="400" w:lineRule="exact"/>
              <w:ind w:firstLine="480"/>
              <w:jc w:val="both"/>
              <w:rPr>
                <w:rFonts w:ascii="Times New Roman" w:hAnsi="Times New Roman" w:eastAsia="仿宋_GB2312"/>
                <w:b w:val="0"/>
                <w:sz w:val="24"/>
              </w:rPr>
            </w:pPr>
            <w:r>
              <w:rPr>
                <w:rFonts w:ascii="Times New Roman" w:hAnsi="Times New Roman" w:eastAsia="仿宋_GB2312"/>
                <w:b w:val="0"/>
                <w:sz w:val="24"/>
                <w:lang w:val="en-US" w:eastAsia="zh-CN"/>
              </w:rPr>
              <w:t xml:space="preserve">第一阶段（开题答辩前）：文献调研与开题准备阶段。 </w:t>
            </w:r>
          </w:p>
          <w:p w14:paraId="71A4DE62">
            <w:pPr>
              <w:spacing w:before="0" w:after="0" w:line="400" w:lineRule="exact"/>
              <w:ind w:firstLine="480"/>
              <w:jc w:val="both"/>
              <w:rPr>
                <w:rFonts w:hint="eastAsia" w:ascii="Times New Roman" w:hAnsi="Times New Roman" w:eastAsia="仿宋_GB2312"/>
                <w:b w:val="0"/>
                <w:sz w:val="24"/>
                <w:lang w:val="en-US" w:eastAsia="zh-CN"/>
              </w:rPr>
            </w:pPr>
            <w:r>
              <w:rPr>
                <w:rFonts w:hint="eastAsia" w:ascii="Times New Roman" w:hAnsi="Times New Roman" w:eastAsia="仿宋_GB2312"/>
                <w:b w:val="0"/>
                <w:sz w:val="24"/>
                <w:lang w:val="en-US" w:eastAsia="zh-CN"/>
              </w:rPr>
              <w:t>主要任务为深入研读国内外相关文献，明确研究背景、意义与创新点，完成文献综述报告，并在此基础上细化研究方案与技术路线，完成开题报告撰写与答辩。</w:t>
            </w:r>
          </w:p>
          <w:p w14:paraId="6B75F085">
            <w:pPr>
              <w:spacing w:before="0" w:after="0" w:line="400" w:lineRule="exact"/>
              <w:ind w:firstLine="480"/>
              <w:jc w:val="both"/>
              <w:rPr>
                <w:rFonts w:hint="eastAsia" w:ascii="Times New Roman" w:hAnsi="Times New Roman" w:eastAsia="仿宋_GB2312"/>
                <w:b w:val="0"/>
                <w:sz w:val="24"/>
                <w:lang w:val="en-US" w:eastAsia="zh-CN"/>
              </w:rPr>
            </w:pPr>
            <w:r>
              <w:rPr>
                <w:rFonts w:hint="eastAsia" w:ascii="Times New Roman" w:hAnsi="Times New Roman" w:eastAsia="仿宋_GB2312"/>
                <w:b w:val="0"/>
                <w:sz w:val="24"/>
                <w:lang w:val="en-US" w:eastAsia="zh-CN"/>
              </w:rPr>
              <w:t>第二阶段（研二上学期）：实验与小论文撰写阶段。</w:t>
            </w:r>
          </w:p>
          <w:p w14:paraId="02AA30C5">
            <w:pPr>
              <w:spacing w:before="0" w:after="0" w:line="400" w:lineRule="exact"/>
              <w:ind w:firstLine="480"/>
              <w:jc w:val="both"/>
              <w:rPr>
                <w:rFonts w:hint="eastAsia" w:ascii="Times New Roman" w:hAnsi="Times New Roman" w:eastAsia="仿宋_GB2312"/>
                <w:b w:val="0"/>
                <w:sz w:val="24"/>
                <w:lang w:val="en-US" w:eastAsia="zh-CN"/>
              </w:rPr>
            </w:pPr>
            <w:r>
              <w:rPr>
                <w:rFonts w:hint="eastAsia" w:ascii="Times New Roman" w:hAnsi="Times New Roman" w:eastAsia="仿宋_GB2312"/>
                <w:b w:val="0"/>
                <w:sz w:val="24"/>
                <w:lang w:val="en-US" w:eastAsia="zh-CN"/>
              </w:rPr>
              <w:t>重点开展污水处理厂运行数据整理与补充采集，完成硝化、反硝化和厌氧释磷等生物活性实验及 N</w:t>
            </w:r>
            <w:r>
              <w:rPr>
                <w:rFonts w:hint="eastAsia" w:eastAsia="仿宋_GB2312"/>
                <w:b w:val="0"/>
                <w:sz w:val="24"/>
                <w:vertAlign w:val="subscript"/>
                <w:lang w:val="en-US" w:eastAsia="zh-CN"/>
              </w:rPr>
              <w:t>2</w:t>
            </w:r>
            <w:r>
              <w:rPr>
                <w:rFonts w:hint="eastAsia" w:ascii="Times New Roman" w:hAnsi="Times New Roman" w:eastAsia="仿宋_GB2312"/>
                <w:b w:val="0"/>
                <w:sz w:val="24"/>
                <w:lang w:val="en-US" w:eastAsia="zh-CN"/>
              </w:rPr>
              <w:t>O 现场监测，建立并优化碳排放核算与 PI-DPCH 融合预测模型。在此基础上开展模型评价、关键影响因素分析和结果讨论，完成第一篇学术小论文的撰写与投稿。</w:t>
            </w:r>
          </w:p>
          <w:p w14:paraId="6B2D9781">
            <w:pPr>
              <w:spacing w:before="0" w:after="0" w:line="400" w:lineRule="exact"/>
              <w:ind w:firstLine="480"/>
              <w:jc w:val="both"/>
              <w:rPr>
                <w:rFonts w:ascii="Times New Roman" w:hAnsi="Times New Roman" w:eastAsia="仿宋_GB2312"/>
                <w:b w:val="0"/>
                <w:sz w:val="24"/>
                <w:lang w:val="en-US" w:eastAsia="zh-CN"/>
              </w:rPr>
            </w:pPr>
            <w:r>
              <w:rPr>
                <w:rFonts w:ascii="Times New Roman" w:hAnsi="Times New Roman" w:eastAsia="仿宋_GB2312"/>
                <w:b w:val="0"/>
                <w:sz w:val="24"/>
                <w:lang w:val="en-US" w:eastAsia="zh-CN"/>
              </w:rPr>
              <w:t>第三阶段（研二下学期）：小论文修改完善和发表阶段。</w:t>
            </w:r>
          </w:p>
          <w:p w14:paraId="1095A147">
            <w:pPr>
              <w:spacing w:before="0" w:after="0" w:line="400" w:lineRule="exact"/>
              <w:ind w:firstLine="480"/>
              <w:jc w:val="both"/>
              <w:rPr>
                <w:rFonts w:ascii="Times New Roman" w:hAnsi="Times New Roman" w:eastAsia="仿宋_GB2312"/>
                <w:b w:val="0"/>
                <w:sz w:val="24"/>
                <w:lang w:val="en-US" w:eastAsia="zh-CN"/>
              </w:rPr>
            </w:pPr>
            <w:r>
              <w:rPr>
                <w:rFonts w:hint="eastAsia" w:ascii="Times New Roman" w:hAnsi="Times New Roman" w:eastAsia="仿宋_GB2312"/>
                <w:b w:val="0"/>
                <w:sz w:val="24"/>
                <w:lang w:val="en-US" w:eastAsia="zh-CN"/>
              </w:rPr>
              <w:t>根据审稿意见对小论文进行修改和完善，针对研究中存在的不足补充必要的实验数据、模型验证及结果分析，进一步提高研究结果的可靠性和完整性，完成小论文的返修、投稿及发表工作。</w:t>
            </w:r>
          </w:p>
          <w:p w14:paraId="18B1FB52">
            <w:pPr>
              <w:spacing w:before="0" w:after="0" w:line="400" w:lineRule="exact"/>
              <w:ind w:firstLine="480"/>
              <w:jc w:val="both"/>
              <w:rPr>
                <w:rFonts w:ascii="Times New Roman" w:hAnsi="Times New Roman" w:eastAsia="仿宋_GB2312"/>
                <w:b w:val="0"/>
                <w:sz w:val="24"/>
                <w:lang w:val="en-US" w:eastAsia="zh-CN"/>
              </w:rPr>
            </w:pPr>
            <w:r>
              <w:rPr>
                <w:rFonts w:ascii="Times New Roman" w:hAnsi="Times New Roman" w:eastAsia="仿宋_GB2312"/>
                <w:b w:val="0"/>
                <w:sz w:val="24"/>
                <w:lang w:val="en-US" w:eastAsia="zh-CN"/>
              </w:rPr>
              <w:t>第四阶段（研三上学期）：实验完善和大论文撰写阶段。</w:t>
            </w:r>
          </w:p>
          <w:p w14:paraId="25FE85DC">
            <w:pPr>
              <w:spacing w:before="0" w:after="0" w:line="400" w:lineRule="exact"/>
              <w:ind w:firstLine="480"/>
              <w:jc w:val="both"/>
              <w:rPr>
                <w:rFonts w:ascii="Times New Roman" w:hAnsi="Times New Roman" w:eastAsia="仿宋_GB2312"/>
                <w:b w:val="0"/>
                <w:sz w:val="24"/>
                <w:lang w:val="en-US" w:eastAsia="zh-CN"/>
              </w:rPr>
            </w:pPr>
            <w:r>
              <w:rPr>
                <w:rFonts w:hint="eastAsia" w:ascii="Times New Roman" w:hAnsi="Times New Roman" w:eastAsia="仿宋_GB2312"/>
                <w:b w:val="0"/>
                <w:sz w:val="24"/>
                <w:lang w:val="en-US" w:eastAsia="zh-CN"/>
              </w:rPr>
              <w:t>结合</w:t>
            </w:r>
            <w:r>
              <w:rPr>
                <w:rFonts w:ascii="Times New Roman" w:hAnsi="Times New Roman" w:eastAsia="仿宋_GB2312"/>
                <w:b w:val="0"/>
                <w:sz w:val="24"/>
                <w:lang w:val="en-US" w:eastAsia="zh-CN"/>
              </w:rPr>
              <w:t>前期研究结果进一步完善实验与数据分析，补充 N₂O 实测、生物活性表征、模型验证及低碳运行情景分析等内容，系统整合碳排放核算、融合模型预测、关键驱动因素和减排路径等研究成果。在此基础上完成硕士学位论文主体章节的撰写，形成较为完整的论文初稿。</w:t>
            </w:r>
          </w:p>
          <w:p w14:paraId="7B98F6FE">
            <w:pPr>
              <w:spacing w:before="0" w:after="0" w:line="400" w:lineRule="exact"/>
              <w:ind w:firstLine="480"/>
              <w:jc w:val="both"/>
            </w:pPr>
            <w:r>
              <w:rPr>
                <w:rFonts w:ascii="Times New Roman" w:hAnsi="Times New Roman" w:eastAsia="仿宋_GB2312"/>
                <w:b w:val="0"/>
                <w:sz w:val="24"/>
              </w:rPr>
              <w:t>第五阶段（</w:t>
            </w:r>
            <w:r>
              <w:rPr>
                <w:rFonts w:hint="eastAsia" w:eastAsia="仿宋_GB2312"/>
                <w:b w:val="0"/>
                <w:sz w:val="24"/>
                <w:lang w:val="en-US" w:eastAsia="zh-CN"/>
              </w:rPr>
              <w:t>研三下学期</w:t>
            </w:r>
            <w:r>
              <w:rPr>
                <w:rFonts w:ascii="Times New Roman" w:hAnsi="Times New Roman" w:eastAsia="仿宋_GB2312"/>
                <w:b w:val="0"/>
                <w:sz w:val="24"/>
              </w:rPr>
              <w:t>）：论文完善与答辩准备阶段。根据导师及评阅意见修改学位论文，统一图表、公式、单位和参考文献格式，完成查重、预答辩、送审及正式答辩准备，并整理数据、代码和实验记录归档。</w:t>
            </w:r>
          </w:p>
          <w:p w14:paraId="0346AD17">
            <w:pPr>
              <w:keepNext/>
              <w:spacing w:before="0" w:after="0" w:line="400" w:lineRule="exact"/>
              <w:ind w:firstLine="0"/>
              <w:jc w:val="left"/>
            </w:pPr>
            <w:r>
              <w:rPr>
                <w:rFonts w:ascii="Times New Roman" w:hAnsi="Times New Roman" w:eastAsia="仿宋_GB2312"/>
                <w:b/>
                <w:sz w:val="24"/>
              </w:rPr>
              <w:t>2. 预期成果</w:t>
            </w:r>
          </w:p>
          <w:p w14:paraId="0207F558">
            <w:pPr>
              <w:keepNext w:val="0"/>
              <w:keepLines w:val="0"/>
              <w:widowControl/>
              <w:suppressLineNumbers w:val="0"/>
              <w:ind w:firstLine="480" w:firstLineChars="200"/>
              <w:jc w:val="left"/>
            </w:pPr>
            <w:r>
              <w:rPr>
                <w:rFonts w:ascii="Times New Roman" w:hAnsi="Times New Roman" w:eastAsia="仿宋_GB2312"/>
                <w:b w:val="0"/>
                <w:sz w:val="24"/>
              </w:rPr>
              <w:t>学术论文：</w:t>
            </w:r>
            <w:r>
              <w:rPr>
                <w:rFonts w:ascii="仿宋" w:hAnsi="仿宋" w:eastAsia="仿宋" w:cs="仿宋"/>
                <w:color w:val="000000"/>
                <w:kern w:val="0"/>
                <w:sz w:val="24"/>
                <w:szCs w:val="24"/>
                <w:lang w:val="en-US" w:eastAsia="zh-CN" w:bidi="ar"/>
              </w:rPr>
              <w:t>在 SCI期刊上发表论文</w:t>
            </w:r>
            <w:r>
              <w:rPr>
                <w:rFonts w:hint="eastAsia" w:ascii="仿宋" w:hAnsi="仿宋" w:eastAsia="仿宋" w:cs="仿宋"/>
                <w:color w:val="000000"/>
                <w:kern w:val="0"/>
                <w:sz w:val="24"/>
                <w:szCs w:val="24"/>
                <w:lang w:val="en-US" w:eastAsia="zh-CN" w:bidi="ar"/>
              </w:rPr>
              <w:t>1</w:t>
            </w:r>
            <w:r>
              <w:rPr>
                <w:rFonts w:ascii="仿宋" w:hAnsi="仿宋" w:eastAsia="仿宋" w:cs="仿宋"/>
                <w:color w:val="000000"/>
                <w:kern w:val="0"/>
                <w:sz w:val="24"/>
                <w:szCs w:val="24"/>
                <w:lang w:val="en-US" w:eastAsia="zh-CN" w:bidi="ar"/>
              </w:rPr>
              <w:t>篇</w:t>
            </w:r>
            <w:r>
              <w:rPr>
                <w:rFonts w:ascii="Times New Roman" w:hAnsi="Times New Roman" w:eastAsia="仿宋_GB2312"/>
                <w:b w:val="0"/>
                <w:sz w:val="24"/>
              </w:rPr>
              <w:t>。</w:t>
            </w:r>
          </w:p>
          <w:p w14:paraId="4BFB223D">
            <w:pPr>
              <w:spacing w:before="0" w:after="0" w:line="400" w:lineRule="exact"/>
              <w:ind w:firstLine="480"/>
              <w:jc w:val="both"/>
            </w:pPr>
            <w:r>
              <w:rPr>
                <w:rFonts w:ascii="Times New Roman" w:hAnsi="Times New Roman" w:eastAsia="仿宋_GB2312"/>
                <w:b w:val="0"/>
                <w:sz w:val="24"/>
              </w:rPr>
              <w:t>学位论文：</w:t>
            </w:r>
            <w:r>
              <w:rPr>
                <w:rFonts w:hint="eastAsia" w:eastAsia="仿宋_GB2312"/>
                <w:b w:val="0"/>
                <w:sz w:val="24"/>
                <w:lang w:val="en-US" w:eastAsia="zh-CN"/>
              </w:rPr>
              <w:t>完成一篇硕士学位论文</w:t>
            </w:r>
            <w:r>
              <w:rPr>
                <w:rFonts w:ascii="Times New Roman" w:hAnsi="Times New Roman" w:eastAsia="仿宋_GB2312"/>
                <w:b w:val="0"/>
                <w:sz w:val="24"/>
              </w:rPr>
              <w:t>。</w:t>
            </w:r>
          </w:p>
          <w:p w14:paraId="4BC02CED">
            <w:pPr>
              <w:keepNext/>
              <w:spacing w:before="0" w:after="0" w:line="400" w:lineRule="exact"/>
              <w:ind w:firstLine="0"/>
              <w:jc w:val="left"/>
            </w:pPr>
            <w:r>
              <w:rPr>
                <w:rFonts w:ascii="Times New Roman" w:hAnsi="Times New Roman" w:eastAsia="仿宋_GB2312"/>
                <w:b/>
                <w:sz w:val="24"/>
              </w:rPr>
              <w:t>3. 经费相关</w:t>
            </w:r>
          </w:p>
          <w:p w14:paraId="66C6257E">
            <w:pPr>
              <w:spacing w:before="0" w:after="0" w:line="400" w:lineRule="exact"/>
              <w:ind w:firstLine="480"/>
              <w:jc w:val="both"/>
            </w:pPr>
            <w:r>
              <w:rPr>
                <w:rFonts w:ascii="Times New Roman" w:hAnsi="Times New Roman" w:eastAsia="仿宋_GB2312"/>
                <w:b w:val="0"/>
                <w:sz w:val="24"/>
              </w:rPr>
              <w:t>经费主要用于资料获取、数据存储与计算、图表与论文排版以及投稿等可能产生的费用。具体支出依托导师课题、学院和合作单位现有条件统筹安排，实际金额以项目预算及报销规定为准。</w:t>
            </w:r>
          </w:p>
        </w:tc>
      </w:tr>
    </w:tbl>
    <w:p w14:paraId="10749658">
      <w:pPr>
        <w:keepNext/>
        <w:keepLines/>
        <w:pageBreakBefore w:val="0"/>
        <w:widowControl w:val="0"/>
        <w:kinsoku/>
        <w:overflowPunct/>
        <w:autoSpaceDE/>
        <w:bidi w:val="0"/>
        <w:snapToGrid w:val="0"/>
        <w:spacing w:line="560" w:lineRule="exact"/>
        <w:textAlignment w:val="auto"/>
        <w:rPr>
          <w:rFonts w:ascii="黑体" w:hAnsi="黑体" w:eastAsia="黑体" w:cs="黑体"/>
          <w:b w:val="0"/>
          <w:bCs w:val="0"/>
          <w:color w:val="000000"/>
          <w:sz w:val="28"/>
          <w:szCs w:val="28"/>
        </w:rPr>
      </w:pPr>
      <w:r>
        <w:rPr>
          <w:rFonts w:ascii="黑体" w:hAnsi="黑体" w:eastAsia="黑体" w:cs="黑体"/>
          <w:b w:val="0"/>
          <w:bCs w:val="0"/>
          <w:color w:val="000000"/>
          <w:sz w:val="28"/>
          <w:szCs w:val="28"/>
        </w:rPr>
        <w:t>七</w:t>
      </w:r>
      <w:r>
        <w:rPr>
          <w:rFonts w:ascii="黑体" w:hAnsi="黑体" w:eastAsia="黑体" w:cs="黑体"/>
          <w:b w:val="0"/>
          <w:bCs w:val="0"/>
          <w:color w:val="000000"/>
          <w:sz w:val="28"/>
          <w:szCs w:val="28"/>
          <w:lang w:eastAsia="zh-CN"/>
        </w:rPr>
        <w:t>、</w:t>
      </w:r>
      <w:r>
        <w:rPr>
          <w:rFonts w:ascii="黑体" w:hAnsi="黑体" w:eastAsia="黑体" w:cs="黑体"/>
          <w:b w:val="0"/>
          <w:bCs w:val="0"/>
          <w:color w:val="000000"/>
          <w:sz w:val="28"/>
          <w:szCs w:val="28"/>
        </w:rPr>
        <w:t>课题已有研究工作基础</w:t>
      </w:r>
    </w:p>
    <w:tbl>
      <w:tblPr>
        <w:tblStyle w:val="11"/>
        <w:tblW w:w="94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98"/>
      </w:tblGrid>
      <w:tr w14:paraId="65B58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92" w:hRule="atLeast"/>
          <w:jc w:val="center"/>
        </w:trPr>
        <w:tc>
          <w:tcPr>
            <w:tcW w:w="9498" w:type="dxa"/>
            <w:tcBorders>
              <w:top w:val="nil"/>
              <w:left w:val="nil"/>
              <w:bottom w:val="nil"/>
              <w:right w:val="nil"/>
              <w:insideH w:val="nil"/>
              <w:insideV w:val="nil"/>
              <w:tl2br w:val="nil"/>
              <w:tr2bl w:val="nil"/>
            </w:tcBorders>
            <w:vAlign w:val="top"/>
          </w:tcPr>
          <w:p w14:paraId="0A71C8EB">
            <w:pPr>
              <w:keepNext w:val="0"/>
              <w:keepLines w:val="0"/>
              <w:widowControl w:val="0"/>
              <w:kinsoku/>
              <w:overflowPunct/>
              <w:autoSpaceDE/>
              <w:bidi w:val="0"/>
              <w:snapToGrid w:val="0"/>
              <w:spacing w:before="0" w:after="0" w:line="400" w:lineRule="exact"/>
              <w:ind w:firstLine="0"/>
              <w:jc w:val="both"/>
              <w:textAlignment w:val="auto"/>
              <w:rPr>
                <w:rFonts w:ascii="仿宋_GB2312" w:hAnsi="仿宋_GB2312" w:eastAsia="仿宋_GB2312" w:cs="仿宋_GB2312"/>
                <w:color w:val="000000"/>
                <w:sz w:val="24"/>
                <w:szCs w:val="24"/>
              </w:rPr>
            </w:pPr>
            <w:r>
              <w:rPr>
                <w:rFonts w:ascii="Times New Roman" w:hAnsi="Times New Roman" w:eastAsia="仿宋_GB2312" w:cs="仿宋_GB2312"/>
                <w:b w:val="0"/>
                <w:color w:val="000000"/>
                <w:sz w:val="24"/>
                <w:szCs w:val="24"/>
                <w:lang w:eastAsia="zh-CN"/>
              </w:rPr>
              <w:t>（</w:t>
            </w:r>
            <w:r>
              <w:rPr>
                <w:rFonts w:ascii="Times New Roman" w:hAnsi="Times New Roman" w:eastAsia="仿宋_GB2312" w:cs="仿宋_GB2312"/>
                <w:b w:val="0"/>
                <w:color w:val="000000"/>
                <w:sz w:val="24"/>
                <w:szCs w:val="24"/>
              </w:rPr>
              <w:t>与本课题有关的研究工作积累和已取得的研究工作成绩（特别是前期探索</w:t>
            </w:r>
            <w:r>
              <w:rPr>
                <w:rFonts w:ascii="Times New Roman" w:hAnsi="Times New Roman" w:eastAsia="仿宋_GB2312" w:cs="仿宋_GB2312"/>
                <w:b w:val="0"/>
                <w:color w:val="000000"/>
                <w:sz w:val="24"/>
                <w:szCs w:val="24"/>
                <w:lang w:eastAsia="zh-CN"/>
              </w:rPr>
              <w:t>、</w:t>
            </w:r>
            <w:r>
              <w:rPr>
                <w:rFonts w:ascii="Times New Roman" w:hAnsi="Times New Roman" w:eastAsia="仿宋_GB2312" w:cs="仿宋_GB2312"/>
                <w:b w:val="0"/>
                <w:color w:val="000000"/>
                <w:sz w:val="24"/>
                <w:szCs w:val="24"/>
              </w:rPr>
              <w:t>实验结果</w:t>
            </w:r>
            <w:r>
              <w:rPr>
                <w:rFonts w:ascii="Times New Roman" w:hAnsi="Times New Roman" w:eastAsia="仿宋_GB2312" w:cs="仿宋_GB2312"/>
                <w:b w:val="0"/>
                <w:color w:val="000000"/>
                <w:sz w:val="24"/>
                <w:szCs w:val="24"/>
                <w:lang w:val="en-US" w:eastAsia="zh-CN"/>
              </w:rPr>
              <w:t>等</w:t>
            </w:r>
            <w:r>
              <w:rPr>
                <w:rFonts w:ascii="Times New Roman" w:hAnsi="Times New Roman" w:eastAsia="仿宋_GB2312" w:cs="仿宋_GB2312"/>
                <w:b w:val="0"/>
                <w:color w:val="000000"/>
                <w:sz w:val="24"/>
                <w:szCs w:val="24"/>
              </w:rPr>
              <w:t>）</w:t>
            </w:r>
            <w:r>
              <w:rPr>
                <w:rFonts w:ascii="Times New Roman" w:hAnsi="Times New Roman" w:eastAsia="仿宋_GB2312" w:cs="仿宋_GB2312"/>
                <w:b w:val="0"/>
                <w:color w:val="000000"/>
                <w:sz w:val="24"/>
                <w:szCs w:val="24"/>
                <w:lang w:eastAsia="zh-CN"/>
              </w:rPr>
              <w:t>）</w:t>
            </w:r>
          </w:p>
          <w:p w14:paraId="473B0E99">
            <w:pPr>
              <w:spacing w:before="0" w:after="0" w:line="400" w:lineRule="exact"/>
              <w:ind w:firstLine="480"/>
              <w:jc w:val="both"/>
            </w:pPr>
            <w:r>
              <w:rPr>
                <w:rFonts w:ascii="Times New Roman" w:hAnsi="Times New Roman" w:eastAsia="仿宋_GB2312"/>
                <w:b w:val="0"/>
                <w:sz w:val="24"/>
              </w:rPr>
              <w:t>已完成较系统的文献调研，围绕污水处理碳排放核算、非 CO₂ 温室气体实测、机器学习预测、模型解释和低碳运行路径梳理了国内外研究进展，并已明确本课题从“排放因子核算”向“实测校准—过程解释—工艺优化”延伸的研究切入点。</w:t>
            </w:r>
          </w:p>
          <w:p w14:paraId="79536E0B">
            <w:pPr>
              <w:spacing w:before="0" w:after="0" w:line="400" w:lineRule="exact"/>
              <w:ind w:firstLine="480"/>
              <w:jc w:val="both"/>
            </w:pPr>
            <w:r>
              <w:rPr>
                <w:rFonts w:ascii="Times New Roman" w:hAnsi="Times New Roman" w:eastAsia="仿宋_GB2312"/>
                <w:b w:val="0"/>
                <w:sz w:val="24"/>
              </w:rPr>
              <w:t>已获取常州市典型污水处理厂长期运行数据，并完成前期数据清洗与模型探索。现阶段以一座污水处理厂连续</w:t>
            </w:r>
            <w:r>
              <w:rPr>
                <w:rFonts w:hint="eastAsia" w:eastAsia="仿宋_GB2312"/>
                <w:b w:val="0"/>
                <w:sz w:val="24"/>
                <w:lang w:val="en-US" w:eastAsia="zh-CN"/>
              </w:rPr>
              <w:t>日期</w:t>
            </w:r>
            <w:r>
              <w:rPr>
                <w:rFonts w:ascii="Times New Roman" w:hAnsi="Times New Roman" w:eastAsia="仿宋_GB2312"/>
                <w:b w:val="0"/>
                <w:sz w:val="24"/>
              </w:rPr>
              <w:t>完整样本建立了初步碳排放账本：前期 PI-DPCH 模型测试集 R² 为 0.8333、MAPE 为 4.36%，相较 CatBoost 单模型的 R² 有明显提高、MAPE 明显降低；SHAP 初步识别</w:t>
            </w:r>
            <w:r>
              <w:rPr>
                <w:rFonts w:hint="eastAsia" w:eastAsia="仿宋_GB2312"/>
                <w:b w:val="0"/>
                <w:sz w:val="24"/>
                <w:lang w:val="en-US" w:eastAsia="zh-CN"/>
              </w:rPr>
              <w:t>并量化</w:t>
            </w:r>
            <w:r>
              <w:rPr>
                <w:rFonts w:ascii="Times New Roman" w:hAnsi="Times New Roman" w:eastAsia="仿宋_GB2312"/>
                <w:b w:val="0"/>
                <w:sz w:val="24"/>
              </w:rPr>
              <w:t>出单位处理水量电耗、TN 负荷、NH₃-N、C/N、水温和外加碳源量等关键变量。</w:t>
            </w:r>
          </w:p>
          <w:p w14:paraId="3A796ADB">
            <w:pPr>
              <w:spacing w:before="0" w:after="0" w:line="400" w:lineRule="exact"/>
              <w:ind w:firstLine="480"/>
              <w:jc w:val="both"/>
            </w:pPr>
            <w:r>
              <w:rPr>
                <w:rFonts w:ascii="Times New Roman" w:hAnsi="Times New Roman" w:eastAsia="仿宋_GB2312"/>
                <w:b w:val="0"/>
                <w:sz w:val="24"/>
              </w:rPr>
              <w:t>具备污水处理工艺分析、常规水质检测、机器学习建模和 Python 数据处理基础，合作污水厂可提供运行台账和现场工艺信息。因此，本课题已具备较好的数据、方法和实验基础。</w:t>
            </w:r>
          </w:p>
        </w:tc>
      </w:tr>
    </w:tbl>
    <w:p w14:paraId="037053CD">
      <w:pPr>
        <w:keepNext/>
        <w:keepLines/>
        <w:pageBreakBefore w:val="0"/>
        <w:widowControl w:val="0"/>
        <w:kinsoku/>
        <w:overflowPunct/>
        <w:autoSpaceDE/>
        <w:bidi w:val="0"/>
        <w:snapToGrid w:val="0"/>
        <w:spacing w:line="560" w:lineRule="exact"/>
        <w:textAlignment w:val="auto"/>
        <w:rPr>
          <w:rFonts w:ascii="黑体" w:hAnsi="黑体" w:eastAsia="黑体" w:cs="黑体"/>
          <w:b w:val="0"/>
          <w:bCs w:val="0"/>
          <w:color w:val="000000"/>
          <w:sz w:val="28"/>
          <w:szCs w:val="28"/>
          <w:lang w:val="en-US" w:eastAsia="zh-CN"/>
        </w:rPr>
      </w:pPr>
      <w:r>
        <w:rPr>
          <w:rFonts w:ascii="黑体" w:hAnsi="黑体" w:eastAsia="黑体" w:cs="黑体"/>
          <w:b w:val="0"/>
          <w:bCs w:val="0"/>
          <w:color w:val="000000"/>
          <w:sz w:val="28"/>
          <w:szCs w:val="28"/>
          <w:lang w:val="en-US" w:eastAsia="zh-CN"/>
        </w:rPr>
        <w:t>八、导师意见</w:t>
      </w:r>
    </w:p>
    <w:tbl>
      <w:tblPr>
        <w:tblStyle w:val="11"/>
        <w:tblW w:w="945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450"/>
      </w:tblGrid>
      <w:tr w14:paraId="6819F6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6115" w:hRule="atLeast"/>
          <w:jc w:val="center"/>
        </w:trPr>
        <w:tc>
          <w:tcPr>
            <w:tcW w:w="9450" w:type="dxa"/>
            <w:tcBorders>
              <w:top w:val="nil"/>
              <w:left w:val="nil"/>
              <w:bottom w:val="nil"/>
              <w:right w:val="nil"/>
              <w:insideH w:val="nil"/>
              <w:insideV w:val="nil"/>
              <w:tl2br w:val="nil"/>
              <w:tr2bl w:val="nil"/>
            </w:tcBorders>
          </w:tcPr>
          <w:p w14:paraId="6F570EB0">
            <w:pPr>
              <w:pStyle w:val="6"/>
              <w:keepNext w:val="0"/>
              <w:keepLines w:val="0"/>
              <w:widowControl w:val="0"/>
              <w:kinsoku/>
              <w:overflowPunct/>
              <w:autoSpaceDE/>
              <w:bidi w:val="0"/>
              <w:snapToGrid w:val="0"/>
              <w:spacing w:before="0" w:after="0" w:line="360" w:lineRule="exact"/>
              <w:ind w:right="0"/>
              <w:textAlignment w:val="auto"/>
              <w:rPr>
                <w:rFonts w:ascii="仿宋_GB2312" w:hAnsi="仿宋_GB2312" w:eastAsia="仿宋_GB2312" w:cs="仿宋_GB2312"/>
                <w:color w:val="000000"/>
                <w:sz w:val="24"/>
                <w:szCs w:val="24"/>
                <w:lang w:eastAsia="zh-CN"/>
              </w:rPr>
            </w:pPr>
            <w:r>
              <w:rPr>
                <w:rFonts w:ascii="仿宋_GB2312" w:hAnsi="仿宋_GB2312" w:eastAsia="仿宋_GB2312" w:cs="仿宋_GB2312"/>
                <w:b/>
                <w:bCs/>
                <w:color w:val="000000"/>
                <w:sz w:val="24"/>
                <w:szCs w:val="24"/>
                <w:lang w:val="en-US" w:eastAsia="zh-CN"/>
              </w:rPr>
              <w:t>校内导师意见</w:t>
            </w:r>
            <w:r>
              <w:rPr>
                <w:rFonts w:ascii="仿宋_GB2312" w:hAnsi="仿宋_GB2312" w:eastAsia="仿宋_GB2312" w:cs="仿宋_GB2312"/>
                <w:color w:val="000000"/>
                <w:sz w:val="24"/>
                <w:szCs w:val="24"/>
                <w:lang w:val="en-US" w:eastAsia="zh-CN"/>
              </w:rPr>
              <w:t>：</w:t>
            </w:r>
            <w:r>
              <w:rPr>
                <w:rFonts w:ascii="仿宋_GB2312" w:hAnsi="仿宋_GB2312" w:eastAsia="仿宋_GB2312" w:cs="仿宋_GB2312"/>
                <w:color w:val="000000"/>
                <w:sz w:val="24"/>
                <w:szCs w:val="24"/>
                <w:lang w:eastAsia="zh-CN"/>
              </w:rPr>
              <w:t>（</w:t>
            </w:r>
            <w:r>
              <w:rPr>
                <w:rFonts w:ascii="仿宋_GB2312" w:hAnsi="仿宋_GB2312" w:eastAsia="仿宋_GB2312" w:cs="仿宋_GB2312"/>
                <w:color w:val="000000"/>
                <w:sz w:val="24"/>
                <w:szCs w:val="24"/>
              </w:rPr>
              <w:t>导师对研究生开题报告的各项准备情况、选题、内容框架、研究方法、预期目标等作出评价，并给出是否同意研究生参加开题报告会的意见</w:t>
            </w:r>
            <w:r>
              <w:rPr>
                <w:rFonts w:ascii="仿宋_GB2312" w:hAnsi="仿宋_GB2312" w:eastAsia="仿宋_GB2312" w:cs="仿宋_GB2312"/>
                <w:color w:val="000000"/>
                <w:sz w:val="24"/>
                <w:szCs w:val="24"/>
                <w:lang w:eastAsia="zh-CN"/>
              </w:rPr>
              <w:t>）</w:t>
            </w:r>
          </w:p>
          <w:p w14:paraId="6E8DD0E3">
            <w:pPr>
              <w:keepNext w:val="0"/>
              <w:keepLines w:val="0"/>
              <w:widowControl w:val="0"/>
              <w:kinsoku/>
              <w:overflowPunct/>
              <w:autoSpaceDE/>
              <w:bidi w:val="0"/>
              <w:snapToGrid w:val="0"/>
              <w:spacing w:line="400" w:lineRule="exact"/>
              <w:ind w:right="0"/>
              <w:jc w:val="both"/>
              <w:textAlignment w:val="auto"/>
              <w:rPr>
                <w:rFonts w:ascii="宋体" w:hAnsi="宋体" w:eastAsia="仿宋_GB2312" w:cs="宋体"/>
                <w:color w:val="000000"/>
                <w:sz w:val="24"/>
                <w:szCs w:val="24"/>
                <w:lang w:eastAsia="zh-CN"/>
              </w:rPr>
            </w:pPr>
          </w:p>
          <w:p w14:paraId="07A8621C">
            <w:pPr>
              <w:pStyle w:val="17"/>
              <w:jc w:val="both"/>
              <w:rPr>
                <w:rFonts w:ascii="宋体" w:hAnsi="宋体" w:cs="宋体"/>
                <w:sz w:val="24"/>
              </w:rPr>
            </w:pPr>
          </w:p>
          <w:p w14:paraId="1118EFA8">
            <w:pPr>
              <w:pStyle w:val="17"/>
              <w:jc w:val="both"/>
              <w:rPr>
                <w:rFonts w:ascii="宋体" w:hAnsi="宋体" w:cs="宋体"/>
                <w:sz w:val="24"/>
              </w:rPr>
            </w:pPr>
          </w:p>
          <w:p w14:paraId="135CEFBB">
            <w:pPr>
              <w:pStyle w:val="17"/>
              <w:jc w:val="both"/>
              <w:rPr>
                <w:rFonts w:ascii="宋体" w:hAnsi="宋体" w:cs="宋体"/>
                <w:sz w:val="24"/>
              </w:rPr>
            </w:pPr>
          </w:p>
          <w:p w14:paraId="24D9F665">
            <w:pPr>
              <w:pStyle w:val="17"/>
              <w:jc w:val="both"/>
              <w:rPr>
                <w:rFonts w:ascii="宋体" w:hAnsi="宋体" w:cs="宋体"/>
                <w:sz w:val="24"/>
              </w:rPr>
            </w:pPr>
          </w:p>
          <w:p w14:paraId="745DE0DE">
            <w:pPr>
              <w:pStyle w:val="17"/>
              <w:jc w:val="both"/>
              <w:rPr>
                <w:rFonts w:ascii="宋体" w:hAnsi="宋体" w:cs="宋体"/>
                <w:sz w:val="24"/>
              </w:rPr>
            </w:pPr>
          </w:p>
          <w:p w14:paraId="090E6BF7">
            <w:pPr>
              <w:pStyle w:val="17"/>
              <w:jc w:val="both"/>
              <w:rPr>
                <w:rFonts w:ascii="宋体" w:hAnsi="宋体" w:cs="宋体"/>
                <w:sz w:val="24"/>
              </w:rPr>
            </w:pPr>
          </w:p>
          <w:p w14:paraId="4186D335">
            <w:pPr>
              <w:pStyle w:val="17"/>
              <w:jc w:val="both"/>
              <w:rPr>
                <w:rFonts w:ascii="宋体" w:hAnsi="宋体" w:cs="宋体"/>
                <w:sz w:val="24"/>
              </w:rPr>
            </w:pPr>
          </w:p>
          <w:p w14:paraId="3B604E9D">
            <w:pPr>
              <w:pStyle w:val="17"/>
              <w:jc w:val="both"/>
              <w:rPr>
                <w:rFonts w:ascii="宋体" w:hAnsi="宋体" w:cs="宋体"/>
                <w:sz w:val="24"/>
              </w:rPr>
            </w:pPr>
          </w:p>
          <w:p w14:paraId="665D81F8">
            <w:pPr>
              <w:pStyle w:val="17"/>
              <w:jc w:val="both"/>
              <w:rPr>
                <w:rFonts w:ascii="宋体" w:hAnsi="宋体" w:cs="宋体"/>
                <w:sz w:val="24"/>
              </w:rPr>
            </w:pPr>
          </w:p>
          <w:p w14:paraId="30DC9429">
            <w:pPr>
              <w:pStyle w:val="17"/>
              <w:jc w:val="both"/>
              <w:rPr>
                <w:rFonts w:ascii="宋体" w:hAnsi="宋体" w:cs="宋体"/>
                <w:sz w:val="24"/>
              </w:rPr>
            </w:pPr>
          </w:p>
          <w:p w14:paraId="24AF86D7">
            <w:pPr>
              <w:keepNext w:val="0"/>
              <w:keepLines w:val="0"/>
              <w:widowControl w:val="0"/>
              <w:kinsoku/>
              <w:overflowPunct/>
              <w:autoSpaceDE/>
              <w:bidi w:val="0"/>
              <w:snapToGrid w:val="0"/>
              <w:spacing w:line="400" w:lineRule="exact"/>
              <w:ind w:right="0" w:firstLine="480"/>
              <w:jc w:val="both"/>
              <w:textAlignment w:val="auto"/>
              <w:rPr>
                <w:rFonts w:ascii="宋体" w:hAnsi="宋体" w:cs="宋体"/>
                <w:sz w:val="24"/>
              </w:rPr>
            </w:pPr>
          </w:p>
          <w:p w14:paraId="597E6871">
            <w:pPr>
              <w:pStyle w:val="17"/>
              <w:rPr>
                <w:rFonts w:ascii="宋体" w:hAnsi="宋体" w:cs="宋体"/>
                <w:sz w:val="24"/>
              </w:rPr>
            </w:pPr>
          </w:p>
          <w:p w14:paraId="5A70DF9C">
            <w:pPr>
              <w:ind w:right="960" w:firstLine="960"/>
              <w:rPr>
                <w:rFonts w:ascii="仿宋_GB2312" w:hAnsi="仿宋_GB2312" w:eastAsia="仿宋_GB2312" w:cs="仿宋_GB2312"/>
                <w:sz w:val="24"/>
              </w:rPr>
            </w:pPr>
            <w:r>
              <w:rPr>
                <w:rFonts w:ascii="Wingdings" w:hAnsi="Wingdings" w:eastAsia="Wingdings" w:cs="Wingdings"/>
                <w:sz w:val="24"/>
              </w:rPr>
              <w:sym w:font="Wingdings" w:char="00A8"/>
            </w:r>
            <w:r>
              <w:rPr>
                <w:rFonts w:ascii="仿宋_GB2312" w:hAnsi="仿宋_GB2312" w:eastAsia="仿宋_GB2312" w:cs="仿宋_GB2312"/>
                <w:sz w:val="24"/>
              </w:rPr>
              <w:t>同意开题</w:t>
            </w:r>
            <w:r>
              <w:rPr>
                <w:rFonts w:ascii="仿宋_GB2312" w:hAnsi="仿宋_GB2312" w:eastAsia="仿宋_GB2312" w:cs="仿宋_GB2312"/>
                <w:sz w:val="24"/>
                <w:lang w:val="en-US" w:eastAsia="zh-CN"/>
              </w:rPr>
              <w:t xml:space="preserve">   </w:t>
            </w:r>
            <w:r>
              <w:rPr>
                <w:rFonts w:ascii="仿宋_GB2312" w:hAnsi="仿宋_GB2312" w:eastAsia="仿宋_GB2312" w:cs="仿宋_GB2312"/>
                <w:sz w:val="24"/>
              </w:rPr>
              <w:t xml:space="preserve"> </w:t>
            </w:r>
            <w:r>
              <w:rPr>
                <w:rFonts w:ascii="仿宋_GB2312" w:hAnsi="仿宋_GB2312" w:eastAsia="仿宋_GB2312" w:cs="仿宋_GB2312"/>
                <w:sz w:val="24"/>
                <w:lang w:val="en-US" w:eastAsia="zh-CN"/>
              </w:rPr>
              <w:t xml:space="preserve">        </w:t>
            </w:r>
            <w:r>
              <w:rPr>
                <w:rFonts w:ascii="仿宋_GB2312" w:hAnsi="仿宋_GB2312" w:eastAsia="仿宋_GB2312" w:cs="仿宋_GB2312"/>
                <w:sz w:val="24"/>
              </w:rPr>
              <w:t xml:space="preserve"> </w:t>
            </w:r>
            <w:r>
              <w:rPr>
                <w:rFonts w:ascii="Wingdings" w:hAnsi="Wingdings" w:eastAsia="Wingdings" w:cs="Wingdings"/>
                <w:sz w:val="24"/>
              </w:rPr>
              <w:sym w:font="Wingdings" w:char="00A8"/>
            </w:r>
            <w:r>
              <w:rPr>
                <w:rFonts w:ascii="仿宋_GB2312" w:hAnsi="仿宋_GB2312" w:eastAsia="仿宋_GB2312" w:cs="仿宋_GB2312"/>
                <w:sz w:val="24"/>
              </w:rPr>
              <w:t>不同意开题</w:t>
            </w:r>
          </w:p>
          <w:p w14:paraId="6C792C6D">
            <w:pPr>
              <w:pStyle w:val="6"/>
              <w:keepNext w:val="0"/>
              <w:keepLines w:val="0"/>
              <w:widowControl w:val="0"/>
              <w:kinsoku/>
              <w:overflowPunct/>
              <w:autoSpaceDE/>
              <w:bidi w:val="0"/>
              <w:snapToGrid w:val="0"/>
              <w:spacing w:before="0" w:after="0" w:line="520" w:lineRule="exact"/>
              <w:ind w:right="0" w:firstLine="2160"/>
              <w:textAlignment w:val="auto"/>
              <w:rPr>
                <w:rFonts w:ascii="仿宋_GB2312" w:hAnsi="仿宋_GB2312" w:eastAsia="仿宋_GB2312" w:cs="仿宋_GB2312"/>
                <w:color w:val="000000"/>
                <w:sz w:val="24"/>
                <w:szCs w:val="24"/>
                <w:lang w:val="en-US" w:eastAsia="zh-CN"/>
              </w:rPr>
            </w:pPr>
          </w:p>
          <w:p w14:paraId="3E1706E7">
            <w:pPr>
              <w:pStyle w:val="6"/>
              <w:keepNext w:val="0"/>
              <w:keepLines w:val="0"/>
              <w:widowControl w:val="0"/>
              <w:kinsoku/>
              <w:overflowPunct/>
              <w:autoSpaceDE/>
              <w:bidi w:val="0"/>
              <w:snapToGrid w:val="0"/>
              <w:spacing w:before="0" w:after="0" w:line="700" w:lineRule="exact"/>
              <w:ind w:right="0" w:firstLine="2160"/>
              <w:textAlignment w:val="auto"/>
              <w:rPr>
                <w:rFonts w:ascii="仿宋_GB2312" w:hAnsi="仿宋_GB2312" w:eastAsia="仿宋_GB2312" w:cs="仿宋_GB2312"/>
                <w:color w:val="000000"/>
                <w:sz w:val="24"/>
                <w:szCs w:val="24"/>
                <w:lang w:val="en-US" w:eastAsia="zh-CN"/>
              </w:rPr>
            </w:pPr>
            <w:r>
              <w:rPr>
                <w:rFonts w:ascii="仿宋_GB2312" w:hAnsi="仿宋_GB2312" w:eastAsia="仿宋_GB2312" w:cs="仿宋_GB2312"/>
                <w:color w:val="000000"/>
                <w:sz w:val="24"/>
                <w:szCs w:val="24"/>
                <w:lang w:val="en-US" w:eastAsia="zh-CN"/>
              </w:rPr>
              <w:t>校内</w:t>
            </w:r>
            <w:r>
              <w:rPr>
                <w:rFonts w:ascii="仿宋_GB2312" w:hAnsi="仿宋_GB2312" w:eastAsia="仿宋_GB2312" w:cs="仿宋_GB2312"/>
                <w:color w:val="000000"/>
                <w:sz w:val="24"/>
                <w:szCs w:val="24"/>
              </w:rPr>
              <w:t>导师签字：</w:t>
            </w:r>
            <w:r>
              <w:rPr>
                <w:rFonts w:ascii="仿宋_GB2312" w:hAnsi="仿宋_GB2312" w:eastAsia="仿宋_GB2312" w:cs="仿宋_GB2312"/>
                <w:color w:val="000000"/>
                <w:sz w:val="24"/>
                <w:szCs w:val="24"/>
                <w:lang w:val="en-US" w:eastAsia="zh-CN"/>
              </w:rPr>
              <w:t xml:space="preserve">                           </w:t>
            </w:r>
            <w:r>
              <w:rPr>
                <w:rFonts w:ascii="仿宋_GB2312" w:hAnsi="仿宋_GB2312" w:eastAsia="仿宋_GB2312" w:cs="仿宋_GB2312"/>
                <w:color w:val="000000"/>
                <w:sz w:val="24"/>
                <w:szCs w:val="24"/>
              </w:rPr>
              <w:t xml:space="preserve"> 年     月     日</w:t>
            </w:r>
          </w:p>
        </w:tc>
      </w:tr>
      <w:tr w14:paraId="666F3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Height w:val="5006" w:hRule="atLeast"/>
          <w:jc w:val="center"/>
        </w:trPr>
        <w:tc>
          <w:tcPr>
            <w:tcW w:w="9450" w:type="dxa"/>
            <w:tcBorders>
              <w:top w:val="nil"/>
              <w:left w:val="nil"/>
              <w:bottom w:val="nil"/>
              <w:right w:val="nil"/>
              <w:insideH w:val="nil"/>
              <w:insideV w:val="nil"/>
              <w:tl2br w:val="nil"/>
              <w:tr2bl w:val="nil"/>
            </w:tcBorders>
          </w:tcPr>
          <w:p w14:paraId="0E9A69BE">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r>
              <w:rPr>
                <w:rFonts w:ascii="仿宋_GB2312" w:hAnsi="仿宋_GB2312" w:eastAsia="仿宋_GB2312" w:cs="仿宋_GB2312"/>
                <w:b/>
                <w:bCs/>
                <w:color w:val="000000"/>
                <w:sz w:val="24"/>
                <w:szCs w:val="24"/>
                <w:lang w:val="en-US" w:eastAsia="zh-CN"/>
              </w:rPr>
              <w:t>校外导师意见</w:t>
            </w:r>
            <w:r>
              <w:rPr>
                <w:rFonts w:ascii="仿宋_GB2312" w:hAnsi="仿宋_GB2312" w:eastAsia="仿宋_GB2312" w:cs="仿宋_GB2312"/>
                <w:color w:val="000000"/>
                <w:sz w:val="24"/>
                <w:szCs w:val="24"/>
                <w:lang w:val="en-US" w:eastAsia="zh-CN"/>
              </w:rPr>
              <w:t>：（从行业实践角度对选题的应用价值、技术可行性、实践创新性等作出评价，并给出是否同意研究生参加开题报告会的意见）</w:t>
            </w:r>
          </w:p>
          <w:p w14:paraId="00D6AD09">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74A9097E">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131D12A1">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7FEFC8A8">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4CD65CA9">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2F51C6C6">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36787E0F">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15E5F33A">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4749263F">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29B0865A">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5BA4D66B">
            <w:pPr>
              <w:ind w:right="960" w:firstLine="960"/>
              <w:rPr>
                <w:rFonts w:ascii="仿宋_GB2312" w:hAnsi="仿宋_GB2312" w:eastAsia="仿宋_GB2312" w:cs="仿宋_GB2312"/>
                <w:sz w:val="24"/>
              </w:rPr>
            </w:pPr>
            <w:r>
              <w:rPr>
                <w:rFonts w:ascii="Wingdings" w:hAnsi="Wingdings" w:eastAsia="Wingdings" w:cs="Wingdings"/>
                <w:sz w:val="24"/>
              </w:rPr>
              <w:sym w:font="Wingdings" w:char="00A8"/>
            </w:r>
            <w:r>
              <w:rPr>
                <w:rFonts w:ascii="仿宋_GB2312" w:hAnsi="仿宋_GB2312" w:eastAsia="仿宋_GB2312" w:cs="仿宋_GB2312"/>
                <w:sz w:val="24"/>
              </w:rPr>
              <w:t>同意开题</w:t>
            </w:r>
            <w:r>
              <w:rPr>
                <w:rFonts w:ascii="仿宋_GB2312" w:hAnsi="仿宋_GB2312" w:eastAsia="仿宋_GB2312" w:cs="仿宋_GB2312"/>
                <w:sz w:val="24"/>
                <w:lang w:val="en-US" w:eastAsia="zh-CN"/>
              </w:rPr>
              <w:t xml:space="preserve">   </w:t>
            </w:r>
            <w:r>
              <w:rPr>
                <w:rFonts w:ascii="仿宋_GB2312" w:hAnsi="仿宋_GB2312" w:eastAsia="仿宋_GB2312" w:cs="仿宋_GB2312"/>
                <w:sz w:val="24"/>
              </w:rPr>
              <w:t xml:space="preserve"> </w:t>
            </w:r>
            <w:r>
              <w:rPr>
                <w:rFonts w:ascii="仿宋_GB2312" w:hAnsi="仿宋_GB2312" w:eastAsia="仿宋_GB2312" w:cs="仿宋_GB2312"/>
                <w:sz w:val="24"/>
                <w:lang w:val="en-US" w:eastAsia="zh-CN"/>
              </w:rPr>
              <w:t xml:space="preserve">        </w:t>
            </w:r>
            <w:r>
              <w:rPr>
                <w:rFonts w:ascii="仿宋_GB2312" w:hAnsi="仿宋_GB2312" w:eastAsia="仿宋_GB2312" w:cs="仿宋_GB2312"/>
                <w:sz w:val="24"/>
              </w:rPr>
              <w:t xml:space="preserve"> </w:t>
            </w:r>
            <w:r>
              <w:rPr>
                <w:rFonts w:ascii="Wingdings" w:hAnsi="Wingdings" w:eastAsia="Wingdings" w:cs="Wingdings"/>
                <w:sz w:val="24"/>
              </w:rPr>
              <w:sym w:font="Wingdings" w:char="00A8"/>
            </w:r>
            <w:r>
              <w:rPr>
                <w:rFonts w:ascii="仿宋_GB2312" w:hAnsi="仿宋_GB2312" w:eastAsia="仿宋_GB2312" w:cs="仿宋_GB2312"/>
                <w:sz w:val="24"/>
              </w:rPr>
              <w:t>不同意开题</w:t>
            </w:r>
          </w:p>
          <w:p w14:paraId="2ADFEE11">
            <w:pPr>
              <w:pStyle w:val="6"/>
              <w:keepNext w:val="0"/>
              <w:keepLines w:val="0"/>
              <w:widowControl w:val="0"/>
              <w:kinsoku/>
              <w:overflowPunct/>
              <w:autoSpaceDE/>
              <w:bidi w:val="0"/>
              <w:snapToGrid w:val="0"/>
              <w:spacing w:before="0" w:after="0" w:line="360" w:lineRule="exact"/>
              <w:textAlignment w:val="auto"/>
              <w:rPr>
                <w:rFonts w:ascii="仿宋_GB2312" w:hAnsi="仿宋_GB2312" w:eastAsia="仿宋_GB2312" w:cs="仿宋_GB2312"/>
                <w:color w:val="000000"/>
                <w:sz w:val="24"/>
                <w:szCs w:val="24"/>
                <w:lang w:val="en-US" w:eastAsia="zh-CN"/>
              </w:rPr>
            </w:pPr>
          </w:p>
          <w:p w14:paraId="448649BC">
            <w:pPr>
              <w:pStyle w:val="6"/>
              <w:keepNext w:val="0"/>
              <w:keepLines w:val="0"/>
              <w:widowControl w:val="0"/>
              <w:kinsoku/>
              <w:overflowPunct/>
              <w:autoSpaceDE/>
              <w:bidi w:val="0"/>
              <w:snapToGrid w:val="0"/>
              <w:spacing w:before="0" w:after="0" w:line="700" w:lineRule="exact"/>
              <w:ind w:right="0" w:firstLine="2160"/>
              <w:textAlignment w:val="auto"/>
              <w:rPr>
                <w:rFonts w:ascii="仿宋_GB2312" w:hAnsi="仿宋_GB2312" w:eastAsia="仿宋_GB2312" w:cs="仿宋_GB2312"/>
                <w:color w:val="000000"/>
                <w:sz w:val="24"/>
                <w:szCs w:val="24"/>
                <w:lang w:val="en-US" w:eastAsia="zh-CN"/>
              </w:rPr>
            </w:pPr>
            <w:r>
              <w:rPr>
                <w:rFonts w:ascii="仿宋_GB2312" w:hAnsi="仿宋_GB2312" w:eastAsia="仿宋_GB2312" w:cs="仿宋_GB2312"/>
                <w:color w:val="000000"/>
                <w:sz w:val="24"/>
                <w:szCs w:val="24"/>
                <w:lang w:val="en-US" w:eastAsia="zh-CN"/>
              </w:rPr>
              <w:t>校外</w:t>
            </w:r>
            <w:r>
              <w:rPr>
                <w:rFonts w:ascii="仿宋_GB2312" w:hAnsi="仿宋_GB2312" w:eastAsia="仿宋_GB2312" w:cs="仿宋_GB2312"/>
                <w:color w:val="000000"/>
                <w:sz w:val="24"/>
                <w:szCs w:val="24"/>
              </w:rPr>
              <w:t>导师签字：</w:t>
            </w:r>
            <w:r>
              <w:rPr>
                <w:rFonts w:ascii="仿宋_GB2312" w:hAnsi="仿宋_GB2312" w:eastAsia="仿宋_GB2312" w:cs="仿宋_GB2312"/>
                <w:color w:val="000000"/>
                <w:sz w:val="24"/>
                <w:szCs w:val="24"/>
                <w:lang w:val="en-US" w:eastAsia="zh-CN"/>
              </w:rPr>
              <w:t xml:space="preserve">                           </w:t>
            </w:r>
            <w:r>
              <w:rPr>
                <w:rFonts w:ascii="仿宋_GB2312" w:hAnsi="仿宋_GB2312" w:eastAsia="仿宋_GB2312" w:cs="仿宋_GB2312"/>
                <w:color w:val="000000"/>
                <w:sz w:val="24"/>
                <w:szCs w:val="24"/>
              </w:rPr>
              <w:t xml:space="preserve"> 年     月     日</w:t>
            </w:r>
          </w:p>
        </w:tc>
      </w:tr>
    </w:tbl>
    <w:p w14:paraId="32350F99">
      <w:pPr>
        <w:keepNext/>
        <w:keepLines/>
        <w:pageBreakBefore w:val="0"/>
        <w:widowControl w:val="0"/>
        <w:kinsoku/>
        <w:overflowPunct/>
        <w:autoSpaceDE/>
        <w:bidi w:val="0"/>
        <w:snapToGrid w:val="0"/>
        <w:spacing w:line="560" w:lineRule="exact"/>
        <w:textAlignment w:val="auto"/>
        <w:rPr>
          <w:rFonts w:ascii="黑体" w:hAnsi="黑体" w:eastAsia="黑体" w:cs="黑体"/>
          <w:b w:val="0"/>
          <w:bCs w:val="0"/>
          <w:color w:val="000000"/>
          <w:sz w:val="28"/>
          <w:szCs w:val="28"/>
          <w:lang w:val="en-US" w:eastAsia="zh-CN"/>
        </w:rPr>
      </w:pPr>
      <w:r>
        <w:rPr>
          <w:rFonts w:ascii="黑体" w:hAnsi="黑体" w:eastAsia="黑体" w:cs="黑体"/>
          <w:b w:val="0"/>
          <w:bCs w:val="0"/>
          <w:color w:val="000000"/>
          <w:sz w:val="28"/>
          <w:szCs w:val="28"/>
          <w:lang w:val="en-US" w:eastAsia="zh-CN"/>
        </w:rPr>
        <w:t>九、开题审核</w:t>
      </w:r>
    </w:p>
    <w:tbl>
      <w:tblPr>
        <w:tblStyle w:val="11"/>
        <w:tblW w:w="946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3"/>
        <w:gridCol w:w="1523"/>
        <w:gridCol w:w="1453"/>
        <w:gridCol w:w="748"/>
        <w:gridCol w:w="3036"/>
        <w:gridCol w:w="1541"/>
      </w:tblGrid>
      <w:tr w14:paraId="17388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6" w:hRule="atLeast"/>
          <w:jc w:val="center"/>
        </w:trPr>
        <w:tc>
          <w:tcPr>
            <w:tcW w:w="4887" w:type="dxa"/>
            <w:gridSpan w:val="4"/>
            <w:tcBorders>
              <w:top w:val="nil"/>
              <w:left w:val="nil"/>
              <w:bottom w:val="nil"/>
              <w:right w:val="nil"/>
              <w:insideH w:val="nil"/>
              <w:insideV w:val="nil"/>
              <w:tl2br w:val="nil"/>
              <w:tr2bl w:val="nil"/>
            </w:tcBorders>
            <w:vAlign w:val="center"/>
          </w:tcPr>
          <w:p w14:paraId="1D9BA457">
            <w:pPr>
              <w:rPr>
                <w:rFonts w:ascii="仿宋_GB2312" w:hAnsi="仿宋_GB2312" w:eastAsia="仿宋_GB2312" w:cs="仿宋_GB2312"/>
                <w:b w:val="0"/>
                <w:bCs w:val="0"/>
                <w:color w:val="000000"/>
                <w:sz w:val="24"/>
                <w:szCs w:val="24"/>
              </w:rPr>
            </w:pPr>
            <w:r>
              <w:rPr>
                <w:rFonts w:ascii="仿宋_GB2312" w:hAnsi="仿宋_GB2312" w:eastAsia="仿宋_GB2312" w:cs="仿宋_GB2312"/>
                <w:b/>
                <w:bCs/>
                <w:color w:val="000000"/>
                <w:sz w:val="24"/>
                <w:szCs w:val="24"/>
              </w:rPr>
              <w:t>开题报告地点</w:t>
            </w:r>
            <w:r>
              <w:rPr>
                <w:rFonts w:ascii="仿宋_GB2312" w:hAnsi="仿宋_GB2312" w:eastAsia="仿宋_GB2312" w:cs="仿宋_GB2312"/>
                <w:b w:val="0"/>
                <w:bCs w:val="0"/>
                <w:color w:val="000000"/>
                <w:sz w:val="24"/>
                <w:szCs w:val="24"/>
              </w:rPr>
              <w:t>：</w:t>
            </w:r>
          </w:p>
        </w:tc>
        <w:tc>
          <w:tcPr>
            <w:tcW w:w="4577" w:type="dxa"/>
            <w:gridSpan w:val="2"/>
            <w:tcBorders>
              <w:top w:val="nil"/>
              <w:left w:val="nil"/>
              <w:bottom w:val="nil"/>
              <w:right w:val="nil"/>
              <w:insideH w:val="nil"/>
              <w:insideV w:val="nil"/>
              <w:tl2br w:val="nil"/>
              <w:tr2bl w:val="nil"/>
            </w:tcBorders>
            <w:vAlign w:val="center"/>
          </w:tcPr>
          <w:p w14:paraId="4F80D04C">
            <w:pPr>
              <w:rPr>
                <w:rFonts w:ascii="仿宋_GB2312" w:hAnsi="仿宋_GB2312" w:eastAsia="仿宋_GB2312" w:cs="仿宋_GB2312"/>
                <w:b w:val="0"/>
                <w:bCs w:val="0"/>
                <w:color w:val="000000"/>
                <w:sz w:val="24"/>
                <w:szCs w:val="24"/>
              </w:rPr>
            </w:pPr>
            <w:r>
              <w:rPr>
                <w:rFonts w:ascii="仿宋_GB2312" w:hAnsi="仿宋_GB2312" w:eastAsia="仿宋_GB2312" w:cs="仿宋_GB2312"/>
                <w:b/>
                <w:bCs/>
                <w:color w:val="000000"/>
                <w:sz w:val="24"/>
                <w:szCs w:val="24"/>
              </w:rPr>
              <w:t>开题报告时间</w:t>
            </w:r>
            <w:r>
              <w:rPr>
                <w:rFonts w:ascii="仿宋_GB2312" w:hAnsi="仿宋_GB2312" w:eastAsia="仿宋_GB2312" w:cs="仿宋_GB2312"/>
                <w:b w:val="0"/>
                <w:bCs w:val="0"/>
                <w:color w:val="000000"/>
                <w:sz w:val="24"/>
                <w:szCs w:val="24"/>
              </w:rPr>
              <w:t>：</w:t>
            </w:r>
          </w:p>
        </w:tc>
      </w:tr>
      <w:tr w14:paraId="411AB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6" w:hRule="atLeast"/>
          <w:jc w:val="center"/>
        </w:trPr>
        <w:tc>
          <w:tcPr>
            <w:tcW w:w="9464" w:type="dxa"/>
            <w:gridSpan w:val="6"/>
            <w:tcBorders>
              <w:top w:val="nil"/>
              <w:left w:val="nil"/>
              <w:bottom w:val="nil"/>
              <w:right w:val="nil"/>
              <w:insideH w:val="nil"/>
              <w:insideV w:val="nil"/>
              <w:tl2br w:val="nil"/>
              <w:tr2bl w:val="nil"/>
            </w:tcBorders>
            <w:vAlign w:val="center"/>
          </w:tcPr>
          <w:p w14:paraId="08C5B6C4">
            <w:pPr>
              <w:rPr>
                <w:rFonts w:ascii="仿宋_GB2312" w:hAnsi="仿宋_GB2312" w:eastAsia="仿宋_GB2312" w:cs="仿宋_GB2312"/>
                <w:b w:val="0"/>
                <w:bCs w:val="0"/>
                <w:color w:val="000000"/>
                <w:sz w:val="24"/>
                <w:szCs w:val="24"/>
              </w:rPr>
            </w:pPr>
            <w:r>
              <w:rPr>
                <w:rFonts w:ascii="仿宋_GB2312" w:hAnsi="仿宋_GB2312" w:eastAsia="仿宋_GB2312" w:cs="仿宋_GB2312"/>
                <w:b w:val="0"/>
                <w:bCs w:val="0"/>
                <w:color w:val="000000"/>
                <w:sz w:val="24"/>
                <w:szCs w:val="24"/>
              </w:rPr>
              <w:t>注：以下第一</w:t>
            </w:r>
            <w:r>
              <w:rPr>
                <w:rFonts w:ascii="仿宋_GB2312" w:hAnsi="仿宋_GB2312" w:eastAsia="仿宋_GB2312" w:cs="仿宋_GB2312"/>
                <w:b w:val="0"/>
                <w:bCs w:val="0"/>
                <w:color w:val="000000"/>
                <w:sz w:val="24"/>
                <w:szCs w:val="24"/>
                <w:lang w:val="en-US" w:eastAsia="zh-CN"/>
              </w:rPr>
              <w:t>行</w:t>
            </w:r>
            <w:r>
              <w:rPr>
                <w:rFonts w:ascii="仿宋_GB2312" w:hAnsi="仿宋_GB2312" w:eastAsia="仿宋_GB2312" w:cs="仿宋_GB2312"/>
                <w:b w:val="0"/>
                <w:bCs w:val="0"/>
                <w:color w:val="000000"/>
                <w:sz w:val="24"/>
                <w:szCs w:val="24"/>
              </w:rPr>
              <w:t>填入开题考核小组组长</w:t>
            </w:r>
          </w:p>
        </w:tc>
      </w:tr>
      <w:tr w14:paraId="109868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6" w:hRule="atLeast"/>
          <w:jc w:val="center"/>
        </w:trPr>
        <w:tc>
          <w:tcPr>
            <w:tcW w:w="1163" w:type="dxa"/>
            <w:vMerge w:val="restart"/>
            <w:tcBorders>
              <w:top w:val="nil"/>
              <w:left w:val="nil"/>
              <w:bottom w:val="nil"/>
              <w:right w:val="nil"/>
              <w:insideH w:val="nil"/>
              <w:insideV w:val="nil"/>
              <w:tl2br w:val="nil"/>
              <w:tr2bl w:val="nil"/>
            </w:tcBorders>
            <w:vAlign w:val="center"/>
          </w:tcPr>
          <w:p w14:paraId="43FB5804">
            <w:pPr>
              <w:jc w:val="center"/>
              <w:rPr>
                <w:rFonts w:ascii="仿宋_GB2312" w:hAnsi="仿宋_GB2312" w:eastAsia="仿宋_GB2312" w:cs="仿宋_GB2312"/>
                <w:b w:val="0"/>
                <w:bCs w:val="0"/>
                <w:color w:val="000000"/>
                <w:sz w:val="24"/>
                <w:szCs w:val="24"/>
              </w:rPr>
            </w:pPr>
            <w:r>
              <w:rPr>
                <w:rFonts w:ascii="仿宋_GB2312" w:hAnsi="仿宋_GB2312" w:eastAsia="仿宋_GB2312" w:cs="仿宋_GB2312"/>
                <w:b/>
                <w:bCs/>
                <w:color w:val="000000"/>
                <w:sz w:val="24"/>
                <w:szCs w:val="24"/>
              </w:rPr>
              <w:t>开题考核小组成员</w:t>
            </w:r>
          </w:p>
        </w:tc>
        <w:tc>
          <w:tcPr>
            <w:tcW w:w="1523" w:type="dxa"/>
            <w:tcBorders>
              <w:top w:val="nil"/>
              <w:left w:val="nil"/>
              <w:bottom w:val="nil"/>
              <w:right w:val="nil"/>
              <w:insideH w:val="nil"/>
              <w:insideV w:val="nil"/>
              <w:tl2br w:val="nil"/>
              <w:tr2bl w:val="nil"/>
            </w:tcBorders>
            <w:vAlign w:val="center"/>
          </w:tcPr>
          <w:p w14:paraId="461AD478">
            <w:pPr>
              <w:jc w:val="center"/>
              <w:rPr>
                <w:rFonts w:ascii="仿宋_GB2312" w:hAnsi="仿宋_GB2312" w:eastAsia="仿宋_GB2312" w:cs="仿宋_GB2312"/>
                <w:b/>
                <w:bCs/>
                <w:color w:val="000000"/>
                <w:sz w:val="24"/>
                <w:szCs w:val="24"/>
              </w:rPr>
            </w:pPr>
            <w:r>
              <w:rPr>
                <w:rFonts w:ascii="仿宋_GB2312" w:hAnsi="仿宋_GB2312" w:eastAsia="仿宋_GB2312" w:cs="仿宋_GB2312"/>
                <w:b/>
                <w:bCs/>
                <w:color w:val="000000"/>
                <w:sz w:val="24"/>
                <w:szCs w:val="24"/>
              </w:rPr>
              <w:t>姓名</w:t>
            </w:r>
          </w:p>
        </w:tc>
        <w:tc>
          <w:tcPr>
            <w:tcW w:w="1453" w:type="dxa"/>
            <w:tcBorders>
              <w:top w:val="nil"/>
              <w:left w:val="nil"/>
              <w:bottom w:val="nil"/>
              <w:right w:val="nil"/>
              <w:insideH w:val="nil"/>
              <w:insideV w:val="nil"/>
              <w:tl2br w:val="nil"/>
              <w:tr2bl w:val="nil"/>
            </w:tcBorders>
            <w:vAlign w:val="center"/>
          </w:tcPr>
          <w:p w14:paraId="5DB13BCC">
            <w:pPr>
              <w:jc w:val="center"/>
              <w:rPr>
                <w:rFonts w:ascii="仿宋_GB2312" w:hAnsi="仿宋_GB2312" w:eastAsia="仿宋_GB2312" w:cs="仿宋_GB2312"/>
                <w:b/>
                <w:bCs/>
                <w:color w:val="000000"/>
                <w:sz w:val="24"/>
                <w:szCs w:val="24"/>
              </w:rPr>
            </w:pPr>
            <w:r>
              <w:rPr>
                <w:rFonts w:ascii="仿宋_GB2312" w:hAnsi="仿宋_GB2312" w:eastAsia="仿宋_GB2312" w:cs="仿宋_GB2312"/>
                <w:b/>
                <w:bCs/>
                <w:color w:val="000000"/>
                <w:sz w:val="24"/>
                <w:szCs w:val="24"/>
              </w:rPr>
              <w:t>职称</w:t>
            </w:r>
          </w:p>
        </w:tc>
        <w:tc>
          <w:tcPr>
            <w:tcW w:w="3784" w:type="dxa"/>
            <w:gridSpan w:val="2"/>
            <w:tcBorders>
              <w:top w:val="nil"/>
              <w:left w:val="nil"/>
              <w:bottom w:val="nil"/>
              <w:right w:val="nil"/>
              <w:insideH w:val="nil"/>
              <w:insideV w:val="nil"/>
              <w:tl2br w:val="nil"/>
              <w:tr2bl w:val="nil"/>
            </w:tcBorders>
            <w:vAlign w:val="center"/>
          </w:tcPr>
          <w:p w14:paraId="298A64BC">
            <w:pPr>
              <w:jc w:val="center"/>
              <w:rPr>
                <w:rFonts w:ascii="仿宋_GB2312" w:hAnsi="仿宋_GB2312" w:eastAsia="仿宋_GB2312" w:cs="仿宋_GB2312"/>
                <w:b/>
                <w:bCs/>
                <w:color w:val="000000"/>
                <w:sz w:val="24"/>
                <w:szCs w:val="24"/>
              </w:rPr>
            </w:pPr>
            <w:r>
              <w:rPr>
                <w:rFonts w:ascii="仿宋_GB2312" w:hAnsi="仿宋_GB2312" w:eastAsia="仿宋_GB2312" w:cs="仿宋_GB2312"/>
                <w:b/>
                <w:bCs/>
                <w:color w:val="000000"/>
                <w:sz w:val="24"/>
                <w:szCs w:val="24"/>
              </w:rPr>
              <w:t>工作单位</w:t>
            </w:r>
          </w:p>
        </w:tc>
        <w:tc>
          <w:tcPr>
            <w:tcW w:w="1541" w:type="dxa"/>
            <w:tcBorders>
              <w:top w:val="nil"/>
              <w:left w:val="nil"/>
              <w:bottom w:val="nil"/>
              <w:right w:val="nil"/>
              <w:insideH w:val="nil"/>
              <w:insideV w:val="nil"/>
              <w:tl2br w:val="nil"/>
              <w:tr2bl w:val="nil"/>
            </w:tcBorders>
            <w:vAlign w:val="center"/>
          </w:tcPr>
          <w:p w14:paraId="5A1FE8EE">
            <w:pPr>
              <w:jc w:val="center"/>
              <w:rPr>
                <w:rFonts w:ascii="仿宋_GB2312" w:hAnsi="仿宋_GB2312" w:eastAsia="仿宋_GB2312" w:cs="仿宋_GB2312"/>
                <w:b/>
                <w:bCs/>
                <w:color w:val="000000"/>
                <w:sz w:val="24"/>
                <w:szCs w:val="24"/>
              </w:rPr>
            </w:pPr>
            <w:r>
              <w:rPr>
                <w:rFonts w:ascii="仿宋_GB2312" w:hAnsi="仿宋_GB2312" w:eastAsia="仿宋_GB2312" w:cs="仿宋_GB2312"/>
                <w:b/>
                <w:bCs/>
                <w:color w:val="000000"/>
                <w:sz w:val="24"/>
                <w:szCs w:val="24"/>
              </w:rPr>
              <w:t>签字</w:t>
            </w:r>
          </w:p>
        </w:tc>
      </w:tr>
      <w:tr w14:paraId="656C24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163" w:type="dxa"/>
            <w:vMerge w:val="continue"/>
            <w:tcBorders>
              <w:top w:val="nil"/>
              <w:left w:val="nil"/>
              <w:bottom w:val="nil"/>
              <w:right w:val="nil"/>
            </w:tcBorders>
            <w:vAlign w:val="center"/>
          </w:tcPr>
          <w:p w14:paraId="71DE6E87">
            <w:pPr>
              <w:snapToGrid w:val="0"/>
              <w:jc w:val="center"/>
              <w:rPr>
                <w:rFonts w:ascii="仿宋_GB2312" w:hAnsi="仿宋_GB2312" w:eastAsia="仿宋_GB2312" w:cs="仿宋_GB2312"/>
                <w:b w:val="0"/>
                <w:bCs w:val="0"/>
                <w:color w:val="000000"/>
                <w:sz w:val="24"/>
                <w:szCs w:val="24"/>
              </w:rPr>
            </w:pPr>
          </w:p>
        </w:tc>
        <w:tc>
          <w:tcPr>
            <w:tcW w:w="1523" w:type="dxa"/>
            <w:tcBorders>
              <w:top w:val="nil"/>
              <w:left w:val="nil"/>
              <w:bottom w:val="nil"/>
              <w:right w:val="nil"/>
              <w:insideH w:val="nil"/>
              <w:insideV w:val="nil"/>
              <w:tl2br w:val="nil"/>
              <w:tr2bl w:val="nil"/>
            </w:tcBorders>
            <w:vAlign w:val="center"/>
          </w:tcPr>
          <w:p w14:paraId="4E97FFB7">
            <w:pPr>
              <w:snapToGrid w:val="0"/>
              <w:jc w:val="center"/>
              <w:rPr>
                <w:rFonts w:ascii="仿宋_GB2312" w:hAnsi="仿宋_GB2312" w:eastAsia="仿宋_GB2312" w:cs="仿宋_GB2312"/>
                <w:b w:val="0"/>
                <w:bCs w:val="0"/>
                <w:color w:val="000000"/>
                <w:sz w:val="24"/>
                <w:szCs w:val="24"/>
              </w:rPr>
            </w:pPr>
          </w:p>
        </w:tc>
        <w:tc>
          <w:tcPr>
            <w:tcW w:w="1453" w:type="dxa"/>
            <w:tcBorders>
              <w:top w:val="nil"/>
              <w:left w:val="nil"/>
              <w:bottom w:val="nil"/>
              <w:right w:val="nil"/>
              <w:insideH w:val="nil"/>
              <w:insideV w:val="nil"/>
              <w:tl2br w:val="nil"/>
              <w:tr2bl w:val="nil"/>
            </w:tcBorders>
            <w:vAlign w:val="center"/>
          </w:tcPr>
          <w:p w14:paraId="51A96C1A">
            <w:pPr>
              <w:snapToGrid w:val="0"/>
              <w:jc w:val="center"/>
              <w:rPr>
                <w:rFonts w:ascii="仿宋_GB2312" w:hAnsi="仿宋_GB2312" w:eastAsia="仿宋_GB2312" w:cs="仿宋_GB2312"/>
                <w:b w:val="0"/>
                <w:bCs w:val="0"/>
                <w:color w:val="000000"/>
                <w:sz w:val="24"/>
                <w:szCs w:val="24"/>
              </w:rPr>
            </w:pPr>
          </w:p>
        </w:tc>
        <w:tc>
          <w:tcPr>
            <w:tcW w:w="3784" w:type="dxa"/>
            <w:gridSpan w:val="2"/>
            <w:tcBorders>
              <w:top w:val="nil"/>
              <w:left w:val="nil"/>
              <w:bottom w:val="nil"/>
              <w:right w:val="nil"/>
              <w:insideH w:val="nil"/>
              <w:insideV w:val="nil"/>
              <w:tl2br w:val="nil"/>
              <w:tr2bl w:val="nil"/>
            </w:tcBorders>
            <w:vAlign w:val="center"/>
          </w:tcPr>
          <w:p w14:paraId="5AFF0445">
            <w:pPr>
              <w:snapToGrid w:val="0"/>
              <w:jc w:val="center"/>
              <w:rPr>
                <w:rFonts w:ascii="仿宋_GB2312" w:hAnsi="仿宋_GB2312" w:eastAsia="仿宋_GB2312" w:cs="仿宋_GB2312"/>
                <w:b w:val="0"/>
                <w:bCs w:val="0"/>
                <w:color w:val="000000"/>
                <w:sz w:val="24"/>
                <w:szCs w:val="24"/>
              </w:rPr>
            </w:pPr>
          </w:p>
        </w:tc>
        <w:tc>
          <w:tcPr>
            <w:tcW w:w="1541" w:type="dxa"/>
            <w:tcBorders>
              <w:top w:val="nil"/>
              <w:left w:val="nil"/>
              <w:bottom w:val="nil"/>
              <w:right w:val="nil"/>
              <w:insideH w:val="nil"/>
              <w:insideV w:val="nil"/>
              <w:tl2br w:val="nil"/>
              <w:tr2bl w:val="nil"/>
            </w:tcBorders>
            <w:vAlign w:val="center"/>
          </w:tcPr>
          <w:p w14:paraId="405CD080">
            <w:pPr>
              <w:snapToGrid w:val="0"/>
              <w:jc w:val="center"/>
              <w:rPr>
                <w:rFonts w:ascii="仿宋_GB2312" w:hAnsi="仿宋_GB2312" w:eastAsia="仿宋_GB2312" w:cs="仿宋_GB2312"/>
                <w:b w:val="0"/>
                <w:bCs w:val="0"/>
                <w:color w:val="000000"/>
                <w:sz w:val="24"/>
                <w:szCs w:val="24"/>
              </w:rPr>
            </w:pPr>
          </w:p>
        </w:tc>
      </w:tr>
      <w:tr w14:paraId="4BA73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163" w:type="dxa"/>
            <w:vMerge w:val="continue"/>
            <w:tcBorders>
              <w:top w:val="nil"/>
              <w:left w:val="nil"/>
              <w:bottom w:val="nil"/>
              <w:right w:val="nil"/>
            </w:tcBorders>
            <w:vAlign w:val="center"/>
          </w:tcPr>
          <w:p w14:paraId="377F14C1">
            <w:pPr>
              <w:snapToGrid w:val="0"/>
              <w:jc w:val="center"/>
              <w:rPr>
                <w:rFonts w:ascii="仿宋_GB2312" w:hAnsi="仿宋_GB2312" w:eastAsia="仿宋_GB2312" w:cs="仿宋_GB2312"/>
                <w:b w:val="0"/>
                <w:bCs w:val="0"/>
                <w:color w:val="000000"/>
                <w:sz w:val="24"/>
                <w:szCs w:val="24"/>
              </w:rPr>
            </w:pPr>
          </w:p>
        </w:tc>
        <w:tc>
          <w:tcPr>
            <w:tcW w:w="1523" w:type="dxa"/>
            <w:tcBorders>
              <w:top w:val="nil"/>
              <w:left w:val="nil"/>
              <w:bottom w:val="nil"/>
              <w:right w:val="nil"/>
              <w:insideH w:val="nil"/>
              <w:insideV w:val="nil"/>
              <w:tl2br w:val="nil"/>
              <w:tr2bl w:val="nil"/>
            </w:tcBorders>
            <w:vAlign w:val="center"/>
          </w:tcPr>
          <w:p w14:paraId="785D5E63">
            <w:pPr>
              <w:snapToGrid w:val="0"/>
              <w:jc w:val="center"/>
              <w:rPr>
                <w:rFonts w:ascii="仿宋_GB2312" w:hAnsi="仿宋_GB2312" w:eastAsia="仿宋_GB2312" w:cs="仿宋_GB2312"/>
                <w:b w:val="0"/>
                <w:bCs w:val="0"/>
                <w:color w:val="000000"/>
                <w:sz w:val="24"/>
                <w:szCs w:val="24"/>
              </w:rPr>
            </w:pPr>
          </w:p>
        </w:tc>
        <w:tc>
          <w:tcPr>
            <w:tcW w:w="1453" w:type="dxa"/>
            <w:tcBorders>
              <w:top w:val="nil"/>
              <w:left w:val="nil"/>
              <w:bottom w:val="nil"/>
              <w:right w:val="nil"/>
              <w:insideH w:val="nil"/>
              <w:insideV w:val="nil"/>
              <w:tl2br w:val="nil"/>
              <w:tr2bl w:val="nil"/>
            </w:tcBorders>
            <w:vAlign w:val="center"/>
          </w:tcPr>
          <w:p w14:paraId="6515CCA2">
            <w:pPr>
              <w:snapToGrid w:val="0"/>
              <w:jc w:val="center"/>
              <w:rPr>
                <w:rFonts w:ascii="仿宋_GB2312" w:hAnsi="仿宋_GB2312" w:eastAsia="仿宋_GB2312" w:cs="仿宋_GB2312"/>
                <w:b w:val="0"/>
                <w:bCs w:val="0"/>
                <w:color w:val="000000"/>
                <w:sz w:val="24"/>
                <w:szCs w:val="24"/>
              </w:rPr>
            </w:pPr>
          </w:p>
        </w:tc>
        <w:tc>
          <w:tcPr>
            <w:tcW w:w="3784" w:type="dxa"/>
            <w:gridSpan w:val="2"/>
            <w:tcBorders>
              <w:top w:val="nil"/>
              <w:left w:val="nil"/>
              <w:bottom w:val="nil"/>
              <w:right w:val="nil"/>
              <w:insideH w:val="nil"/>
              <w:insideV w:val="nil"/>
              <w:tl2br w:val="nil"/>
              <w:tr2bl w:val="nil"/>
            </w:tcBorders>
            <w:vAlign w:val="center"/>
          </w:tcPr>
          <w:p w14:paraId="12AC2F54">
            <w:pPr>
              <w:snapToGrid w:val="0"/>
              <w:jc w:val="center"/>
              <w:rPr>
                <w:rFonts w:ascii="仿宋_GB2312" w:hAnsi="仿宋_GB2312" w:eastAsia="仿宋_GB2312" w:cs="仿宋_GB2312"/>
                <w:b w:val="0"/>
                <w:bCs w:val="0"/>
                <w:color w:val="000000"/>
                <w:sz w:val="24"/>
                <w:szCs w:val="24"/>
              </w:rPr>
            </w:pPr>
          </w:p>
        </w:tc>
        <w:tc>
          <w:tcPr>
            <w:tcW w:w="1541" w:type="dxa"/>
            <w:tcBorders>
              <w:top w:val="nil"/>
              <w:left w:val="nil"/>
              <w:bottom w:val="nil"/>
              <w:right w:val="nil"/>
              <w:insideH w:val="nil"/>
              <w:insideV w:val="nil"/>
              <w:tl2br w:val="nil"/>
              <w:tr2bl w:val="nil"/>
            </w:tcBorders>
            <w:vAlign w:val="center"/>
          </w:tcPr>
          <w:p w14:paraId="3C02632D">
            <w:pPr>
              <w:snapToGrid w:val="0"/>
              <w:jc w:val="center"/>
              <w:rPr>
                <w:rFonts w:ascii="仿宋_GB2312" w:hAnsi="仿宋_GB2312" w:eastAsia="仿宋_GB2312" w:cs="仿宋_GB2312"/>
                <w:b w:val="0"/>
                <w:bCs w:val="0"/>
                <w:color w:val="000000"/>
                <w:sz w:val="24"/>
                <w:szCs w:val="24"/>
              </w:rPr>
            </w:pPr>
          </w:p>
        </w:tc>
      </w:tr>
      <w:tr w14:paraId="6FB547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163" w:type="dxa"/>
            <w:vMerge w:val="continue"/>
            <w:tcBorders>
              <w:top w:val="nil"/>
              <w:left w:val="nil"/>
              <w:bottom w:val="nil"/>
              <w:right w:val="nil"/>
            </w:tcBorders>
            <w:vAlign w:val="center"/>
          </w:tcPr>
          <w:p w14:paraId="17C76BB7">
            <w:pPr>
              <w:snapToGrid w:val="0"/>
              <w:jc w:val="center"/>
              <w:rPr>
                <w:rFonts w:ascii="仿宋_GB2312" w:hAnsi="仿宋_GB2312" w:eastAsia="仿宋_GB2312" w:cs="仿宋_GB2312"/>
                <w:b w:val="0"/>
                <w:bCs w:val="0"/>
                <w:color w:val="000000"/>
                <w:sz w:val="24"/>
                <w:szCs w:val="24"/>
              </w:rPr>
            </w:pPr>
          </w:p>
        </w:tc>
        <w:tc>
          <w:tcPr>
            <w:tcW w:w="1523" w:type="dxa"/>
            <w:tcBorders>
              <w:top w:val="nil"/>
              <w:left w:val="nil"/>
              <w:bottom w:val="nil"/>
              <w:right w:val="nil"/>
              <w:insideH w:val="nil"/>
              <w:insideV w:val="nil"/>
              <w:tl2br w:val="nil"/>
              <w:tr2bl w:val="nil"/>
            </w:tcBorders>
            <w:vAlign w:val="center"/>
          </w:tcPr>
          <w:p w14:paraId="20F63077">
            <w:pPr>
              <w:snapToGrid w:val="0"/>
              <w:jc w:val="center"/>
              <w:rPr>
                <w:rFonts w:ascii="仿宋_GB2312" w:hAnsi="仿宋_GB2312" w:eastAsia="仿宋_GB2312" w:cs="仿宋_GB2312"/>
                <w:b w:val="0"/>
                <w:bCs w:val="0"/>
                <w:color w:val="000000"/>
                <w:sz w:val="24"/>
                <w:szCs w:val="24"/>
              </w:rPr>
            </w:pPr>
          </w:p>
        </w:tc>
        <w:tc>
          <w:tcPr>
            <w:tcW w:w="1453" w:type="dxa"/>
            <w:tcBorders>
              <w:top w:val="nil"/>
              <w:left w:val="nil"/>
              <w:bottom w:val="nil"/>
              <w:right w:val="nil"/>
              <w:insideH w:val="nil"/>
              <w:insideV w:val="nil"/>
              <w:tl2br w:val="nil"/>
              <w:tr2bl w:val="nil"/>
            </w:tcBorders>
            <w:vAlign w:val="center"/>
          </w:tcPr>
          <w:p w14:paraId="75AE954F">
            <w:pPr>
              <w:snapToGrid w:val="0"/>
              <w:jc w:val="center"/>
              <w:rPr>
                <w:rFonts w:ascii="仿宋_GB2312" w:hAnsi="仿宋_GB2312" w:eastAsia="仿宋_GB2312" w:cs="仿宋_GB2312"/>
                <w:b w:val="0"/>
                <w:bCs w:val="0"/>
                <w:color w:val="000000"/>
                <w:sz w:val="24"/>
                <w:szCs w:val="24"/>
              </w:rPr>
            </w:pPr>
          </w:p>
        </w:tc>
        <w:tc>
          <w:tcPr>
            <w:tcW w:w="3784" w:type="dxa"/>
            <w:gridSpan w:val="2"/>
            <w:tcBorders>
              <w:top w:val="nil"/>
              <w:left w:val="nil"/>
              <w:bottom w:val="nil"/>
              <w:right w:val="nil"/>
              <w:insideH w:val="nil"/>
              <w:insideV w:val="nil"/>
              <w:tl2br w:val="nil"/>
              <w:tr2bl w:val="nil"/>
            </w:tcBorders>
            <w:vAlign w:val="center"/>
          </w:tcPr>
          <w:p w14:paraId="29A255B3">
            <w:pPr>
              <w:snapToGrid w:val="0"/>
              <w:jc w:val="center"/>
              <w:rPr>
                <w:rFonts w:ascii="仿宋_GB2312" w:hAnsi="仿宋_GB2312" w:eastAsia="仿宋_GB2312" w:cs="仿宋_GB2312"/>
                <w:b w:val="0"/>
                <w:bCs w:val="0"/>
                <w:color w:val="000000"/>
                <w:sz w:val="24"/>
                <w:szCs w:val="24"/>
              </w:rPr>
            </w:pPr>
          </w:p>
        </w:tc>
        <w:tc>
          <w:tcPr>
            <w:tcW w:w="1541" w:type="dxa"/>
            <w:tcBorders>
              <w:top w:val="nil"/>
              <w:left w:val="nil"/>
              <w:bottom w:val="nil"/>
              <w:right w:val="nil"/>
              <w:insideH w:val="nil"/>
              <w:insideV w:val="nil"/>
              <w:tl2br w:val="nil"/>
              <w:tr2bl w:val="nil"/>
            </w:tcBorders>
            <w:vAlign w:val="center"/>
          </w:tcPr>
          <w:p w14:paraId="4455A3AF">
            <w:pPr>
              <w:snapToGrid w:val="0"/>
              <w:jc w:val="center"/>
              <w:rPr>
                <w:rFonts w:ascii="仿宋_GB2312" w:hAnsi="仿宋_GB2312" w:eastAsia="仿宋_GB2312" w:cs="仿宋_GB2312"/>
                <w:b w:val="0"/>
                <w:bCs w:val="0"/>
                <w:color w:val="000000"/>
                <w:sz w:val="24"/>
                <w:szCs w:val="24"/>
              </w:rPr>
            </w:pPr>
          </w:p>
        </w:tc>
      </w:tr>
      <w:tr w14:paraId="68A00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163" w:type="dxa"/>
            <w:vMerge w:val="continue"/>
            <w:tcBorders>
              <w:top w:val="nil"/>
              <w:left w:val="nil"/>
              <w:bottom w:val="nil"/>
              <w:right w:val="nil"/>
            </w:tcBorders>
            <w:vAlign w:val="center"/>
          </w:tcPr>
          <w:p w14:paraId="456EAABE">
            <w:pPr>
              <w:snapToGrid w:val="0"/>
              <w:jc w:val="center"/>
              <w:rPr>
                <w:rFonts w:ascii="仿宋_GB2312" w:hAnsi="仿宋_GB2312" w:eastAsia="仿宋_GB2312" w:cs="仿宋_GB2312"/>
                <w:b w:val="0"/>
                <w:bCs w:val="0"/>
                <w:color w:val="000000"/>
                <w:sz w:val="24"/>
                <w:szCs w:val="24"/>
              </w:rPr>
            </w:pPr>
          </w:p>
        </w:tc>
        <w:tc>
          <w:tcPr>
            <w:tcW w:w="1523" w:type="dxa"/>
            <w:tcBorders>
              <w:top w:val="nil"/>
              <w:left w:val="nil"/>
              <w:bottom w:val="nil"/>
              <w:right w:val="nil"/>
              <w:insideH w:val="nil"/>
              <w:insideV w:val="nil"/>
              <w:tl2br w:val="nil"/>
              <w:tr2bl w:val="nil"/>
            </w:tcBorders>
            <w:vAlign w:val="center"/>
          </w:tcPr>
          <w:p w14:paraId="388D5AAD">
            <w:pPr>
              <w:snapToGrid w:val="0"/>
              <w:jc w:val="center"/>
              <w:rPr>
                <w:rFonts w:ascii="仿宋_GB2312" w:hAnsi="仿宋_GB2312" w:eastAsia="仿宋_GB2312" w:cs="仿宋_GB2312"/>
                <w:b w:val="0"/>
                <w:bCs w:val="0"/>
                <w:color w:val="000000"/>
                <w:sz w:val="24"/>
                <w:szCs w:val="24"/>
              </w:rPr>
            </w:pPr>
          </w:p>
        </w:tc>
        <w:tc>
          <w:tcPr>
            <w:tcW w:w="1453" w:type="dxa"/>
            <w:tcBorders>
              <w:top w:val="nil"/>
              <w:left w:val="nil"/>
              <w:bottom w:val="nil"/>
              <w:right w:val="nil"/>
              <w:insideH w:val="nil"/>
              <w:insideV w:val="nil"/>
              <w:tl2br w:val="nil"/>
              <w:tr2bl w:val="nil"/>
            </w:tcBorders>
            <w:vAlign w:val="center"/>
          </w:tcPr>
          <w:p w14:paraId="6DC6B5AA">
            <w:pPr>
              <w:snapToGrid w:val="0"/>
              <w:jc w:val="center"/>
              <w:rPr>
                <w:rFonts w:ascii="仿宋_GB2312" w:hAnsi="仿宋_GB2312" w:eastAsia="仿宋_GB2312" w:cs="仿宋_GB2312"/>
                <w:b w:val="0"/>
                <w:bCs w:val="0"/>
                <w:color w:val="000000"/>
                <w:sz w:val="24"/>
                <w:szCs w:val="24"/>
              </w:rPr>
            </w:pPr>
          </w:p>
        </w:tc>
        <w:tc>
          <w:tcPr>
            <w:tcW w:w="3784" w:type="dxa"/>
            <w:gridSpan w:val="2"/>
            <w:tcBorders>
              <w:top w:val="nil"/>
              <w:left w:val="nil"/>
              <w:bottom w:val="nil"/>
              <w:right w:val="nil"/>
              <w:insideH w:val="nil"/>
              <w:insideV w:val="nil"/>
              <w:tl2br w:val="nil"/>
              <w:tr2bl w:val="nil"/>
            </w:tcBorders>
            <w:vAlign w:val="center"/>
          </w:tcPr>
          <w:p w14:paraId="015A6959">
            <w:pPr>
              <w:snapToGrid w:val="0"/>
              <w:jc w:val="center"/>
              <w:rPr>
                <w:rFonts w:ascii="仿宋_GB2312" w:hAnsi="仿宋_GB2312" w:eastAsia="仿宋_GB2312" w:cs="仿宋_GB2312"/>
                <w:b w:val="0"/>
                <w:bCs w:val="0"/>
                <w:color w:val="000000"/>
                <w:sz w:val="24"/>
                <w:szCs w:val="24"/>
              </w:rPr>
            </w:pPr>
          </w:p>
        </w:tc>
        <w:tc>
          <w:tcPr>
            <w:tcW w:w="1541" w:type="dxa"/>
            <w:tcBorders>
              <w:top w:val="nil"/>
              <w:left w:val="nil"/>
              <w:bottom w:val="nil"/>
              <w:right w:val="nil"/>
              <w:insideH w:val="nil"/>
              <w:insideV w:val="nil"/>
              <w:tl2br w:val="nil"/>
              <w:tr2bl w:val="nil"/>
            </w:tcBorders>
            <w:vAlign w:val="center"/>
          </w:tcPr>
          <w:p w14:paraId="033263EA">
            <w:pPr>
              <w:snapToGrid w:val="0"/>
              <w:jc w:val="center"/>
              <w:rPr>
                <w:rFonts w:ascii="仿宋_GB2312" w:hAnsi="仿宋_GB2312" w:eastAsia="仿宋_GB2312" w:cs="仿宋_GB2312"/>
                <w:b w:val="0"/>
                <w:bCs w:val="0"/>
                <w:color w:val="000000"/>
                <w:sz w:val="24"/>
                <w:szCs w:val="24"/>
              </w:rPr>
            </w:pPr>
          </w:p>
        </w:tc>
      </w:tr>
      <w:tr w14:paraId="0BCF2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exact"/>
          <w:jc w:val="center"/>
        </w:trPr>
        <w:tc>
          <w:tcPr>
            <w:tcW w:w="1163" w:type="dxa"/>
            <w:vMerge w:val="continue"/>
            <w:tcBorders>
              <w:top w:val="nil"/>
              <w:left w:val="nil"/>
              <w:bottom w:val="nil"/>
              <w:right w:val="nil"/>
            </w:tcBorders>
            <w:vAlign w:val="center"/>
          </w:tcPr>
          <w:p w14:paraId="00EDBD21">
            <w:pPr>
              <w:snapToGrid w:val="0"/>
              <w:jc w:val="center"/>
              <w:rPr>
                <w:rFonts w:ascii="仿宋_GB2312" w:hAnsi="仿宋_GB2312" w:eastAsia="仿宋_GB2312" w:cs="仿宋_GB2312"/>
                <w:b w:val="0"/>
                <w:bCs w:val="0"/>
                <w:color w:val="000000"/>
                <w:sz w:val="24"/>
                <w:szCs w:val="24"/>
              </w:rPr>
            </w:pPr>
          </w:p>
        </w:tc>
        <w:tc>
          <w:tcPr>
            <w:tcW w:w="1523" w:type="dxa"/>
            <w:tcBorders>
              <w:top w:val="nil"/>
              <w:left w:val="nil"/>
              <w:bottom w:val="nil"/>
              <w:right w:val="nil"/>
              <w:insideH w:val="nil"/>
              <w:insideV w:val="nil"/>
              <w:tl2br w:val="nil"/>
              <w:tr2bl w:val="nil"/>
            </w:tcBorders>
            <w:vAlign w:val="center"/>
          </w:tcPr>
          <w:p w14:paraId="32654FB6">
            <w:pPr>
              <w:snapToGrid w:val="0"/>
              <w:jc w:val="center"/>
              <w:rPr>
                <w:rFonts w:ascii="仿宋_GB2312" w:hAnsi="仿宋_GB2312" w:eastAsia="仿宋_GB2312" w:cs="仿宋_GB2312"/>
                <w:b w:val="0"/>
                <w:bCs w:val="0"/>
                <w:color w:val="000000"/>
                <w:sz w:val="24"/>
                <w:szCs w:val="24"/>
              </w:rPr>
            </w:pPr>
          </w:p>
        </w:tc>
        <w:tc>
          <w:tcPr>
            <w:tcW w:w="1453" w:type="dxa"/>
            <w:tcBorders>
              <w:top w:val="nil"/>
              <w:left w:val="nil"/>
              <w:bottom w:val="nil"/>
              <w:right w:val="nil"/>
              <w:insideH w:val="nil"/>
              <w:insideV w:val="nil"/>
              <w:tl2br w:val="nil"/>
              <w:tr2bl w:val="nil"/>
            </w:tcBorders>
            <w:vAlign w:val="center"/>
          </w:tcPr>
          <w:p w14:paraId="3A4851A2">
            <w:pPr>
              <w:snapToGrid w:val="0"/>
              <w:jc w:val="center"/>
              <w:rPr>
                <w:rFonts w:ascii="仿宋_GB2312" w:hAnsi="仿宋_GB2312" w:eastAsia="仿宋_GB2312" w:cs="仿宋_GB2312"/>
                <w:b w:val="0"/>
                <w:bCs w:val="0"/>
                <w:color w:val="000000"/>
                <w:sz w:val="24"/>
                <w:szCs w:val="24"/>
              </w:rPr>
            </w:pPr>
          </w:p>
        </w:tc>
        <w:tc>
          <w:tcPr>
            <w:tcW w:w="3784" w:type="dxa"/>
            <w:gridSpan w:val="2"/>
            <w:tcBorders>
              <w:top w:val="nil"/>
              <w:left w:val="nil"/>
              <w:bottom w:val="nil"/>
              <w:right w:val="nil"/>
              <w:insideH w:val="nil"/>
              <w:insideV w:val="nil"/>
              <w:tl2br w:val="nil"/>
              <w:tr2bl w:val="nil"/>
            </w:tcBorders>
            <w:vAlign w:val="center"/>
          </w:tcPr>
          <w:p w14:paraId="585E6870">
            <w:pPr>
              <w:snapToGrid w:val="0"/>
              <w:jc w:val="center"/>
              <w:rPr>
                <w:rFonts w:ascii="仿宋_GB2312" w:hAnsi="仿宋_GB2312" w:eastAsia="仿宋_GB2312" w:cs="仿宋_GB2312"/>
                <w:b w:val="0"/>
                <w:bCs w:val="0"/>
                <w:color w:val="000000"/>
                <w:sz w:val="24"/>
                <w:szCs w:val="24"/>
              </w:rPr>
            </w:pPr>
          </w:p>
        </w:tc>
        <w:tc>
          <w:tcPr>
            <w:tcW w:w="1541" w:type="dxa"/>
            <w:tcBorders>
              <w:top w:val="nil"/>
              <w:left w:val="nil"/>
              <w:bottom w:val="nil"/>
              <w:right w:val="nil"/>
              <w:insideH w:val="nil"/>
              <w:insideV w:val="nil"/>
              <w:tl2br w:val="nil"/>
              <w:tr2bl w:val="nil"/>
            </w:tcBorders>
            <w:vAlign w:val="center"/>
          </w:tcPr>
          <w:p w14:paraId="70209A01">
            <w:pPr>
              <w:snapToGrid w:val="0"/>
              <w:jc w:val="center"/>
              <w:rPr>
                <w:rFonts w:ascii="仿宋_GB2312" w:hAnsi="仿宋_GB2312" w:eastAsia="仿宋_GB2312" w:cs="仿宋_GB2312"/>
                <w:b w:val="0"/>
                <w:bCs w:val="0"/>
                <w:color w:val="000000"/>
                <w:sz w:val="24"/>
                <w:szCs w:val="24"/>
              </w:rPr>
            </w:pPr>
          </w:p>
        </w:tc>
      </w:tr>
      <w:tr w14:paraId="5C1E5B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45" w:hRule="atLeast"/>
          <w:jc w:val="center"/>
        </w:trPr>
        <w:tc>
          <w:tcPr>
            <w:tcW w:w="9464" w:type="dxa"/>
            <w:gridSpan w:val="6"/>
            <w:tcBorders>
              <w:top w:val="nil"/>
              <w:left w:val="nil"/>
              <w:bottom w:val="nil"/>
              <w:right w:val="nil"/>
              <w:insideH w:val="nil"/>
              <w:insideV w:val="nil"/>
              <w:tl2br w:val="nil"/>
              <w:tr2bl w:val="nil"/>
            </w:tcBorders>
          </w:tcPr>
          <w:p w14:paraId="51223595">
            <w:pPr>
              <w:spacing w:line="360" w:lineRule="auto"/>
              <w:rPr>
                <w:rFonts w:ascii="仿宋_GB2312" w:hAnsi="仿宋_GB2312" w:eastAsia="仿宋_GB2312" w:cs="仿宋_GB2312"/>
                <w:b w:val="0"/>
                <w:bCs w:val="0"/>
                <w:color w:val="000000"/>
                <w:sz w:val="24"/>
                <w:szCs w:val="24"/>
                <w:lang w:eastAsia="zh-CN"/>
              </w:rPr>
            </w:pPr>
            <w:r>
              <w:rPr>
                <w:rFonts w:ascii="仿宋_GB2312" w:hAnsi="仿宋_GB2312" w:eastAsia="仿宋_GB2312" w:cs="仿宋_GB2312"/>
                <w:b/>
                <w:bCs/>
                <w:color w:val="000000"/>
                <w:sz w:val="24"/>
                <w:szCs w:val="24"/>
                <w:lang w:val="en-US" w:eastAsia="zh-CN"/>
              </w:rPr>
              <w:t>考核</w:t>
            </w:r>
            <w:r>
              <w:rPr>
                <w:rFonts w:ascii="仿宋_GB2312" w:hAnsi="仿宋_GB2312" w:eastAsia="仿宋_GB2312" w:cs="仿宋_GB2312"/>
                <w:b/>
                <w:bCs/>
                <w:color w:val="000000"/>
                <w:sz w:val="24"/>
                <w:szCs w:val="24"/>
              </w:rPr>
              <w:t>小组审核意见</w:t>
            </w:r>
            <w:r>
              <w:rPr>
                <w:rFonts w:ascii="仿宋_GB2312" w:hAnsi="仿宋_GB2312" w:eastAsia="仿宋_GB2312" w:cs="仿宋_GB2312"/>
                <w:b w:val="0"/>
                <w:bCs w:val="0"/>
                <w:color w:val="000000"/>
                <w:sz w:val="24"/>
                <w:szCs w:val="24"/>
                <w:lang w:eastAsia="zh-CN"/>
              </w:rPr>
              <w:t>：</w:t>
            </w:r>
          </w:p>
          <w:p w14:paraId="34CCD3FA">
            <w:pPr>
              <w:spacing w:line="440" w:lineRule="exact"/>
              <w:ind w:left="105" w:right="105" w:firstLine="480"/>
              <w:rPr>
                <w:rFonts w:ascii="仿宋_GB2312" w:hAnsi="仿宋_GB2312" w:eastAsia="仿宋_GB2312" w:cs="仿宋_GB2312"/>
                <w:b w:val="0"/>
                <w:bCs w:val="0"/>
                <w:color w:val="000000"/>
                <w:sz w:val="24"/>
                <w:szCs w:val="24"/>
                <w:lang w:eastAsia="zh-CN"/>
              </w:rPr>
            </w:pPr>
          </w:p>
          <w:p w14:paraId="5C9CD2BC">
            <w:pPr>
              <w:spacing w:line="440" w:lineRule="exact"/>
              <w:ind w:left="105" w:right="105" w:firstLine="480"/>
              <w:rPr>
                <w:rFonts w:ascii="仿宋_GB2312" w:hAnsi="仿宋_GB2312" w:eastAsia="仿宋_GB2312" w:cs="仿宋_GB2312"/>
                <w:b w:val="0"/>
                <w:bCs w:val="0"/>
                <w:color w:val="000000"/>
                <w:sz w:val="24"/>
                <w:szCs w:val="24"/>
              </w:rPr>
            </w:pPr>
          </w:p>
          <w:p w14:paraId="5E74DAAD">
            <w:pPr>
              <w:spacing w:line="440" w:lineRule="exact"/>
              <w:ind w:left="105" w:right="105" w:firstLine="480"/>
              <w:rPr>
                <w:rFonts w:ascii="仿宋_GB2312" w:hAnsi="仿宋_GB2312" w:eastAsia="仿宋_GB2312" w:cs="仿宋_GB2312"/>
                <w:b w:val="0"/>
                <w:bCs w:val="0"/>
                <w:color w:val="000000"/>
                <w:sz w:val="24"/>
                <w:szCs w:val="24"/>
              </w:rPr>
            </w:pPr>
          </w:p>
          <w:p w14:paraId="63AC7C6C">
            <w:pPr>
              <w:pStyle w:val="6"/>
              <w:spacing w:line="360" w:lineRule="exact"/>
              <w:rPr>
                <w:rFonts w:ascii="仿宋_GB2312" w:hAnsi="仿宋_GB2312" w:eastAsia="仿宋_GB2312" w:cs="仿宋_GB2312"/>
                <w:b w:val="0"/>
                <w:bCs w:val="0"/>
                <w:color w:val="000000"/>
                <w:sz w:val="24"/>
                <w:szCs w:val="24"/>
              </w:rPr>
            </w:pPr>
          </w:p>
          <w:p w14:paraId="0527A043">
            <w:pPr>
              <w:pStyle w:val="6"/>
              <w:spacing w:line="360" w:lineRule="exact"/>
              <w:rPr>
                <w:rFonts w:ascii="仿宋_GB2312" w:hAnsi="仿宋_GB2312" w:eastAsia="仿宋_GB2312" w:cs="仿宋_GB2312"/>
                <w:b w:val="0"/>
                <w:bCs w:val="0"/>
                <w:color w:val="000000"/>
                <w:sz w:val="24"/>
                <w:szCs w:val="24"/>
              </w:rPr>
            </w:pPr>
          </w:p>
          <w:p w14:paraId="6CF53C36">
            <w:pPr>
              <w:pStyle w:val="6"/>
              <w:spacing w:line="360" w:lineRule="exact"/>
              <w:rPr>
                <w:rFonts w:ascii="仿宋_GB2312" w:hAnsi="仿宋_GB2312" w:eastAsia="仿宋_GB2312" w:cs="仿宋_GB2312"/>
                <w:b w:val="0"/>
                <w:bCs w:val="0"/>
                <w:color w:val="000000"/>
                <w:sz w:val="24"/>
                <w:szCs w:val="24"/>
              </w:rPr>
            </w:pPr>
          </w:p>
          <w:p w14:paraId="55D4BC23">
            <w:pPr>
              <w:pStyle w:val="6"/>
              <w:spacing w:line="360" w:lineRule="exact"/>
              <w:rPr>
                <w:rFonts w:ascii="仿宋_GB2312" w:hAnsi="仿宋_GB2312" w:eastAsia="仿宋_GB2312" w:cs="仿宋_GB2312"/>
                <w:b w:val="0"/>
                <w:bCs w:val="0"/>
                <w:color w:val="000000"/>
                <w:sz w:val="24"/>
                <w:szCs w:val="24"/>
                <w:lang w:val="en-US" w:eastAsia="zh-CN"/>
              </w:rPr>
            </w:pPr>
            <w:r>
              <w:rPr>
                <w:rFonts w:ascii="仿宋_GB2312" w:hAnsi="仿宋_GB2312" w:eastAsia="仿宋_GB2312" w:cs="仿宋_GB2312"/>
                <w:b w:val="0"/>
                <w:bCs w:val="0"/>
                <w:color w:val="000000"/>
                <w:sz w:val="24"/>
                <w:szCs w:val="24"/>
                <w:lang w:val="en-US" w:eastAsia="zh-CN"/>
              </w:rPr>
              <w:t xml:space="preserve">         </w:t>
            </w:r>
          </w:p>
          <w:p w14:paraId="7260B420">
            <w:pPr>
              <w:pStyle w:val="6"/>
              <w:spacing w:line="360" w:lineRule="exact"/>
              <w:ind w:right="0" w:firstLine="480"/>
              <w:rPr>
                <w:rFonts w:ascii="仿宋_GB2312" w:hAnsi="仿宋_GB2312" w:eastAsia="仿宋_GB2312" w:cs="仿宋_GB2312"/>
                <w:b w:val="0"/>
                <w:bCs w:val="0"/>
                <w:color w:val="000000"/>
                <w:sz w:val="24"/>
                <w:szCs w:val="24"/>
                <w:lang w:val="en-US" w:eastAsia="zh-CN"/>
              </w:rPr>
            </w:pPr>
          </w:p>
          <w:p w14:paraId="52A9BBB7">
            <w:pPr>
              <w:pStyle w:val="6"/>
              <w:spacing w:line="360" w:lineRule="exact"/>
              <w:ind w:right="0" w:firstLine="960"/>
              <w:rPr>
                <w:rFonts w:ascii="仿宋_GB2312" w:hAnsi="仿宋_GB2312" w:eastAsia="仿宋_GB2312" w:cs="仿宋_GB2312"/>
                <w:b w:val="0"/>
                <w:bCs w:val="0"/>
                <w:color w:val="000000"/>
                <w:sz w:val="24"/>
                <w:szCs w:val="24"/>
                <w:lang w:val="en-US" w:eastAsia="zh-CN"/>
              </w:rPr>
            </w:pPr>
            <w:r>
              <w:rPr>
                <w:rFonts w:ascii="仿宋_GB2312" w:hAnsi="仿宋_GB2312" w:eastAsia="仿宋_GB2312" w:cs="仿宋_GB2312"/>
                <w:b w:val="0"/>
                <w:bCs w:val="0"/>
                <w:color w:val="000000"/>
                <w:sz w:val="24"/>
                <w:szCs w:val="24"/>
                <w:lang w:val="en-US" w:eastAsia="zh-CN"/>
              </w:rPr>
              <w:t xml:space="preserve"> 结果：     </w:t>
            </w:r>
            <w:r>
              <w:rPr>
                <w:rFonts w:ascii="Wingdings" w:hAnsi="Wingdings" w:eastAsia="Wingdings" w:cs="Wingdings"/>
                <w:b w:val="0"/>
                <w:bCs w:val="0"/>
                <w:color w:val="000000"/>
                <w:sz w:val="24"/>
                <w:szCs w:val="24"/>
                <w:lang w:val="en-US" w:eastAsia="zh-CN"/>
              </w:rPr>
              <w:sym w:font="Wingdings" w:char="00A8"/>
            </w:r>
            <w:r>
              <w:rPr>
                <w:rFonts w:ascii="仿宋_GB2312" w:hAnsi="仿宋_GB2312" w:eastAsia="仿宋_GB2312" w:cs="仿宋_GB2312"/>
                <w:b w:val="0"/>
                <w:bCs w:val="0"/>
                <w:color w:val="000000"/>
                <w:sz w:val="24"/>
                <w:szCs w:val="24"/>
                <w:lang w:val="en-US" w:eastAsia="zh-CN"/>
              </w:rPr>
              <w:t xml:space="preserve">通过           </w:t>
            </w:r>
            <w:r>
              <w:rPr>
                <w:rFonts w:ascii="Wingdings" w:hAnsi="Wingdings" w:eastAsia="Wingdings" w:cs="Wingdings"/>
                <w:b w:val="0"/>
                <w:bCs w:val="0"/>
                <w:color w:val="000000"/>
                <w:sz w:val="24"/>
                <w:szCs w:val="24"/>
                <w:lang w:val="en-US" w:eastAsia="zh-CN"/>
              </w:rPr>
              <w:sym w:font="Wingdings" w:char="00A8"/>
            </w:r>
            <w:r>
              <w:rPr>
                <w:rFonts w:ascii="仿宋_GB2312" w:hAnsi="仿宋_GB2312" w:eastAsia="仿宋_GB2312" w:cs="仿宋_GB2312"/>
                <w:b w:val="0"/>
                <w:bCs w:val="0"/>
                <w:color w:val="000000"/>
                <w:sz w:val="24"/>
                <w:szCs w:val="24"/>
                <w:lang w:val="en-US" w:eastAsia="zh-CN"/>
              </w:rPr>
              <w:t>不通过</w:t>
            </w:r>
          </w:p>
          <w:p w14:paraId="7C530416">
            <w:pPr>
              <w:spacing w:line="440" w:lineRule="exact"/>
              <w:ind w:right="105"/>
              <w:rPr>
                <w:rFonts w:ascii="仿宋_GB2312" w:hAnsi="仿宋_GB2312" w:eastAsia="仿宋_GB2312" w:cs="仿宋_GB2312"/>
                <w:b w:val="0"/>
                <w:bCs w:val="0"/>
                <w:color w:val="000000"/>
                <w:sz w:val="24"/>
                <w:szCs w:val="24"/>
                <w:lang w:val="en-US" w:eastAsia="zh-CN"/>
              </w:rPr>
            </w:pPr>
          </w:p>
          <w:p w14:paraId="6A2E507B">
            <w:pPr>
              <w:spacing w:line="480" w:lineRule="auto"/>
              <w:ind w:right="0" w:firstLine="4440"/>
              <w:rPr>
                <w:rFonts w:ascii="仿宋_GB2312" w:hAnsi="仿宋_GB2312" w:eastAsia="仿宋_GB2312" w:cs="仿宋_GB2312"/>
                <w:b w:val="0"/>
                <w:bCs w:val="0"/>
                <w:color w:val="000000"/>
                <w:sz w:val="24"/>
                <w:szCs w:val="24"/>
              </w:rPr>
            </w:pPr>
            <w:r>
              <w:rPr>
                <w:rFonts w:ascii="仿宋_GB2312" w:hAnsi="仿宋_GB2312" w:eastAsia="仿宋_GB2312" w:cs="仿宋_GB2312"/>
                <w:b w:val="0"/>
                <w:bCs w:val="0"/>
                <w:color w:val="000000"/>
                <w:sz w:val="24"/>
                <w:szCs w:val="24"/>
              </w:rPr>
              <w:t>考核小组组长签字：</w:t>
            </w:r>
          </w:p>
          <w:p w14:paraId="111F103F">
            <w:pPr>
              <w:spacing w:line="480" w:lineRule="auto"/>
              <w:ind w:left="105" w:right="105" w:firstLine="480"/>
              <w:rPr>
                <w:rFonts w:ascii="仿宋_GB2312" w:hAnsi="仿宋_GB2312" w:eastAsia="仿宋_GB2312" w:cs="仿宋_GB2312"/>
                <w:b w:val="0"/>
                <w:bCs w:val="0"/>
                <w:color w:val="000000"/>
                <w:sz w:val="24"/>
                <w:szCs w:val="24"/>
              </w:rPr>
            </w:pPr>
            <w:r>
              <w:rPr>
                <w:rFonts w:ascii="仿宋_GB2312" w:hAnsi="仿宋_GB2312" w:eastAsia="仿宋_GB2312" w:cs="仿宋_GB2312"/>
                <w:b w:val="0"/>
                <w:bCs w:val="0"/>
                <w:color w:val="000000"/>
                <w:sz w:val="24"/>
                <w:szCs w:val="24"/>
              </w:rPr>
              <w:t xml:space="preserve">                                               </w:t>
            </w:r>
            <w:r>
              <w:rPr>
                <w:rFonts w:ascii="仿宋_GB2312" w:hAnsi="仿宋_GB2312" w:eastAsia="仿宋_GB2312" w:cs="仿宋_GB2312"/>
                <w:b w:val="0"/>
                <w:bCs w:val="0"/>
                <w:color w:val="000000"/>
                <w:sz w:val="24"/>
                <w:szCs w:val="24"/>
                <w:lang w:val="en-US" w:eastAsia="zh-CN"/>
              </w:rPr>
              <w:t xml:space="preserve"> </w:t>
            </w:r>
            <w:r>
              <w:rPr>
                <w:rFonts w:ascii="仿宋_GB2312" w:hAnsi="仿宋_GB2312" w:eastAsia="仿宋_GB2312" w:cs="仿宋_GB2312"/>
                <w:b w:val="0"/>
                <w:bCs w:val="0"/>
                <w:color w:val="000000"/>
                <w:sz w:val="24"/>
                <w:szCs w:val="24"/>
              </w:rPr>
              <w:t xml:space="preserve">    年  </w:t>
            </w:r>
            <w:r>
              <w:rPr>
                <w:rFonts w:ascii="仿宋_GB2312" w:hAnsi="仿宋_GB2312" w:eastAsia="仿宋_GB2312" w:cs="仿宋_GB2312"/>
                <w:b w:val="0"/>
                <w:bCs w:val="0"/>
                <w:color w:val="000000"/>
                <w:sz w:val="24"/>
                <w:szCs w:val="24"/>
                <w:lang w:val="en-US" w:eastAsia="zh-CN"/>
              </w:rPr>
              <w:t xml:space="preserve">  </w:t>
            </w:r>
            <w:r>
              <w:rPr>
                <w:rFonts w:ascii="仿宋_GB2312" w:hAnsi="仿宋_GB2312" w:eastAsia="仿宋_GB2312" w:cs="仿宋_GB2312"/>
                <w:b w:val="0"/>
                <w:bCs w:val="0"/>
                <w:color w:val="000000"/>
                <w:sz w:val="24"/>
                <w:szCs w:val="24"/>
              </w:rPr>
              <w:t xml:space="preserve"> 月   日</w:t>
            </w:r>
          </w:p>
        </w:tc>
      </w:tr>
      <w:tr w14:paraId="2A20B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21" w:hRule="atLeast"/>
          <w:jc w:val="center"/>
        </w:trPr>
        <w:tc>
          <w:tcPr>
            <w:tcW w:w="9464" w:type="dxa"/>
            <w:gridSpan w:val="6"/>
            <w:tcBorders>
              <w:top w:val="nil"/>
              <w:left w:val="nil"/>
              <w:bottom w:val="nil"/>
              <w:right w:val="nil"/>
              <w:insideH w:val="nil"/>
              <w:insideV w:val="nil"/>
              <w:tl2br w:val="nil"/>
              <w:tr2bl w:val="nil"/>
            </w:tcBorders>
          </w:tcPr>
          <w:p w14:paraId="48014E62">
            <w:pPr>
              <w:pStyle w:val="6"/>
              <w:spacing w:line="440" w:lineRule="exact"/>
              <w:rPr>
                <w:rFonts w:ascii="仿宋_GB2312" w:hAnsi="仿宋_GB2312" w:eastAsia="仿宋_GB2312" w:cs="仿宋_GB2312"/>
                <w:color w:val="000000"/>
                <w:sz w:val="24"/>
                <w:szCs w:val="24"/>
              </w:rPr>
            </w:pPr>
            <w:r>
              <w:rPr>
                <w:rFonts w:ascii="仿宋_GB2312" w:hAnsi="仿宋_GB2312" w:eastAsia="仿宋_GB2312" w:cs="仿宋_GB2312"/>
                <w:b/>
                <w:bCs/>
                <w:color w:val="000000"/>
                <w:kern w:val="2"/>
                <w:sz w:val="24"/>
                <w:szCs w:val="24"/>
                <w:lang w:val="en-US" w:eastAsia="zh-CN" w:bidi="ar-SA"/>
              </w:rPr>
              <w:t>学院意见</w:t>
            </w:r>
            <w:r>
              <w:rPr>
                <w:rFonts w:ascii="仿宋_GB2312" w:hAnsi="仿宋_GB2312" w:eastAsia="仿宋_GB2312" w:cs="仿宋_GB2312"/>
                <w:color w:val="000000"/>
                <w:sz w:val="24"/>
                <w:szCs w:val="24"/>
              </w:rPr>
              <w:t>：</w:t>
            </w:r>
          </w:p>
          <w:p w14:paraId="42F854E7">
            <w:pPr>
              <w:spacing w:line="500" w:lineRule="exact"/>
              <w:ind w:right="0" w:firstLine="240"/>
              <w:jc w:val="both"/>
              <w:rPr>
                <w:rFonts w:ascii="仿宋_GB2312" w:hAnsi="仿宋_GB2312" w:eastAsia="仿宋_GB2312" w:cs="仿宋_GB2312"/>
                <w:color w:val="000000"/>
                <w:sz w:val="24"/>
                <w:szCs w:val="24"/>
                <w:lang w:val="en-US" w:eastAsia="zh-CN"/>
              </w:rPr>
            </w:pPr>
          </w:p>
          <w:p w14:paraId="7C4F3B98">
            <w:pPr>
              <w:spacing w:line="500" w:lineRule="exact"/>
              <w:ind w:right="0" w:firstLine="240"/>
              <w:jc w:val="both"/>
              <w:rPr>
                <w:rFonts w:ascii="仿宋_GB2312" w:hAnsi="仿宋_GB2312" w:eastAsia="仿宋_GB2312" w:cs="仿宋_GB2312"/>
                <w:color w:val="000000"/>
                <w:sz w:val="24"/>
                <w:szCs w:val="24"/>
                <w:lang w:val="en-US" w:eastAsia="zh-CN"/>
              </w:rPr>
            </w:pPr>
          </w:p>
          <w:p w14:paraId="7513A6C4">
            <w:pPr>
              <w:spacing w:line="500" w:lineRule="exact"/>
              <w:jc w:val="both"/>
              <w:rPr>
                <w:rFonts w:ascii="仿宋_GB2312" w:hAnsi="仿宋_GB2312" w:eastAsia="仿宋_GB2312" w:cs="仿宋_GB2312"/>
                <w:color w:val="000000"/>
                <w:sz w:val="24"/>
                <w:szCs w:val="24"/>
                <w:lang w:val="en-US" w:eastAsia="zh-CN"/>
              </w:rPr>
            </w:pPr>
          </w:p>
          <w:p w14:paraId="3BD0B9F2">
            <w:pPr>
              <w:spacing w:line="480" w:lineRule="auto"/>
              <w:ind w:right="0" w:firstLine="4560"/>
              <w:jc w:val="both"/>
              <w:rPr>
                <w:rFonts w:ascii="仿宋_GB2312" w:hAnsi="仿宋_GB2312" w:eastAsia="仿宋_GB2312" w:cs="仿宋_GB2312"/>
                <w:color w:val="000000"/>
                <w:sz w:val="24"/>
                <w:szCs w:val="24"/>
              </w:rPr>
            </w:pPr>
            <w:r>
              <w:rPr>
                <w:rFonts w:ascii="仿宋_GB2312" w:hAnsi="仿宋_GB2312" w:eastAsia="仿宋_GB2312" w:cs="仿宋_GB2312"/>
                <w:color w:val="000000"/>
                <w:sz w:val="24"/>
                <w:szCs w:val="24"/>
                <w:lang w:val="en-US" w:eastAsia="zh-CN"/>
              </w:rPr>
              <w:t>分管院长</w:t>
            </w:r>
            <w:r>
              <w:rPr>
                <w:rFonts w:ascii="仿宋_GB2312" w:hAnsi="仿宋_GB2312" w:eastAsia="仿宋_GB2312" w:cs="仿宋_GB2312"/>
                <w:color w:val="000000"/>
                <w:sz w:val="24"/>
                <w:szCs w:val="24"/>
              </w:rPr>
              <w:t xml:space="preserve">签字：  </w:t>
            </w:r>
            <w:r>
              <w:rPr>
                <w:rFonts w:ascii="仿宋_GB2312" w:hAnsi="仿宋_GB2312" w:eastAsia="仿宋_GB2312" w:cs="仿宋_GB2312"/>
                <w:color w:val="000000"/>
                <w:sz w:val="24"/>
                <w:szCs w:val="24"/>
                <w:lang w:val="en-US" w:eastAsia="zh-CN"/>
              </w:rPr>
              <w:t xml:space="preserve">    </w:t>
            </w:r>
            <w:r>
              <w:rPr>
                <w:rFonts w:ascii="仿宋_GB2312" w:hAnsi="仿宋_GB2312" w:eastAsia="仿宋_GB2312" w:cs="仿宋_GB2312"/>
                <w:color w:val="000000"/>
                <w:sz w:val="24"/>
                <w:szCs w:val="24"/>
              </w:rPr>
              <w:t xml:space="preserve"> </w:t>
            </w:r>
            <w:r>
              <w:rPr>
                <w:rFonts w:ascii="仿宋_GB2312" w:hAnsi="仿宋_GB2312" w:eastAsia="仿宋_GB2312" w:cs="仿宋_GB2312"/>
                <w:color w:val="000000"/>
                <w:sz w:val="24"/>
                <w:szCs w:val="24"/>
                <w:lang w:val="en-US" w:eastAsia="zh-CN"/>
              </w:rPr>
              <w:t xml:space="preserve">   </w:t>
            </w:r>
            <w:r>
              <w:rPr>
                <w:rFonts w:ascii="仿宋_GB2312" w:hAnsi="仿宋_GB2312" w:eastAsia="仿宋_GB2312" w:cs="仿宋_GB2312"/>
                <w:color w:val="000000"/>
                <w:sz w:val="24"/>
                <w:szCs w:val="24"/>
              </w:rPr>
              <w:t xml:space="preserve">    （</w:t>
            </w:r>
            <w:r>
              <w:rPr>
                <w:rFonts w:ascii="仿宋_GB2312" w:hAnsi="仿宋_GB2312" w:eastAsia="仿宋_GB2312" w:cs="仿宋_GB2312"/>
                <w:color w:val="000000"/>
                <w:sz w:val="24"/>
                <w:szCs w:val="24"/>
                <w:lang w:val="en-US" w:eastAsia="zh-CN"/>
              </w:rPr>
              <w:t>盖</w:t>
            </w:r>
            <w:r>
              <w:rPr>
                <w:rFonts w:ascii="仿宋_GB2312" w:hAnsi="仿宋_GB2312" w:eastAsia="仿宋_GB2312" w:cs="仿宋_GB2312"/>
                <w:color w:val="000000"/>
                <w:sz w:val="24"/>
                <w:szCs w:val="24"/>
              </w:rPr>
              <w:t>章）</w:t>
            </w:r>
          </w:p>
          <w:p w14:paraId="165E6E88">
            <w:pPr>
              <w:spacing w:line="480" w:lineRule="auto"/>
              <w:ind w:right="0" w:firstLine="6960"/>
              <w:rPr>
                <w:rFonts w:ascii="仿宋_GB2312" w:hAnsi="仿宋_GB2312" w:eastAsia="仿宋_GB2312" w:cs="仿宋_GB2312"/>
                <w:bCs/>
                <w:sz w:val="24"/>
                <w:szCs w:val="24"/>
              </w:rPr>
            </w:pPr>
            <w:r>
              <w:rPr>
                <w:rFonts w:ascii="仿宋_GB2312" w:hAnsi="仿宋_GB2312" w:eastAsia="仿宋_GB2312" w:cs="仿宋_GB2312"/>
                <w:color w:val="000000"/>
                <w:sz w:val="24"/>
                <w:szCs w:val="24"/>
              </w:rPr>
              <w:t>年    月    日</w:t>
            </w:r>
            <w:r>
              <w:rPr>
                <w:rFonts w:ascii="仿宋_GB2312" w:hAnsi="仿宋_GB2312" w:eastAsia="仿宋_GB2312" w:cs="仿宋_GB2312"/>
                <w:sz w:val="24"/>
                <w:szCs w:val="24"/>
              </w:rPr>
              <w:t xml:space="preserve">                </w:t>
            </w:r>
          </w:p>
        </w:tc>
      </w:tr>
    </w:tbl>
    <w:p w14:paraId="5A7A4FA2">
      <w:pPr>
        <w:pStyle w:val="22"/>
        <w:numPr>
          <w:ilvl w:val="0"/>
          <w:numId w:val="0"/>
        </w:numPr>
        <w:ind w:left="0" w:firstLine="0"/>
        <w:jc w:val="both"/>
        <w:rPr>
          <w:color w:val="000000"/>
          <w:lang w:val="en-US" w:eastAsia="zh-CN"/>
        </w:rPr>
      </w:pPr>
    </w:p>
    <w:sectPr>
      <w:headerReference r:id="rId14" w:type="first"/>
      <w:footerReference r:id="rId16" w:type="first"/>
      <w:headerReference r:id="rId13" w:type="default"/>
      <w:footerReference r:id="rId15" w:type="default"/>
      <w:pgSz w:w="11906" w:h="16838"/>
      <w:pgMar w:top="1134" w:right="1134" w:bottom="1134" w:left="1134" w:header="851" w:footer="992" w:gutter="0"/>
      <w:pgNumType w:fmt="decimal" w:start="1"/>
      <w:cols w:space="720" w:num="1"/>
      <w:formProt w:val="0"/>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am" w:date="2026-10-15T16:04:42Z" w:initials="">
    <w:p w14:paraId="0A84B5E0">
      <w:pPr>
        <w:pStyle w:val="5"/>
        <w:rPr>
          <w:rFonts w:hint="eastAsia"/>
          <w:lang w:val="en-US" w:eastAsia="zh-CN"/>
        </w:rPr>
      </w:pPr>
      <w:r>
        <w:rPr>
          <w:rFonts w:hint="eastAsia"/>
          <w:lang w:val="en-US" w:eastAsia="zh-CN"/>
        </w:rPr>
        <w:t>按小论文提到的（标题自己写）：</w:t>
      </w:r>
    </w:p>
    <w:p w14:paraId="10A905CE">
      <w:pPr>
        <w:pStyle w:val="5"/>
        <w:numPr>
          <w:ilvl w:val="0"/>
          <w:numId w:val="1"/>
        </w:numPr>
        <w:rPr>
          <w:rFonts w:hint="default"/>
          <w:lang w:val="en-US" w:eastAsia="zh-CN"/>
        </w:rPr>
      </w:pPr>
      <w:r>
        <w:rPr>
          <w:rFonts w:hint="eastAsia"/>
          <w:lang w:val="en-US" w:eastAsia="zh-CN"/>
        </w:rPr>
        <w:t>机器学习模型构建及评估</w:t>
      </w:r>
    </w:p>
    <w:p w14:paraId="25B9883C">
      <w:pPr>
        <w:pStyle w:val="5"/>
        <w:numPr>
          <w:ilvl w:val="0"/>
          <w:numId w:val="1"/>
        </w:numPr>
        <w:rPr>
          <w:rFonts w:hint="eastAsia"/>
          <w:lang w:val="en-US" w:eastAsia="zh-CN"/>
        </w:rPr>
      </w:pPr>
      <w:r>
        <w:rPr>
          <w:rFonts w:hint="eastAsia"/>
          <w:lang w:val="en-US" w:eastAsia="zh-CN"/>
        </w:rPr>
        <w:t>两个污水厂的碳减放（总量）</w:t>
      </w:r>
      <w:r>
        <w:t>核算与多源数据体系构建</w:t>
      </w:r>
      <w:r>
        <w:rPr>
          <w:rFonts w:hint="eastAsia"/>
          <w:lang w:val="en-US" w:eastAsia="zh-CN"/>
        </w:rPr>
        <w:t>，各参数对碳排量的影响</w:t>
      </w:r>
    </w:p>
    <w:p w14:paraId="336FBE31">
      <w:pPr>
        <w:pStyle w:val="5"/>
        <w:numPr>
          <w:ilvl w:val="0"/>
          <w:numId w:val="1"/>
        </w:numPr>
        <w:rPr>
          <w:rFonts w:hint="default"/>
          <w:lang w:val="en-US" w:eastAsia="zh-CN"/>
        </w:rPr>
      </w:pPr>
      <w:r>
        <w:rPr>
          <w:rFonts w:hint="eastAsia"/>
          <w:lang w:val="en-US" w:eastAsia="zh-CN"/>
        </w:rPr>
        <w:t>关键变量的影响和预测</w:t>
      </w:r>
    </w:p>
    <w:p w14:paraId="7EB9E0FF">
      <w:pPr>
        <w:pStyle w:val="5"/>
        <w:numPr>
          <w:ilvl w:val="0"/>
          <w:numId w:val="0"/>
        </w:numPr>
        <w:rPr>
          <w:rFonts w:hint="eastAsia"/>
          <w:lang w:val="en-US" w:eastAsia="zh-CN"/>
        </w:rPr>
      </w:pPr>
      <w:r>
        <w:rPr>
          <w:rFonts w:hint="eastAsia"/>
          <w:lang w:val="en-US" w:eastAsia="zh-CN"/>
        </w:rPr>
        <w:t>电耗、进水水量、进水BOD5负荷、进水COD负荷、处理绩效（用出水标准中5个指标去除率）</w:t>
      </w:r>
    </w:p>
    <w:p w14:paraId="2FD87021">
      <w:pPr>
        <w:pStyle w:val="5"/>
        <w:numPr>
          <w:ilvl w:val="0"/>
          <w:numId w:val="1"/>
        </w:numPr>
        <w:ind w:left="0" w:leftChars="0" w:firstLine="0" w:firstLineChars="0"/>
        <w:rPr>
          <w:rFonts w:hint="eastAsia"/>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环境气温、降雨量的改变对碳减排的影响</w:t>
      </w:r>
    </w:p>
    <w:p w14:paraId="0B7F6003">
      <w:pPr>
        <w:pStyle w:val="5"/>
        <w:numPr>
          <w:ilvl w:val="0"/>
          <w:numId w:val="1"/>
        </w:numPr>
        <w:ind w:left="0" w:leftChars="0" w:firstLine="0" w:firstLineChars="0"/>
        <w:rPr>
          <w:rFonts w:hint="default"/>
          <w:color w:val="000000" w:themeColor="text1"/>
          <w:sz w:val="28"/>
          <w:szCs w:val="28"/>
          <w:lang w:val="en-US" w:eastAsia="zh-CN"/>
          <w14:textFill>
            <w14:solidFill>
              <w14:schemeClr w14:val="tx1"/>
            </w14:solidFill>
          </w14:textFill>
        </w:rPr>
      </w:pPr>
      <w:r>
        <w:rPr>
          <w:rFonts w:hint="eastAsia"/>
          <w:color w:val="000000" w:themeColor="text1"/>
          <w:sz w:val="28"/>
          <w:szCs w:val="28"/>
          <w:lang w:val="en-US" w:eastAsia="zh-CN"/>
          <w14:textFill>
            <w14:solidFill>
              <w14:schemeClr w14:val="tx1"/>
            </w14:solidFill>
          </w14:textFill>
        </w:rPr>
        <w:t>排放标准提高对碳减排影响预测</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B7F6003"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Lohit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Liberation Sans">
    <w:altName w:val="Arial"/>
    <w:panose1 w:val="00000000000000000000"/>
    <w:charset w:val="00"/>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楷体_GB2312;楷体">
    <w:altName w:val="宋体"/>
    <w:panose1 w:val="00000000000000000000"/>
    <w:charset w:val="00"/>
    <w:family w:val="auto"/>
    <w:pitch w:val="default"/>
    <w:sig w:usb0="00000000" w:usb1="00000000" w:usb2="00000000" w:usb3="00000000" w:csb0="00000000" w:csb1="00000000"/>
  </w:font>
  <w:font w:name="KSOFE44F9426">
    <w:panose1 w:val="02010609060101010101"/>
    <w:charset w:val="86"/>
    <w:family w:val="auto"/>
    <w:pitch w:val="default"/>
    <w:sig w:usb0="00000001"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A4290">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387B35">
    <w:pPr>
      <w:pStyle w:val="7"/>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CCBCD">
    <w:pPr>
      <w:pStyle w:val="7"/>
      <w:rPr>
        <w:rStyle w:val="14"/>
      </w:rPr>
    </w:pPr>
  </w:p>
  <w:p w14:paraId="50B2114B">
    <w:pPr>
      <w:pStyle w:val="7"/>
      <w:rPr>
        <w:rStyle w:val="14"/>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0B099F">
    <w:pPr>
      <w:pStyle w:val="7"/>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FFF4E">
    <w:pPr>
      <w:pStyle w:val="7"/>
      <w:rPr>
        <w:rStyle w:val="14"/>
      </w:rPr>
    </w:pPr>
    <w:r>
      <mc:AlternateContent>
        <mc:Choice Requires="wps">
          <w:drawing>
            <wp:anchor distT="0" distB="0" distL="114935" distR="114935" simplePos="0" relativeHeight="251659264" behindDoc="1" locked="0" layoutInCell="0" allowOverlap="1">
              <wp:simplePos x="0" y="0"/>
              <wp:positionH relativeFrom="margin">
                <wp:align>center</wp:align>
              </wp:positionH>
              <wp:positionV relativeFrom="paragraph">
                <wp:posOffset>635</wp:posOffset>
              </wp:positionV>
              <wp:extent cx="304800" cy="154940"/>
              <wp:effectExtent l="0" t="0" r="0" b="0"/>
              <wp:wrapNone/>
              <wp:docPr id="2" name="Frame2"/>
              <wp:cNvGraphicFramePr/>
              <a:graphic xmlns:a="http://schemas.openxmlformats.org/drawingml/2006/main">
                <a:graphicData uri="http://schemas.microsoft.com/office/word/2010/wordprocessingShape">
                  <wps:wsp>
                    <wps:cNvSpPr txBox="1"/>
                    <wps:spPr>
                      <a:xfrm>
                        <a:off x="0" y="0"/>
                        <a:ext cx="304800" cy="154940"/>
                      </a:xfrm>
                      <a:prstGeom prst="rect">
                        <a:avLst/>
                      </a:prstGeom>
                      <a:solidFill>
                        <a:srgbClr val="FFFFFF">
                          <a:alpha val="0"/>
                        </a:srgbClr>
                      </a:solidFill>
                    </wps:spPr>
                    <wps:txbx>
                      <w:txbxContent>
                        <w:p w14:paraId="60442DD9">
                          <w:pPr>
                            <w:pStyle w:val="7"/>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6</w:t>
                          </w:r>
                          <w:r>
                            <w:rPr>
                              <w:sz w:val="21"/>
                              <w:szCs w:val="21"/>
                            </w:rPr>
                            <w:fldChar w:fldCharType="end"/>
                          </w:r>
                        </w:p>
                      </w:txbxContent>
                    </wps:txbx>
                    <wps:bodyPr lIns="635" tIns="635" rIns="635" bIns="635" anchor="t">
                      <a:spAutoFit/>
                    </wps:bodyPr>
                  </wps:wsp>
                </a:graphicData>
              </a:graphic>
            </wp:anchor>
          </w:drawing>
        </mc:Choice>
        <mc:Fallback>
          <w:pict>
            <v:shape id="Frame2" o:spid="_x0000_s1026" o:spt="202" type="#_x0000_t202" style="position:absolute;left:0pt;margin-top:0.05pt;height:12.2pt;width:24pt;mso-position-horizontal:center;mso-position-horizontal-relative:margin;z-index:-251657216;mso-width-relative:page;mso-height-relative:page;" fillcolor="#FFFFFF" filled="t" stroked="f" coordsize="21600,21600" o:allowincell="f" o:gfxdata="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Pfn7kLSAAAAAwEAAA8AAAAAAAAAAQAgAAAAIgAAAGRycy9kb3du&#10;cmV2LnhtbFBLAQIUABQAAAAIAIdO4kCEYIwszAEAALsDAAAOAAAAAAAAAAEAIAAAACEBAABkcnMv&#10;ZTJvRG9jLnhtbFBLBQYAAAAABgAGAFkBAABfBQAAAAA=&#10;">
              <v:fill on="t" opacity="0f" focussize="0,0"/>
              <v:stroke on="f"/>
              <v:imagedata o:title=""/>
              <o:lock v:ext="edit" aspectratio="f"/>
              <v:textbox inset="0.05pt,0.05pt,0.05pt,0.05pt" style="mso-fit-shape-to-text:t;">
                <w:txbxContent>
                  <w:p w14:paraId="60442DD9">
                    <w:pPr>
                      <w:pStyle w:val="7"/>
                      <w:rPr>
                        <w:sz w:val="21"/>
                        <w:szCs w:val="21"/>
                      </w:rPr>
                    </w:pPr>
                    <w:r>
                      <w:rPr>
                        <w:sz w:val="21"/>
                        <w:szCs w:val="21"/>
                      </w:rPr>
                      <w:fldChar w:fldCharType="begin"/>
                    </w:r>
                    <w:r>
                      <w:rPr>
                        <w:sz w:val="21"/>
                        <w:szCs w:val="21"/>
                      </w:rPr>
                      <w:instrText xml:space="preserve"> PAGE </w:instrText>
                    </w:r>
                    <w:r>
                      <w:rPr>
                        <w:sz w:val="21"/>
                        <w:szCs w:val="21"/>
                      </w:rPr>
                      <w:fldChar w:fldCharType="separate"/>
                    </w:r>
                    <w:r>
                      <w:rPr>
                        <w:sz w:val="21"/>
                        <w:szCs w:val="21"/>
                      </w:rPr>
                      <w:t>6</w:t>
                    </w:r>
                    <w:r>
                      <w:rPr>
                        <w:sz w:val="21"/>
                        <w:szCs w:val="21"/>
                      </w:rPr>
                      <w:fldChar w:fldCharType="end"/>
                    </w:r>
                  </w:p>
                </w:txbxContent>
              </v:textbox>
            </v:shape>
          </w:pict>
        </mc:Fallback>
      </mc:AlternateContent>
    </w:r>
  </w:p>
  <w:p w14:paraId="44E3ED2E">
    <w:pPr>
      <w:pStyle w:val="7"/>
      <w:rPr>
        <w:rStyle w:val="14"/>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89591"/>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3FE1E3">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A60225">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C23DD">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B3BF21">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5025A">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787B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E1BA6B"/>
    <w:multiLevelType w:val="singleLevel"/>
    <w:tmpl w:val="A8E1BA6B"/>
    <w:lvl w:ilvl="0" w:tentative="0">
      <w:start w:val="1"/>
      <w:numFmt w:val="decimal"/>
      <w:suff w:val="nothing"/>
      <w:lvlText w:val="（%1）"/>
      <w:lvlJc w:val="left"/>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am">
    <w15:presenceInfo w15:providerId="WPS Office" w15:userId="1394941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bordersDoNotSurroundHeader w:val="0"/>
  <w:bordersDoNotSurroundFooter w:val="0"/>
  <w:documentProtection w:enforcement="0"/>
  <w:defaultTabStop w:val="425"/>
  <w:autoHyphenation/>
  <w:hyphenationZone w:val="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RlMDBlY2E4ZDRhZDQ5MzE5MTg0ODYyZmNiODQyZTkifQ=="/>
    <w:docVar w:name="KSO_WPS_MARK_KEY" w:val="c5e59c3b-7690-4410-bae2-d039b7f0c49d"/>
  </w:docVars>
  <w:rsids>
    <w:rsidRoot w:val="00000000"/>
    <w:rsid w:val="00B3263C"/>
    <w:rsid w:val="011B6997"/>
    <w:rsid w:val="018207C5"/>
    <w:rsid w:val="02E1776D"/>
    <w:rsid w:val="060A5D49"/>
    <w:rsid w:val="06622973"/>
    <w:rsid w:val="06FD021A"/>
    <w:rsid w:val="0F232A12"/>
    <w:rsid w:val="10AD0C8E"/>
    <w:rsid w:val="14171240"/>
    <w:rsid w:val="145A1114"/>
    <w:rsid w:val="153B5686"/>
    <w:rsid w:val="16F572D0"/>
    <w:rsid w:val="19F53DD2"/>
    <w:rsid w:val="1BB33FEF"/>
    <w:rsid w:val="1C033E58"/>
    <w:rsid w:val="1DF919B7"/>
    <w:rsid w:val="1FC87893"/>
    <w:rsid w:val="20BB73F7"/>
    <w:rsid w:val="224A458F"/>
    <w:rsid w:val="22D30A28"/>
    <w:rsid w:val="28341F69"/>
    <w:rsid w:val="29057462"/>
    <w:rsid w:val="2A4D10C0"/>
    <w:rsid w:val="2F324D29"/>
    <w:rsid w:val="3391171B"/>
    <w:rsid w:val="34963664"/>
    <w:rsid w:val="356E2833"/>
    <w:rsid w:val="35D00DF7"/>
    <w:rsid w:val="36407FD0"/>
    <w:rsid w:val="38527C46"/>
    <w:rsid w:val="3A6366DE"/>
    <w:rsid w:val="3B4A51A8"/>
    <w:rsid w:val="3FA563F6"/>
    <w:rsid w:val="42FE0D52"/>
    <w:rsid w:val="44B87626"/>
    <w:rsid w:val="44EB3558"/>
    <w:rsid w:val="460B0DF4"/>
    <w:rsid w:val="4D3A7F4B"/>
    <w:rsid w:val="4DFC4A28"/>
    <w:rsid w:val="4EE2777A"/>
    <w:rsid w:val="4F471CD3"/>
    <w:rsid w:val="5023629C"/>
    <w:rsid w:val="506F14E1"/>
    <w:rsid w:val="507F724A"/>
    <w:rsid w:val="54210D44"/>
    <w:rsid w:val="55CE0A58"/>
    <w:rsid w:val="57B51B64"/>
    <w:rsid w:val="5A3F1F24"/>
    <w:rsid w:val="5CD64696"/>
    <w:rsid w:val="60934D78"/>
    <w:rsid w:val="642108EC"/>
    <w:rsid w:val="64C73242"/>
    <w:rsid w:val="651B358E"/>
    <w:rsid w:val="67D75C7D"/>
    <w:rsid w:val="69A52001"/>
    <w:rsid w:val="6AA933EA"/>
    <w:rsid w:val="6AC50223"/>
    <w:rsid w:val="6CAB3449"/>
    <w:rsid w:val="6E7855AD"/>
    <w:rsid w:val="7CD36C60"/>
    <w:rsid w:val="7D63567A"/>
    <w:rsid w:val="7F007624"/>
    <w:rsid w:val="7F6C4CB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bidi w:val="0"/>
      <w:jc w:val="both"/>
    </w:pPr>
    <w:rPr>
      <w:rFonts w:ascii="Times New Roman" w:hAnsi="Times New Roman" w:eastAsia="宋体" w:cs="Times New Roman"/>
      <w:color w:val="auto"/>
      <w:kern w:val="2"/>
      <w:sz w:val="21"/>
      <w:szCs w:val="20"/>
      <w:lang w:val="en-US" w:eastAsia="zh-CN" w:bidi="ar-SA"/>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keepNext/>
      <w:widowControl/>
      <w:adjustRightInd w:val="0"/>
      <w:ind w:leftChars="0" w:firstLine="210"/>
      <w:textAlignment w:val="baseline"/>
    </w:pPr>
    <w:rPr>
      <w:rFonts w:ascii="宋体"/>
      <w:spacing w:val="2"/>
      <w:kern w:val="0"/>
      <w:position w:val="-6"/>
    </w:rPr>
  </w:style>
  <w:style w:type="paragraph" w:styleId="3">
    <w:name w:val="Body Text Indent"/>
    <w:basedOn w:val="1"/>
    <w:qFormat/>
    <w:uiPriority w:val="0"/>
    <w:pPr>
      <w:spacing w:before="0" w:after="120"/>
      <w:ind w:left="420" w:right="0" w:firstLine="0"/>
    </w:pPr>
  </w:style>
  <w:style w:type="paragraph" w:styleId="4">
    <w:name w:val="caption"/>
    <w:basedOn w:val="1"/>
    <w:qFormat/>
    <w:uiPriority w:val="0"/>
    <w:pPr>
      <w:suppressLineNumbers/>
      <w:spacing w:before="120" w:after="120"/>
    </w:pPr>
    <w:rPr>
      <w:rFonts w:cs="Lohit Devanagari"/>
      <w:i/>
      <w:iCs/>
      <w:sz w:val="24"/>
      <w:szCs w:val="24"/>
    </w:rPr>
  </w:style>
  <w:style w:type="paragraph" w:styleId="5">
    <w:name w:val="annotation text"/>
    <w:basedOn w:val="1"/>
    <w:qFormat/>
    <w:uiPriority w:val="0"/>
    <w:pPr>
      <w:jc w:val="left"/>
    </w:pPr>
  </w:style>
  <w:style w:type="paragraph" w:styleId="6">
    <w:name w:val="Body Text"/>
    <w:basedOn w:val="1"/>
    <w:qFormat/>
    <w:uiPriority w:val="0"/>
    <w:pPr>
      <w:spacing w:before="0" w:after="12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none" w:color="000000" w:sz="0" w:space="1"/>
      </w:pBdr>
      <w:tabs>
        <w:tab w:val="center" w:pos="4153"/>
        <w:tab w:val="right" w:pos="8306"/>
      </w:tabs>
      <w:snapToGrid w:val="0"/>
      <w:jc w:val="center"/>
    </w:pPr>
    <w:rPr>
      <w:sz w:val="18"/>
      <w:szCs w:val="18"/>
    </w:rPr>
  </w:style>
  <w:style w:type="paragraph" w:styleId="9">
    <w:name w:val="List"/>
    <w:basedOn w:val="6"/>
    <w:qFormat/>
    <w:uiPriority w:val="0"/>
    <w:rPr>
      <w:rFonts w:cs="Lohit Devanagari"/>
    </w:r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3">
    <w:name w:val="Strong"/>
    <w:basedOn w:val="12"/>
    <w:qFormat/>
    <w:uiPriority w:val="0"/>
    <w:rPr>
      <w:b/>
    </w:rPr>
  </w:style>
  <w:style w:type="character" w:styleId="14">
    <w:name w:val="page number"/>
    <w:basedOn w:val="15"/>
    <w:qFormat/>
    <w:uiPriority w:val="0"/>
  </w:style>
  <w:style w:type="character" w:customStyle="1" w:styleId="15">
    <w:name w:val="默认段落字体1"/>
    <w:qFormat/>
    <w:uiPriority w:val="0"/>
  </w:style>
  <w:style w:type="character" w:styleId="16">
    <w:name w:val="Hyperlink"/>
    <w:basedOn w:val="15"/>
    <w:qFormat/>
    <w:uiPriority w:val="0"/>
    <w:rPr>
      <w:color w:val="0000FF"/>
      <w:u w:val="single"/>
    </w:rPr>
  </w:style>
  <w:style w:type="paragraph" w:customStyle="1" w:styleId="17">
    <w:name w:val="正文首行缩进 21"/>
    <w:basedOn w:val="3"/>
    <w:qFormat/>
    <w:uiPriority w:val="0"/>
    <w:pPr>
      <w:keepNext/>
      <w:widowControl/>
      <w:ind w:left="420" w:right="0" w:firstLine="210"/>
      <w:textAlignment w:val="baseline"/>
    </w:pPr>
    <w:rPr>
      <w:rFonts w:ascii="宋体" w:hAnsi="宋体"/>
      <w:spacing w:val="2"/>
      <w:kern w:val="0"/>
      <w:position w:val="-6"/>
    </w:rPr>
  </w:style>
  <w:style w:type="paragraph" w:customStyle="1" w:styleId="18">
    <w:name w:val="Heading"/>
    <w:basedOn w:val="1"/>
    <w:next w:val="6"/>
    <w:qFormat/>
    <w:uiPriority w:val="0"/>
    <w:pPr>
      <w:keepNext/>
      <w:spacing w:before="240" w:after="120"/>
    </w:pPr>
    <w:rPr>
      <w:rFonts w:ascii="Liberation Sans" w:hAnsi="Liberation Sans" w:eastAsia="Noto Sans CJK SC" w:cs="Lohit Devanagari"/>
      <w:sz w:val="28"/>
      <w:szCs w:val="28"/>
    </w:rPr>
  </w:style>
  <w:style w:type="paragraph" w:customStyle="1" w:styleId="19">
    <w:name w:val="Index"/>
    <w:basedOn w:val="1"/>
    <w:qFormat/>
    <w:uiPriority w:val="0"/>
    <w:pPr>
      <w:suppressLineNumbers/>
    </w:pPr>
    <w:rPr>
      <w:rFonts w:cs="Lohit Devanagari"/>
    </w:rPr>
  </w:style>
  <w:style w:type="paragraph" w:customStyle="1" w:styleId="20">
    <w:name w:val="批注框文本1"/>
    <w:basedOn w:val="1"/>
    <w:qFormat/>
    <w:uiPriority w:val="0"/>
    <w:rPr>
      <w:sz w:val="18"/>
      <w:szCs w:val="18"/>
    </w:rPr>
  </w:style>
  <w:style w:type="paragraph" w:customStyle="1" w:styleId="21">
    <w:name w:val="Header and Footer"/>
    <w:basedOn w:val="1"/>
    <w:qFormat/>
    <w:uiPriority w:val="0"/>
    <w:pPr>
      <w:suppressLineNumbers/>
      <w:tabs>
        <w:tab w:val="center" w:pos="4819"/>
        <w:tab w:val="right" w:pos="9638"/>
      </w:tabs>
    </w:pPr>
  </w:style>
  <w:style w:type="paragraph" w:customStyle="1" w:styleId="22">
    <w:name w:val="列出段落"/>
    <w:basedOn w:val="1"/>
    <w:qFormat/>
    <w:uiPriority w:val="0"/>
    <w:pPr>
      <w:ind w:left="0" w:right="0" w:firstLine="420"/>
    </w:pPr>
    <w:rPr>
      <w:szCs w:val="24"/>
    </w:rPr>
  </w:style>
  <w:style w:type="paragraph" w:customStyle="1" w:styleId="23">
    <w:name w:val="Table Contents"/>
    <w:basedOn w:val="1"/>
    <w:qFormat/>
    <w:uiPriority w:val="0"/>
    <w:pPr>
      <w:widowControl w:val="0"/>
      <w:suppressLineNumbers/>
    </w:pPr>
  </w:style>
  <w:style w:type="paragraph" w:customStyle="1" w:styleId="24">
    <w:name w:val="Table Heading"/>
    <w:basedOn w:val="23"/>
    <w:qFormat/>
    <w:uiPriority w:val="0"/>
    <w:pPr>
      <w:suppressLineNumbers/>
      <w:jc w:val="center"/>
    </w:pPr>
    <w:rPr>
      <w:b/>
      <w:bCs/>
    </w:rPr>
  </w:style>
  <w:style w:type="paragraph" w:customStyle="1" w:styleId="25">
    <w:name w:val="Frame Contents"/>
    <w:basedOn w:val="1"/>
    <w:qFormat/>
    <w:uiPriority w:val="0"/>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2" Type="http://schemas.microsoft.com/office/2011/relationships/people" Target="people.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jpe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6.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footer" Target="footer3.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9957</Words>
  <Characters>14029</Characters>
  <TotalTime>81</TotalTime>
  <ScaleCrop>false</ScaleCrop>
  <LinksUpToDate>false</LinksUpToDate>
  <CharactersWithSpaces>15337</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2014-11-19T03:29:00Z</dcterms:created>
  <dc:creator>莫勤华</dc:creator>
  <cp:lastModifiedBy>MJ</cp:lastModifiedBy>
  <cp:lastPrinted>2024-10-24T16:25:00Z</cp:lastPrinted>
  <dcterms:modified xsi:type="dcterms:W3CDTF">2026-10-17T05:10:28Z</dcterms:modified>
  <dc:subject>城镇污水处理厂碳排放预测及低碳运行分析</dc:subject>
  <dc:title>专业学位研究生学位论文开题报告</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38BB884C53394838871A7A50E6B89375_13</vt:lpwstr>
  </property>
  <property fmtid="{D5CDD505-2E9C-101B-9397-08002B2CF9AE}" pid="3" name="KSOProductBuildVer">
    <vt:lpwstr>2052-12.1.0.28505</vt:lpwstr>
  </property>
  <property fmtid="{D5CDD505-2E9C-101B-9397-08002B2CF9AE}" pid="4" name="KSOTemplateDocerSaveRecord">
    <vt:lpwstr>eyJoZGlkIjoiZDRlNmI0ZjY3NTBlODM4Y2VhOWVkZTVjODI2MGEzZWEiLCJ1c2VySWQiOiIxMjQzMTMwNzM0In0=</vt:lpwstr>
  </property>
</Properties>
</file>