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B535" w14:textId="0EFF5475" w:rsidR="00993C50" w:rsidRPr="00405A09" w:rsidRDefault="006E3156">
      <w:pPr>
        <w:pStyle w:val="Heading1"/>
        <w:rPr>
          <w:rFonts w:ascii="Arial" w:hAnsi="Arial" w:cs="Arial"/>
        </w:rPr>
      </w:pPr>
      <w:r w:rsidRPr="00405A09">
        <w:rPr>
          <w:rFonts w:ascii="Arial" w:hAnsi="Arial" w:cs="Arial"/>
        </w:rPr>
        <w:t>Evidence Analysis</w:t>
      </w:r>
      <w:r w:rsidR="005428AD" w:rsidRPr="00405A09">
        <w:rPr>
          <w:rFonts w:ascii="Arial" w:hAnsi="Arial" w:cs="Arial"/>
        </w:rPr>
        <w:t xml:space="preserve"> Part 2</w:t>
      </w:r>
    </w:p>
    <w:p w14:paraId="31689DC7" w14:textId="77777777" w:rsidR="00993C50" w:rsidRPr="00405A09" w:rsidRDefault="00993C50">
      <w:pPr>
        <w:rPr>
          <w:rFonts w:ascii="Arial" w:hAnsi="Arial" w:cs="Arial"/>
          <w:b/>
          <w:sz w:val="24"/>
        </w:rPr>
      </w:pPr>
    </w:p>
    <w:p w14:paraId="1579A7DF" w14:textId="753C07A1" w:rsidR="00993C50" w:rsidRPr="00405A09" w:rsidRDefault="00993C50">
      <w:pPr>
        <w:rPr>
          <w:rFonts w:ascii="Arial" w:hAnsi="Arial" w:cs="Arial"/>
          <w:b/>
          <w:sz w:val="24"/>
        </w:rPr>
      </w:pPr>
      <w:r w:rsidRPr="00405A09">
        <w:rPr>
          <w:rFonts w:ascii="Arial" w:hAnsi="Arial" w:cs="Arial"/>
          <w:b/>
          <w:sz w:val="24"/>
        </w:rPr>
        <w:t xml:space="preserve">Tutorial </w:t>
      </w:r>
      <w:r w:rsidR="00F86A37">
        <w:rPr>
          <w:rFonts w:ascii="Arial" w:hAnsi="Arial" w:cs="Arial"/>
          <w:b/>
          <w:sz w:val="24"/>
        </w:rPr>
        <w:t>9</w:t>
      </w:r>
    </w:p>
    <w:p w14:paraId="7729E1E9" w14:textId="77777777" w:rsidR="00993C50" w:rsidRPr="00405A09" w:rsidRDefault="00993C50">
      <w:pPr>
        <w:rPr>
          <w:rFonts w:ascii="Arial" w:hAnsi="Arial" w:cs="Arial"/>
          <w:sz w:val="24"/>
        </w:rPr>
      </w:pPr>
    </w:p>
    <w:p w14:paraId="1CCCA7ED" w14:textId="77777777" w:rsidR="00FD68B2" w:rsidRPr="00405A09" w:rsidRDefault="00FD68B2">
      <w:pPr>
        <w:rPr>
          <w:rFonts w:ascii="Arial" w:hAnsi="Arial" w:cs="Arial"/>
          <w:sz w:val="24"/>
        </w:rPr>
      </w:pPr>
    </w:p>
    <w:p w14:paraId="7252E15F" w14:textId="77777777" w:rsidR="00657F06" w:rsidRPr="00405A09" w:rsidRDefault="002A57E7" w:rsidP="00657F06">
      <w:pPr>
        <w:tabs>
          <w:tab w:val="left" w:pos="540"/>
        </w:tabs>
        <w:ind w:left="540" w:hanging="540"/>
        <w:rPr>
          <w:rFonts w:ascii="Arial" w:hAnsi="Arial" w:cs="Arial"/>
          <w:sz w:val="24"/>
          <w:szCs w:val="24"/>
        </w:rPr>
      </w:pPr>
      <w:r w:rsidRPr="00405A09">
        <w:rPr>
          <w:rFonts w:ascii="Arial" w:hAnsi="Arial" w:cs="Arial"/>
          <w:sz w:val="24"/>
        </w:rPr>
        <w:t>1.</w:t>
      </w:r>
      <w:r w:rsidRPr="00405A09">
        <w:rPr>
          <w:rFonts w:ascii="Arial" w:hAnsi="Arial" w:cs="Arial"/>
          <w:sz w:val="24"/>
        </w:rPr>
        <w:tab/>
      </w:r>
      <w:r w:rsidR="00D36C3F" w:rsidRPr="00405A09">
        <w:rPr>
          <w:rFonts w:ascii="Arial" w:hAnsi="Arial" w:cs="Arial"/>
          <w:sz w:val="24"/>
          <w:szCs w:val="24"/>
        </w:rPr>
        <w:t>What is the rule against “hearsay”? Explain the rationale for maintaining such a rule in evidence.</w:t>
      </w:r>
    </w:p>
    <w:p w14:paraId="709CF524" w14:textId="6D4CB629" w:rsidR="00FD68B2" w:rsidRDefault="00FD68B2" w:rsidP="00657F06">
      <w:pPr>
        <w:tabs>
          <w:tab w:val="left" w:pos="540"/>
        </w:tabs>
        <w:ind w:left="540" w:hanging="540"/>
        <w:rPr>
          <w:rFonts w:ascii="Arial" w:hAnsi="Arial" w:cs="Arial"/>
          <w:sz w:val="24"/>
          <w:szCs w:val="24"/>
        </w:rPr>
      </w:pPr>
    </w:p>
    <w:p w14:paraId="097474FD" w14:textId="77777777" w:rsidR="00140216" w:rsidRPr="00140216" w:rsidRDefault="00140216" w:rsidP="00140216">
      <w:pPr>
        <w:rPr>
          <w:rFonts w:ascii="Arial" w:hAnsi="Arial" w:cs="Arial"/>
          <w:sz w:val="22"/>
          <w:szCs w:val="22"/>
        </w:rPr>
      </w:pPr>
      <w:r>
        <w:rPr>
          <w:rFonts w:ascii="Arial" w:hAnsi="Arial" w:cs="Arial"/>
          <w:sz w:val="24"/>
          <w:szCs w:val="24"/>
        </w:rPr>
        <w:tab/>
      </w:r>
      <w:r w:rsidRPr="00140216">
        <w:rPr>
          <w:rFonts w:ascii="Arial" w:hAnsi="Arial" w:cs="Arial"/>
          <w:sz w:val="22"/>
          <w:szCs w:val="22"/>
        </w:rPr>
        <w:t xml:space="preserve">Under Section 62 of the Evidence Act requires direct evidence to be given. </w:t>
      </w:r>
    </w:p>
    <w:p w14:paraId="74EDA175" w14:textId="77777777" w:rsidR="00140216" w:rsidRPr="00140216" w:rsidRDefault="00140216" w:rsidP="00140216">
      <w:pPr>
        <w:rPr>
          <w:rFonts w:ascii="Arial" w:hAnsi="Arial" w:cs="Arial"/>
          <w:sz w:val="22"/>
          <w:szCs w:val="22"/>
        </w:rPr>
      </w:pPr>
    </w:p>
    <w:p w14:paraId="32F54532" w14:textId="6248175F" w:rsidR="00140216" w:rsidRDefault="00140216" w:rsidP="00140216">
      <w:pPr>
        <w:ind w:left="720"/>
        <w:rPr>
          <w:rFonts w:ascii="Arial" w:hAnsi="Arial" w:cs="Arial"/>
          <w:sz w:val="22"/>
          <w:szCs w:val="22"/>
        </w:rPr>
      </w:pPr>
      <w:r w:rsidRPr="00140216">
        <w:rPr>
          <w:rFonts w:ascii="Arial" w:hAnsi="Arial" w:cs="Arial"/>
          <w:sz w:val="22"/>
          <w:szCs w:val="22"/>
        </w:rPr>
        <w:t>• It is provided that a witness who gives oral evidence must testify as to what he himself perceived. He is NOT permitted to testify to facts in issue or relevant facts which are perceived by other persons, and which were recounted to him.</w:t>
      </w:r>
    </w:p>
    <w:p w14:paraId="02B583F0" w14:textId="08933B4C" w:rsidR="00140216" w:rsidRDefault="00140216" w:rsidP="00140216">
      <w:pPr>
        <w:ind w:left="720"/>
        <w:rPr>
          <w:rFonts w:ascii="Arial" w:hAnsi="Arial" w:cs="Arial"/>
          <w:sz w:val="22"/>
          <w:szCs w:val="22"/>
        </w:rPr>
      </w:pPr>
    </w:p>
    <w:p w14:paraId="3A377BE6" w14:textId="77777777" w:rsidR="00140216" w:rsidRPr="00140216" w:rsidRDefault="00140216" w:rsidP="00140216">
      <w:pPr>
        <w:ind w:left="720"/>
        <w:rPr>
          <w:rFonts w:ascii="Arial" w:hAnsi="Arial" w:cs="Arial"/>
          <w:sz w:val="22"/>
          <w:szCs w:val="22"/>
        </w:rPr>
      </w:pPr>
      <w:r w:rsidRPr="00140216">
        <w:rPr>
          <w:rFonts w:ascii="Arial" w:hAnsi="Arial" w:cs="Arial"/>
          <w:sz w:val="22"/>
          <w:szCs w:val="22"/>
        </w:rPr>
        <w:t xml:space="preserve">The rationale behind this principle is that the witness cannot verify the truth of the facts of which he has no personal knowledge. </w:t>
      </w:r>
    </w:p>
    <w:p w14:paraId="730704F8" w14:textId="77777777" w:rsidR="00140216" w:rsidRPr="00140216" w:rsidRDefault="00140216" w:rsidP="00140216">
      <w:pPr>
        <w:ind w:left="720"/>
        <w:rPr>
          <w:rFonts w:ascii="Arial" w:hAnsi="Arial" w:cs="Arial"/>
          <w:sz w:val="22"/>
          <w:szCs w:val="22"/>
        </w:rPr>
      </w:pPr>
    </w:p>
    <w:p w14:paraId="6A344DA5" w14:textId="77777777" w:rsidR="00140216" w:rsidRPr="00140216" w:rsidRDefault="00140216" w:rsidP="00140216">
      <w:pPr>
        <w:ind w:left="720"/>
        <w:rPr>
          <w:rFonts w:ascii="Arial" w:hAnsi="Arial" w:cs="Arial"/>
          <w:sz w:val="22"/>
          <w:szCs w:val="22"/>
        </w:rPr>
      </w:pPr>
      <w:r w:rsidRPr="00140216">
        <w:rPr>
          <w:rFonts w:ascii="Arial" w:hAnsi="Arial" w:cs="Arial"/>
          <w:sz w:val="22"/>
          <w:szCs w:val="22"/>
        </w:rPr>
        <w:t xml:space="preserve">• As the person who has personal knowledge is not in court, the accuracy of his perception cannot be assessed nor be tested in cross-examination. </w:t>
      </w:r>
    </w:p>
    <w:p w14:paraId="03103258" w14:textId="77777777" w:rsidR="00140216" w:rsidRPr="00140216" w:rsidRDefault="00140216" w:rsidP="00140216">
      <w:pPr>
        <w:ind w:left="720"/>
        <w:rPr>
          <w:rFonts w:ascii="Arial" w:hAnsi="Arial" w:cs="Arial"/>
          <w:sz w:val="22"/>
          <w:szCs w:val="22"/>
        </w:rPr>
      </w:pPr>
    </w:p>
    <w:p w14:paraId="1356936E" w14:textId="7393AAE6" w:rsidR="00140216" w:rsidRPr="00140216" w:rsidRDefault="00140216" w:rsidP="00140216">
      <w:pPr>
        <w:ind w:left="720"/>
        <w:rPr>
          <w:rFonts w:ascii="Arial" w:hAnsi="Arial" w:cs="Arial"/>
          <w:sz w:val="22"/>
          <w:szCs w:val="22"/>
        </w:rPr>
      </w:pPr>
      <w:r w:rsidRPr="00140216">
        <w:rPr>
          <w:rFonts w:ascii="Arial" w:hAnsi="Arial" w:cs="Arial"/>
          <w:sz w:val="22"/>
          <w:szCs w:val="22"/>
        </w:rPr>
        <w:t>• Moreover the possibility of fabrication is increased in situations of hearsay</w:t>
      </w:r>
    </w:p>
    <w:p w14:paraId="50755B31" w14:textId="77777777" w:rsidR="00FD68B2" w:rsidRPr="00405A09" w:rsidRDefault="00FD68B2" w:rsidP="00657F06">
      <w:pPr>
        <w:tabs>
          <w:tab w:val="left" w:pos="540"/>
        </w:tabs>
        <w:ind w:left="540" w:hanging="540"/>
        <w:rPr>
          <w:rFonts w:ascii="Arial" w:hAnsi="Arial" w:cs="Arial"/>
          <w:sz w:val="24"/>
          <w:szCs w:val="24"/>
        </w:rPr>
      </w:pPr>
    </w:p>
    <w:p w14:paraId="41383D0B" w14:textId="008BAE9E" w:rsidR="00FD68B2" w:rsidRDefault="00FD68B2" w:rsidP="00FD68B2">
      <w:pPr>
        <w:tabs>
          <w:tab w:val="left" w:pos="540"/>
        </w:tabs>
        <w:ind w:left="540" w:hanging="540"/>
        <w:rPr>
          <w:rFonts w:ascii="Arial" w:hAnsi="Arial" w:cs="Arial"/>
          <w:sz w:val="24"/>
          <w:szCs w:val="24"/>
        </w:rPr>
      </w:pPr>
      <w:r w:rsidRPr="00405A09">
        <w:rPr>
          <w:rFonts w:ascii="Arial" w:hAnsi="Arial" w:cs="Arial"/>
          <w:sz w:val="24"/>
          <w:szCs w:val="24"/>
        </w:rPr>
        <w:t>2.</w:t>
      </w:r>
      <w:r w:rsidRPr="00405A09">
        <w:rPr>
          <w:rFonts w:ascii="Arial" w:hAnsi="Arial" w:cs="Arial"/>
          <w:sz w:val="24"/>
          <w:szCs w:val="24"/>
        </w:rPr>
        <w:tab/>
      </w:r>
      <w:r w:rsidR="00D36C3F" w:rsidRPr="00405A09">
        <w:rPr>
          <w:rFonts w:ascii="Arial" w:hAnsi="Arial" w:cs="Arial"/>
          <w:sz w:val="24"/>
          <w:szCs w:val="24"/>
        </w:rPr>
        <w:t>Explain what is a “confession” and discuss the conditions it must meet before it may be treated as admissible</w:t>
      </w:r>
      <w:r w:rsidR="005775A6" w:rsidRPr="00405A09">
        <w:rPr>
          <w:rFonts w:ascii="Arial" w:hAnsi="Arial" w:cs="Arial"/>
          <w:sz w:val="24"/>
          <w:szCs w:val="24"/>
        </w:rPr>
        <w:t>.</w:t>
      </w:r>
    </w:p>
    <w:p w14:paraId="09B69155" w14:textId="3BF22A9E" w:rsidR="00140216" w:rsidRDefault="00140216" w:rsidP="00FD68B2">
      <w:pPr>
        <w:tabs>
          <w:tab w:val="left" w:pos="540"/>
        </w:tabs>
        <w:ind w:left="540" w:hanging="540"/>
        <w:rPr>
          <w:rFonts w:ascii="Arial" w:hAnsi="Arial" w:cs="Arial"/>
          <w:sz w:val="24"/>
          <w:szCs w:val="24"/>
        </w:rPr>
      </w:pPr>
    </w:p>
    <w:p w14:paraId="5459D257" w14:textId="326924C8" w:rsidR="00140216" w:rsidRPr="00140216" w:rsidRDefault="00140216" w:rsidP="00140216">
      <w:pPr>
        <w:tabs>
          <w:tab w:val="left" w:pos="540"/>
        </w:tabs>
        <w:ind w:left="720" w:hanging="540"/>
        <w:rPr>
          <w:rFonts w:ascii="Arial" w:hAnsi="Arial" w:cs="Arial"/>
          <w:sz w:val="22"/>
          <w:szCs w:val="22"/>
        </w:rPr>
      </w:pPr>
      <w:r>
        <w:rPr>
          <w:rFonts w:ascii="Arial" w:hAnsi="Arial" w:cs="Arial"/>
          <w:sz w:val="24"/>
          <w:szCs w:val="24"/>
        </w:rPr>
        <w:tab/>
      </w:r>
      <w:r w:rsidRPr="00140216">
        <w:rPr>
          <w:rFonts w:ascii="Arial" w:hAnsi="Arial" w:cs="Arial"/>
          <w:sz w:val="22"/>
          <w:szCs w:val="22"/>
        </w:rPr>
        <w:tab/>
        <w:t>Section 17(2) of the Evidence Act defines a confession as an admission by an accused person which states or suggest the inference (ie arrive at a conclusion) that he committed the offence</w:t>
      </w:r>
    </w:p>
    <w:p w14:paraId="06B4D50B" w14:textId="625DB171" w:rsidR="00140216" w:rsidRPr="00140216" w:rsidRDefault="00140216" w:rsidP="00FD68B2">
      <w:pPr>
        <w:tabs>
          <w:tab w:val="left" w:pos="540"/>
        </w:tabs>
        <w:ind w:left="540" w:hanging="540"/>
        <w:rPr>
          <w:rFonts w:ascii="Arial" w:hAnsi="Arial" w:cs="Arial"/>
          <w:sz w:val="22"/>
          <w:szCs w:val="22"/>
        </w:rPr>
      </w:pPr>
    </w:p>
    <w:p w14:paraId="792D024E" w14:textId="1B82B7FE" w:rsidR="00140216" w:rsidRPr="00140216" w:rsidRDefault="00140216" w:rsidP="00140216">
      <w:pPr>
        <w:numPr>
          <w:ilvl w:val="0"/>
          <w:numId w:val="6"/>
        </w:numPr>
        <w:tabs>
          <w:tab w:val="left" w:pos="540"/>
        </w:tabs>
        <w:rPr>
          <w:rFonts w:ascii="Arial" w:hAnsi="Arial" w:cs="Arial"/>
          <w:sz w:val="22"/>
          <w:szCs w:val="22"/>
        </w:rPr>
      </w:pPr>
      <w:r w:rsidRPr="00140216">
        <w:rPr>
          <w:rFonts w:ascii="Arial" w:hAnsi="Arial" w:cs="Arial"/>
          <w:sz w:val="22"/>
          <w:szCs w:val="22"/>
        </w:rPr>
        <w:t xml:space="preserve">In criminal cases, the accused must admit to all the elements of the offence that constitute the offence i.e. both the intention as well as the unlawful act </w:t>
      </w:r>
    </w:p>
    <w:p w14:paraId="76EAE5D4" w14:textId="77777777" w:rsidR="00140216" w:rsidRPr="00140216" w:rsidRDefault="00140216" w:rsidP="00FD68B2">
      <w:pPr>
        <w:tabs>
          <w:tab w:val="left" w:pos="540"/>
        </w:tabs>
        <w:ind w:left="540" w:hanging="540"/>
        <w:rPr>
          <w:rFonts w:ascii="Arial" w:hAnsi="Arial" w:cs="Arial"/>
          <w:sz w:val="22"/>
          <w:szCs w:val="22"/>
        </w:rPr>
      </w:pPr>
    </w:p>
    <w:p w14:paraId="444671D1" w14:textId="23655604" w:rsidR="00140216" w:rsidRDefault="00140216" w:rsidP="00140216">
      <w:pPr>
        <w:numPr>
          <w:ilvl w:val="0"/>
          <w:numId w:val="6"/>
        </w:numPr>
        <w:tabs>
          <w:tab w:val="left" w:pos="540"/>
        </w:tabs>
        <w:rPr>
          <w:rFonts w:ascii="Arial" w:hAnsi="Arial" w:cs="Arial"/>
          <w:sz w:val="22"/>
          <w:szCs w:val="22"/>
        </w:rPr>
      </w:pPr>
      <w:r w:rsidRPr="00140216">
        <w:rPr>
          <w:rFonts w:ascii="Arial" w:hAnsi="Arial" w:cs="Arial"/>
          <w:sz w:val="22"/>
          <w:szCs w:val="22"/>
        </w:rPr>
        <w:t>The confession or admission must be made voluntarily with no inducement, threat or promise</w:t>
      </w:r>
    </w:p>
    <w:p w14:paraId="01A19E44" w14:textId="77777777" w:rsidR="00140216" w:rsidRDefault="00140216" w:rsidP="00140216">
      <w:pPr>
        <w:pStyle w:val="ListParagraph"/>
        <w:rPr>
          <w:rFonts w:ascii="Arial" w:hAnsi="Arial" w:cs="Arial"/>
          <w:sz w:val="22"/>
          <w:szCs w:val="22"/>
        </w:rPr>
      </w:pPr>
    </w:p>
    <w:p w14:paraId="2FAD38B5" w14:textId="77777777" w:rsidR="00140216" w:rsidRPr="00140216" w:rsidRDefault="00140216" w:rsidP="00140216">
      <w:pPr>
        <w:tabs>
          <w:tab w:val="left" w:pos="540"/>
        </w:tabs>
        <w:ind w:left="1080"/>
        <w:rPr>
          <w:rFonts w:ascii="Arial" w:hAnsi="Arial" w:cs="Arial"/>
          <w:sz w:val="22"/>
          <w:szCs w:val="22"/>
        </w:rPr>
      </w:pPr>
    </w:p>
    <w:p w14:paraId="3F6D2537" w14:textId="0FF1C211" w:rsidR="00140216" w:rsidRDefault="00140216" w:rsidP="00140216">
      <w:pPr>
        <w:numPr>
          <w:ilvl w:val="0"/>
          <w:numId w:val="6"/>
        </w:numPr>
        <w:tabs>
          <w:tab w:val="left" w:pos="540"/>
        </w:tabs>
        <w:rPr>
          <w:rFonts w:ascii="Arial" w:hAnsi="Arial" w:cs="Arial"/>
          <w:sz w:val="22"/>
          <w:szCs w:val="22"/>
        </w:rPr>
      </w:pPr>
      <w:r w:rsidRPr="00140216">
        <w:rPr>
          <w:rFonts w:ascii="Arial" w:hAnsi="Arial" w:cs="Arial"/>
          <w:sz w:val="22"/>
          <w:szCs w:val="22"/>
        </w:rPr>
        <w:t>Procedurally, a confession will not be admissible if made to a police officer below the rank o</w:t>
      </w:r>
      <w:r>
        <w:rPr>
          <w:rFonts w:ascii="Arial" w:hAnsi="Arial" w:cs="Arial"/>
          <w:sz w:val="22"/>
          <w:szCs w:val="22"/>
        </w:rPr>
        <w:t xml:space="preserve">f </w:t>
      </w:r>
      <w:r w:rsidRPr="00140216">
        <w:rPr>
          <w:rFonts w:ascii="Arial" w:hAnsi="Arial" w:cs="Arial"/>
          <w:sz w:val="22"/>
          <w:szCs w:val="22"/>
        </w:rPr>
        <w:t>Sergeant</w:t>
      </w:r>
    </w:p>
    <w:p w14:paraId="51C50F88" w14:textId="77777777" w:rsidR="00140216" w:rsidRPr="00140216" w:rsidRDefault="00140216" w:rsidP="00140216">
      <w:pPr>
        <w:tabs>
          <w:tab w:val="left" w:pos="540"/>
        </w:tabs>
        <w:ind w:left="1080"/>
        <w:rPr>
          <w:rFonts w:ascii="Arial" w:hAnsi="Arial" w:cs="Arial"/>
          <w:sz w:val="22"/>
          <w:szCs w:val="22"/>
        </w:rPr>
      </w:pPr>
    </w:p>
    <w:p w14:paraId="258AAB76" w14:textId="77777777" w:rsidR="00FD68B2" w:rsidRPr="00405A09" w:rsidRDefault="00FD68B2" w:rsidP="00FD68B2">
      <w:pPr>
        <w:tabs>
          <w:tab w:val="left" w:pos="540"/>
        </w:tabs>
        <w:ind w:left="540" w:hanging="540"/>
        <w:rPr>
          <w:rFonts w:ascii="Arial" w:hAnsi="Arial" w:cs="Arial"/>
          <w:sz w:val="24"/>
          <w:szCs w:val="24"/>
        </w:rPr>
      </w:pPr>
    </w:p>
    <w:p w14:paraId="53E086E3" w14:textId="77777777" w:rsidR="00FD68B2" w:rsidRPr="00405A09" w:rsidRDefault="00FD68B2" w:rsidP="00FD68B2">
      <w:pPr>
        <w:tabs>
          <w:tab w:val="left" w:pos="540"/>
        </w:tabs>
        <w:ind w:left="540" w:hanging="540"/>
        <w:rPr>
          <w:rFonts w:ascii="Arial" w:hAnsi="Arial" w:cs="Arial"/>
          <w:sz w:val="24"/>
          <w:szCs w:val="24"/>
        </w:rPr>
      </w:pPr>
    </w:p>
    <w:p w14:paraId="67A39512" w14:textId="77777777" w:rsidR="00FD68B2" w:rsidRPr="00405A09" w:rsidRDefault="00FD68B2" w:rsidP="005775A6">
      <w:pPr>
        <w:tabs>
          <w:tab w:val="left" w:pos="540"/>
        </w:tabs>
        <w:ind w:left="540" w:hanging="540"/>
        <w:rPr>
          <w:rFonts w:ascii="Arial" w:hAnsi="Arial" w:cs="Arial"/>
          <w:sz w:val="24"/>
          <w:szCs w:val="24"/>
        </w:rPr>
      </w:pPr>
      <w:r w:rsidRPr="00405A09">
        <w:rPr>
          <w:rFonts w:ascii="Arial" w:hAnsi="Arial" w:cs="Arial"/>
          <w:sz w:val="24"/>
          <w:szCs w:val="24"/>
        </w:rPr>
        <w:t>3.</w:t>
      </w:r>
      <w:r w:rsidRPr="00405A09">
        <w:rPr>
          <w:rFonts w:ascii="Arial" w:hAnsi="Arial" w:cs="Arial"/>
          <w:sz w:val="24"/>
          <w:szCs w:val="24"/>
        </w:rPr>
        <w:tab/>
      </w:r>
      <w:r w:rsidR="005775A6" w:rsidRPr="00405A09">
        <w:rPr>
          <w:rFonts w:ascii="Arial" w:hAnsi="Arial" w:cs="Arial"/>
          <w:sz w:val="24"/>
          <w:szCs w:val="24"/>
        </w:rPr>
        <w:t>Discuss the distinction between admissibility and weight of the evidence. How does this apply to computer output as evidence?</w:t>
      </w:r>
    </w:p>
    <w:p w14:paraId="099AAEE1" w14:textId="48AEC650" w:rsidR="00266E96" w:rsidRDefault="00266E96" w:rsidP="00FD68B2">
      <w:pPr>
        <w:tabs>
          <w:tab w:val="left" w:pos="540"/>
        </w:tabs>
        <w:ind w:left="540" w:hanging="540"/>
        <w:rPr>
          <w:rFonts w:ascii="Arial" w:hAnsi="Arial" w:cs="Arial"/>
          <w:sz w:val="24"/>
          <w:szCs w:val="24"/>
        </w:rPr>
      </w:pPr>
    </w:p>
    <w:p w14:paraId="01635F97" w14:textId="1195455D" w:rsidR="00140216" w:rsidRPr="00140216" w:rsidRDefault="00140216" w:rsidP="00FD68B2">
      <w:pPr>
        <w:tabs>
          <w:tab w:val="left" w:pos="540"/>
        </w:tabs>
        <w:ind w:left="540" w:hanging="540"/>
        <w:rPr>
          <w:rFonts w:ascii="Arial" w:hAnsi="Arial" w:cs="Arial"/>
          <w:sz w:val="22"/>
          <w:szCs w:val="22"/>
        </w:rPr>
      </w:pPr>
      <w:r w:rsidRPr="00140216">
        <w:rPr>
          <w:rFonts w:ascii="Arial" w:hAnsi="Arial" w:cs="Arial"/>
          <w:sz w:val="22"/>
          <w:szCs w:val="22"/>
        </w:rPr>
        <w:tab/>
        <w:t xml:space="preserve">The admissibility of evidence, which is a question of law, depends on: </w:t>
      </w:r>
      <w:r w:rsidRPr="00140216">
        <w:rPr>
          <w:rFonts w:ascii="Segoe UI Symbol" w:hAnsi="Segoe UI Symbol" w:cs="Segoe UI Symbol"/>
          <w:sz w:val="22"/>
          <w:szCs w:val="22"/>
        </w:rPr>
        <w:t>➢</w:t>
      </w:r>
      <w:r w:rsidRPr="00140216">
        <w:rPr>
          <w:rFonts w:ascii="Arial" w:hAnsi="Arial" w:cs="Arial"/>
          <w:sz w:val="22"/>
          <w:szCs w:val="22"/>
        </w:rPr>
        <w:t xml:space="preserve"> The concept of “relevancy” of a sufficiently high degree </w:t>
      </w:r>
      <w:r w:rsidRPr="00140216">
        <w:rPr>
          <w:rFonts w:ascii="Segoe UI Symbol" w:hAnsi="Segoe UI Symbol" w:cs="Segoe UI Symbol"/>
          <w:sz w:val="22"/>
          <w:szCs w:val="22"/>
        </w:rPr>
        <w:t>➢</w:t>
      </w:r>
      <w:r w:rsidRPr="00140216">
        <w:rPr>
          <w:rFonts w:ascii="Arial" w:hAnsi="Arial" w:cs="Arial"/>
          <w:sz w:val="22"/>
          <w:szCs w:val="22"/>
        </w:rPr>
        <w:t xml:space="preserve"> The fact that the evidence tendered does not infringe any provisions under the Evidence Act </w:t>
      </w:r>
    </w:p>
    <w:p w14:paraId="2692CA37" w14:textId="77777777" w:rsidR="00140216" w:rsidRPr="00140216" w:rsidRDefault="00140216" w:rsidP="00FD68B2">
      <w:pPr>
        <w:tabs>
          <w:tab w:val="left" w:pos="540"/>
        </w:tabs>
        <w:ind w:left="540" w:hanging="540"/>
        <w:rPr>
          <w:rFonts w:ascii="Arial" w:hAnsi="Arial" w:cs="Arial"/>
          <w:sz w:val="22"/>
          <w:szCs w:val="22"/>
        </w:rPr>
      </w:pPr>
    </w:p>
    <w:p w14:paraId="73FAD77B" w14:textId="236107A5" w:rsidR="00140216" w:rsidRDefault="00140216" w:rsidP="00FD68B2">
      <w:pPr>
        <w:tabs>
          <w:tab w:val="left" w:pos="540"/>
        </w:tabs>
        <w:ind w:left="540" w:hanging="540"/>
        <w:rPr>
          <w:rFonts w:ascii="Arial" w:hAnsi="Arial" w:cs="Arial"/>
          <w:sz w:val="22"/>
          <w:szCs w:val="22"/>
        </w:rPr>
      </w:pPr>
      <w:r w:rsidRPr="00140216">
        <w:rPr>
          <w:rFonts w:ascii="Arial" w:hAnsi="Arial" w:cs="Arial"/>
          <w:sz w:val="22"/>
          <w:szCs w:val="22"/>
        </w:rPr>
        <w:lastRenderedPageBreak/>
        <w:tab/>
        <w:t>The “weight” of the evidence, on the other hand, is a question of fact and involves the court deciding on the value it would place on the evidence. This value (often termed “probative value” (ie believable) is significant in deciding whether the court is likely to believe the evidence despite it being admissible</w:t>
      </w:r>
    </w:p>
    <w:p w14:paraId="0449DE39" w14:textId="20DEF0B3" w:rsidR="00140216" w:rsidRDefault="00140216" w:rsidP="00FD68B2">
      <w:pPr>
        <w:tabs>
          <w:tab w:val="left" w:pos="540"/>
        </w:tabs>
        <w:ind w:left="540" w:hanging="540"/>
        <w:rPr>
          <w:rFonts w:ascii="Arial" w:hAnsi="Arial" w:cs="Arial"/>
          <w:sz w:val="22"/>
          <w:szCs w:val="22"/>
        </w:rPr>
      </w:pPr>
    </w:p>
    <w:p w14:paraId="23C4BB27" w14:textId="4D4C7C84" w:rsidR="00140216" w:rsidRPr="00140216" w:rsidRDefault="00140216" w:rsidP="00FD68B2">
      <w:pPr>
        <w:tabs>
          <w:tab w:val="left" w:pos="540"/>
        </w:tabs>
        <w:ind w:left="540" w:hanging="540"/>
        <w:rPr>
          <w:rFonts w:ascii="Arial" w:hAnsi="Arial" w:cs="Arial"/>
          <w:sz w:val="22"/>
          <w:szCs w:val="22"/>
        </w:rPr>
      </w:pPr>
      <w:r>
        <w:rPr>
          <w:rFonts w:ascii="Arial" w:hAnsi="Arial" w:cs="Arial"/>
          <w:sz w:val="22"/>
          <w:szCs w:val="22"/>
        </w:rPr>
        <w:tab/>
      </w:r>
    </w:p>
    <w:p w14:paraId="0E33B154" w14:textId="77777777" w:rsidR="00266E96" w:rsidRPr="00405A09" w:rsidRDefault="00266E96" w:rsidP="00FD68B2">
      <w:pPr>
        <w:tabs>
          <w:tab w:val="left" w:pos="540"/>
        </w:tabs>
        <w:ind w:left="540" w:hanging="540"/>
        <w:rPr>
          <w:rFonts w:ascii="Arial" w:hAnsi="Arial" w:cs="Arial"/>
          <w:sz w:val="24"/>
          <w:szCs w:val="24"/>
        </w:rPr>
      </w:pPr>
    </w:p>
    <w:p w14:paraId="702690D8" w14:textId="77777777" w:rsidR="00C66CBA" w:rsidRPr="00405A09" w:rsidRDefault="00266E96" w:rsidP="00C66CBA">
      <w:pPr>
        <w:tabs>
          <w:tab w:val="left" w:pos="540"/>
        </w:tabs>
        <w:ind w:left="540" w:hanging="540"/>
        <w:rPr>
          <w:rFonts w:ascii="Arial" w:hAnsi="Arial" w:cs="Arial"/>
          <w:sz w:val="24"/>
          <w:szCs w:val="24"/>
        </w:rPr>
      </w:pPr>
      <w:r w:rsidRPr="00405A09">
        <w:rPr>
          <w:rFonts w:ascii="Arial" w:hAnsi="Arial" w:cs="Arial"/>
          <w:sz w:val="24"/>
          <w:szCs w:val="24"/>
        </w:rPr>
        <w:t>4.</w:t>
      </w:r>
      <w:r w:rsidRPr="00405A09">
        <w:rPr>
          <w:rFonts w:ascii="Arial" w:hAnsi="Arial" w:cs="Arial"/>
          <w:sz w:val="24"/>
          <w:szCs w:val="24"/>
        </w:rPr>
        <w:tab/>
      </w:r>
      <w:r w:rsidR="00C66CBA" w:rsidRPr="00405A09">
        <w:rPr>
          <w:rFonts w:ascii="Arial" w:hAnsi="Arial" w:cs="Arial"/>
          <w:sz w:val="24"/>
          <w:szCs w:val="24"/>
        </w:rPr>
        <w:t>What is the best evidence rule and how does it apply to the admissibility of computer output as evidence?</w:t>
      </w:r>
    </w:p>
    <w:p w14:paraId="7D74175B" w14:textId="1D172DFD" w:rsidR="007220CF" w:rsidRDefault="007220CF" w:rsidP="00FD68B2">
      <w:pPr>
        <w:tabs>
          <w:tab w:val="left" w:pos="540"/>
        </w:tabs>
        <w:ind w:left="540" w:hanging="540"/>
        <w:rPr>
          <w:sz w:val="24"/>
          <w:szCs w:val="24"/>
        </w:rPr>
      </w:pPr>
    </w:p>
    <w:p w14:paraId="1D4BF8A3" w14:textId="3321707C" w:rsidR="007220CF" w:rsidRPr="007220CF" w:rsidRDefault="007220CF" w:rsidP="00FD68B2">
      <w:pPr>
        <w:tabs>
          <w:tab w:val="left" w:pos="540"/>
        </w:tabs>
        <w:ind w:left="540" w:hanging="540"/>
        <w:rPr>
          <w:rFonts w:ascii="Arial" w:hAnsi="Arial" w:cs="Arial"/>
          <w:sz w:val="22"/>
          <w:szCs w:val="22"/>
        </w:rPr>
      </w:pPr>
      <w:r w:rsidRPr="007220CF">
        <w:rPr>
          <w:rFonts w:ascii="Arial" w:hAnsi="Arial" w:cs="Arial"/>
          <w:sz w:val="22"/>
          <w:szCs w:val="22"/>
        </w:rPr>
        <w:t>“Best that the nature of the case will allow”</w:t>
      </w:r>
    </w:p>
    <w:p w14:paraId="46B81AD8" w14:textId="77777777" w:rsidR="007220CF" w:rsidRPr="007220CF" w:rsidRDefault="007220CF" w:rsidP="007220CF">
      <w:pPr>
        <w:rPr>
          <w:rFonts w:ascii="Arial" w:hAnsi="Arial" w:cs="Arial"/>
          <w:sz w:val="22"/>
          <w:szCs w:val="22"/>
        </w:rPr>
      </w:pPr>
    </w:p>
    <w:p w14:paraId="10BABA92" w14:textId="69D14A2A" w:rsidR="007220CF" w:rsidRPr="007220CF" w:rsidRDefault="007220CF" w:rsidP="007220CF">
      <w:pPr>
        <w:rPr>
          <w:rFonts w:ascii="Arial" w:hAnsi="Arial" w:cs="Arial"/>
          <w:sz w:val="22"/>
          <w:szCs w:val="22"/>
        </w:rPr>
      </w:pPr>
      <w:r w:rsidRPr="007220CF">
        <w:rPr>
          <w:rFonts w:ascii="Arial" w:hAnsi="Arial" w:cs="Arial"/>
          <w:sz w:val="22"/>
          <w:szCs w:val="22"/>
        </w:rPr>
        <w:t xml:space="preserve">Thus where there was nothing better, the court will resort to admitting evidence which would otherwise be inadmissible in other cases </w:t>
      </w:r>
    </w:p>
    <w:p w14:paraId="5BCD30AD" w14:textId="77777777" w:rsidR="007220CF" w:rsidRPr="007220CF" w:rsidRDefault="007220CF" w:rsidP="007220CF">
      <w:pPr>
        <w:rPr>
          <w:rFonts w:ascii="Arial" w:hAnsi="Arial" w:cs="Arial"/>
          <w:sz w:val="22"/>
          <w:szCs w:val="22"/>
        </w:rPr>
      </w:pPr>
    </w:p>
    <w:p w14:paraId="5E1C1BAF" w14:textId="66942145" w:rsidR="007220CF" w:rsidRPr="007220CF" w:rsidRDefault="007220CF" w:rsidP="007220CF">
      <w:pPr>
        <w:rPr>
          <w:rFonts w:ascii="Arial" w:hAnsi="Arial" w:cs="Arial"/>
          <w:sz w:val="22"/>
          <w:szCs w:val="22"/>
        </w:rPr>
      </w:pPr>
      <w:r w:rsidRPr="007220CF">
        <w:rPr>
          <w:rFonts w:ascii="Arial" w:hAnsi="Arial" w:cs="Arial"/>
          <w:sz w:val="22"/>
          <w:szCs w:val="22"/>
        </w:rPr>
        <w:t>This could also mean conversely that the rule may apply to cases in which evidence is excluded because better evidence was available</w:t>
      </w:r>
    </w:p>
    <w:p w14:paraId="128FAA8E" w14:textId="69B10274" w:rsidR="00266E96" w:rsidRPr="007220CF" w:rsidRDefault="007220CF" w:rsidP="007220CF">
      <w:pPr>
        <w:rPr>
          <w:rFonts w:ascii="Arial" w:hAnsi="Arial" w:cs="Arial"/>
          <w:sz w:val="22"/>
          <w:szCs w:val="22"/>
        </w:rPr>
      </w:pPr>
      <w:r w:rsidRPr="007220CF">
        <w:rPr>
          <w:rFonts w:ascii="Arial" w:hAnsi="Arial" w:cs="Arial"/>
          <w:sz w:val="22"/>
          <w:szCs w:val="22"/>
        </w:rPr>
        <w:tab/>
      </w:r>
    </w:p>
    <w:p w14:paraId="2C8EB545" w14:textId="77777777" w:rsidR="00FD68B2" w:rsidRDefault="00FD68B2" w:rsidP="00657F06">
      <w:pPr>
        <w:tabs>
          <w:tab w:val="left" w:pos="540"/>
        </w:tabs>
        <w:ind w:left="540" w:hanging="540"/>
        <w:rPr>
          <w:sz w:val="24"/>
          <w:szCs w:val="24"/>
        </w:rPr>
      </w:pPr>
    </w:p>
    <w:p w14:paraId="79CCEDEE" w14:textId="77777777" w:rsidR="00FD68B2" w:rsidRPr="00657F06" w:rsidRDefault="00FD68B2" w:rsidP="00657F06">
      <w:pPr>
        <w:tabs>
          <w:tab w:val="left" w:pos="540"/>
        </w:tabs>
        <w:ind w:left="540" w:hanging="540"/>
        <w:rPr>
          <w:sz w:val="24"/>
          <w:szCs w:val="24"/>
        </w:rPr>
      </w:pPr>
    </w:p>
    <w:p w14:paraId="45D0C9CF" w14:textId="77777777" w:rsidR="000B20CE" w:rsidRDefault="000B20CE" w:rsidP="00657F06">
      <w:pPr>
        <w:ind w:left="540" w:hanging="540"/>
        <w:rPr>
          <w:sz w:val="24"/>
        </w:rPr>
      </w:pPr>
    </w:p>
    <w:sectPr w:rsidR="000B20CE" w:rsidSect="00B47202">
      <w:headerReference w:type="default" r:id="rId8"/>
      <w:footerReference w:type="default" r:id="rId9"/>
      <w:pgSz w:w="12240" w:h="15840"/>
      <w:pgMar w:top="1440" w:right="172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021C" w14:textId="77777777" w:rsidR="00493F22" w:rsidRDefault="00493F22">
      <w:r>
        <w:separator/>
      </w:r>
    </w:p>
  </w:endnote>
  <w:endnote w:type="continuationSeparator" w:id="0">
    <w:p w14:paraId="1D34BC89" w14:textId="77777777" w:rsidR="00493F22" w:rsidRDefault="0049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B18D" w14:textId="77777777" w:rsidR="00993C50" w:rsidRDefault="008E0743">
    <w:pPr>
      <w:pStyle w:val="Footer"/>
    </w:pPr>
    <w:r>
      <w:t>CLI</w:t>
    </w:r>
    <w:r w:rsidR="00796774">
      <w:t xml:space="preserve"> ST</w:t>
    </w:r>
    <w:r>
      <w:t>2502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AB37" w14:textId="77777777" w:rsidR="00493F22" w:rsidRDefault="00493F22">
      <w:r>
        <w:separator/>
      </w:r>
    </w:p>
  </w:footnote>
  <w:footnote w:type="continuationSeparator" w:id="0">
    <w:p w14:paraId="3543E3C4" w14:textId="77777777" w:rsidR="00493F22" w:rsidRDefault="0049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83AB" w14:textId="7CA92DBE" w:rsidR="00993C50" w:rsidRPr="00405A09" w:rsidRDefault="00A457C2" w:rsidP="00A457C2">
    <w:pPr>
      <w:pStyle w:val="Header"/>
      <w:pBdr>
        <w:bottom w:val="single" w:sz="6" w:space="1" w:color="auto"/>
      </w:pBdr>
      <w:rPr>
        <w:rFonts w:ascii="Arial" w:hAnsi="Arial" w:cs="Arial"/>
        <w:sz w:val="24"/>
        <w:szCs w:val="24"/>
      </w:rPr>
    </w:pPr>
    <w:r w:rsidRPr="00405A09">
      <w:rPr>
        <w:rFonts w:ascii="Arial" w:hAnsi="Arial" w:cs="Arial"/>
        <w:sz w:val="24"/>
        <w:szCs w:val="24"/>
      </w:rPr>
      <w:t xml:space="preserve">School of </w:t>
    </w:r>
    <w:r w:rsidR="00985DB7" w:rsidRPr="00405A09">
      <w:rPr>
        <w:rFonts w:ascii="Arial" w:hAnsi="Arial" w:cs="Arial"/>
        <w:sz w:val="24"/>
        <w:szCs w:val="24"/>
      </w:rPr>
      <w:t>Computing</w:t>
    </w:r>
    <w:r w:rsidRPr="00405A09">
      <w:rPr>
        <w:rFonts w:ascii="Arial" w:hAnsi="Arial" w:cs="Arial"/>
        <w:sz w:val="24"/>
        <w:szCs w:val="24"/>
      </w:rPr>
      <w:tab/>
    </w:r>
    <w:r w:rsidR="00405A09" w:rsidRPr="00405A09">
      <w:rPr>
        <w:rFonts w:ascii="Arial" w:hAnsi="Arial" w:cs="Arial"/>
        <w:sz w:val="24"/>
        <w:szCs w:val="24"/>
      </w:rPr>
      <w:tab/>
    </w:r>
    <w:r w:rsidR="00D36C3F" w:rsidRPr="00405A09">
      <w:rPr>
        <w:rFonts w:ascii="Arial" w:hAnsi="Arial" w:cs="Arial"/>
        <w:sz w:val="24"/>
        <w:szCs w:val="24"/>
      </w:rPr>
      <w:t xml:space="preserve">Tutorial </w:t>
    </w:r>
    <w:r w:rsidR="00F86A37">
      <w:rPr>
        <w:rFonts w:ascii="Arial" w:hAnsi="Arial" w:cs="Arial"/>
        <w:sz w:val="24"/>
        <w:szCs w:val="24"/>
      </w:rPr>
      <w:t>9</w:t>
    </w:r>
  </w:p>
  <w:p w14:paraId="14DD0FEA" w14:textId="77777777" w:rsidR="00993C50" w:rsidRDefault="00993C50" w:rsidP="00993C5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8A4"/>
    <w:multiLevelType w:val="hybridMultilevel"/>
    <w:tmpl w:val="CF163578"/>
    <w:lvl w:ilvl="0" w:tplc="F3B02F0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2D54287"/>
    <w:multiLevelType w:val="hybridMultilevel"/>
    <w:tmpl w:val="4A10CC82"/>
    <w:lvl w:ilvl="0" w:tplc="E47878EE">
      <w:start w:val="1"/>
      <w:numFmt w:val="decimal"/>
      <w:lvlText w:val="%1."/>
      <w:lvlJc w:val="left"/>
      <w:pPr>
        <w:tabs>
          <w:tab w:val="num" w:pos="1080"/>
        </w:tabs>
        <w:ind w:left="1080" w:hanging="720"/>
      </w:pPr>
      <w:rPr>
        <w:rFonts w:hint="default"/>
      </w:rPr>
    </w:lvl>
    <w:lvl w:ilvl="1" w:tplc="1DBE87F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D07949"/>
    <w:multiLevelType w:val="singleLevel"/>
    <w:tmpl w:val="734A7F2A"/>
    <w:lvl w:ilvl="0">
      <w:start w:val="1"/>
      <w:numFmt w:val="decimal"/>
      <w:lvlText w:val="%1."/>
      <w:lvlJc w:val="left"/>
      <w:pPr>
        <w:tabs>
          <w:tab w:val="num" w:pos="1050"/>
        </w:tabs>
        <w:ind w:left="1050" w:hanging="360"/>
      </w:pPr>
      <w:rPr>
        <w:rFonts w:hint="default"/>
      </w:rPr>
    </w:lvl>
  </w:abstractNum>
  <w:abstractNum w:abstractNumId="3" w15:restartNumberingAfterBreak="0">
    <w:nsid w:val="487B6279"/>
    <w:multiLevelType w:val="multilevel"/>
    <w:tmpl w:val="FCE0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E1456"/>
    <w:multiLevelType w:val="hybridMultilevel"/>
    <w:tmpl w:val="894254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5124B"/>
    <w:multiLevelType w:val="hybridMultilevel"/>
    <w:tmpl w:val="D936A954"/>
    <w:lvl w:ilvl="0" w:tplc="52109D3A">
      <w:start w:val="1"/>
      <w:numFmt w:val="lowerLetter"/>
      <w:lvlText w:val="(%1)"/>
      <w:lvlJc w:val="left"/>
      <w:pPr>
        <w:tabs>
          <w:tab w:val="num" w:pos="864"/>
        </w:tabs>
        <w:ind w:left="864" w:hanging="432"/>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79F9259A"/>
    <w:multiLevelType w:val="hybridMultilevel"/>
    <w:tmpl w:val="BD423FE4"/>
    <w:lvl w:ilvl="0" w:tplc="52109D3A">
      <w:start w:val="1"/>
      <w:numFmt w:val="lowerLetter"/>
      <w:lvlText w:val="(%1)"/>
      <w:lvlJc w:val="left"/>
      <w:pPr>
        <w:tabs>
          <w:tab w:val="num" w:pos="864"/>
        </w:tabs>
        <w:ind w:left="864" w:hanging="432"/>
      </w:pPr>
      <w:rPr>
        <w:rFonts w:hint="default"/>
      </w:rPr>
    </w:lvl>
    <w:lvl w:ilvl="1" w:tplc="9C5E57EE">
      <w:start w:val="5"/>
      <w:numFmt w:val="decimal"/>
      <w:lvlText w:val="%2."/>
      <w:lvlJc w:val="left"/>
      <w:pPr>
        <w:tabs>
          <w:tab w:val="num" w:pos="1872"/>
        </w:tabs>
        <w:ind w:left="1872" w:hanging="360"/>
      </w:pPr>
      <w:rPr>
        <w:rFonts w:hint="default"/>
      </w:r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num w:numId="1">
    <w:abstractNumId w:val="2"/>
  </w:num>
  <w:num w:numId="2">
    <w:abstractNumId w:val="4"/>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3C50"/>
    <w:rsid w:val="000B20CE"/>
    <w:rsid w:val="000C497F"/>
    <w:rsid w:val="00140216"/>
    <w:rsid w:val="00160CAF"/>
    <w:rsid w:val="00194C37"/>
    <w:rsid w:val="00266E96"/>
    <w:rsid w:val="002A57E7"/>
    <w:rsid w:val="003E5A58"/>
    <w:rsid w:val="00405A09"/>
    <w:rsid w:val="00442933"/>
    <w:rsid w:val="00492F2C"/>
    <w:rsid w:val="00493F22"/>
    <w:rsid w:val="00534E7A"/>
    <w:rsid w:val="005428AD"/>
    <w:rsid w:val="005543DC"/>
    <w:rsid w:val="005775A6"/>
    <w:rsid w:val="006206BD"/>
    <w:rsid w:val="00657F06"/>
    <w:rsid w:val="0067114E"/>
    <w:rsid w:val="006E3156"/>
    <w:rsid w:val="00710719"/>
    <w:rsid w:val="007220CF"/>
    <w:rsid w:val="00796774"/>
    <w:rsid w:val="007C083A"/>
    <w:rsid w:val="00807C3D"/>
    <w:rsid w:val="00871041"/>
    <w:rsid w:val="008E0743"/>
    <w:rsid w:val="008E1301"/>
    <w:rsid w:val="009024A0"/>
    <w:rsid w:val="00940258"/>
    <w:rsid w:val="00951D78"/>
    <w:rsid w:val="00985DB7"/>
    <w:rsid w:val="00993C50"/>
    <w:rsid w:val="009C0D9A"/>
    <w:rsid w:val="00A457C2"/>
    <w:rsid w:val="00A85F30"/>
    <w:rsid w:val="00B47202"/>
    <w:rsid w:val="00B61CC3"/>
    <w:rsid w:val="00C37147"/>
    <w:rsid w:val="00C66CBA"/>
    <w:rsid w:val="00C84BE8"/>
    <w:rsid w:val="00CA1FDD"/>
    <w:rsid w:val="00D36C3F"/>
    <w:rsid w:val="00DD31E5"/>
    <w:rsid w:val="00DE3C1B"/>
    <w:rsid w:val="00E03720"/>
    <w:rsid w:val="00EE3933"/>
    <w:rsid w:val="00F33FC2"/>
    <w:rsid w:val="00F86A37"/>
    <w:rsid w:val="00FD68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295E4E"/>
  <w15:docId w15:val="{E1402AAC-32D1-483A-87CB-21466FDE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7C3D"/>
    <w:rPr>
      <w:lang w:val="en-US" w:eastAsia="en-US"/>
    </w:rPr>
  </w:style>
  <w:style w:type="paragraph" w:styleId="Heading1">
    <w:name w:val="heading 1"/>
    <w:basedOn w:val="Normal"/>
    <w:next w:val="Normal"/>
    <w:qFormat/>
    <w:rsid w:val="00807C3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3C50"/>
    <w:pPr>
      <w:tabs>
        <w:tab w:val="center" w:pos="4320"/>
        <w:tab w:val="right" w:pos="8640"/>
      </w:tabs>
    </w:pPr>
  </w:style>
  <w:style w:type="paragraph" w:styleId="Footer">
    <w:name w:val="footer"/>
    <w:basedOn w:val="Normal"/>
    <w:rsid w:val="00993C50"/>
    <w:pPr>
      <w:tabs>
        <w:tab w:val="center" w:pos="4320"/>
        <w:tab w:val="right" w:pos="8640"/>
      </w:tabs>
    </w:pPr>
  </w:style>
  <w:style w:type="paragraph" w:styleId="BodyTextIndent">
    <w:name w:val="Body Text Indent"/>
    <w:basedOn w:val="Normal"/>
    <w:rsid w:val="00951D78"/>
    <w:pPr>
      <w:ind w:left="1440" w:hanging="1440"/>
    </w:pPr>
    <w:rPr>
      <w:sz w:val="24"/>
      <w:szCs w:val="24"/>
      <w:lang w:val="en-GB"/>
    </w:rPr>
  </w:style>
  <w:style w:type="character" w:styleId="Hyperlink">
    <w:name w:val="Hyperlink"/>
    <w:rsid w:val="00951D78"/>
    <w:rPr>
      <w:color w:val="0000FF"/>
      <w:u w:val="single"/>
    </w:rPr>
  </w:style>
  <w:style w:type="paragraph" w:styleId="ListParagraph">
    <w:name w:val="List Paragraph"/>
    <w:basedOn w:val="Normal"/>
    <w:uiPriority w:val="34"/>
    <w:qFormat/>
    <w:rsid w:val="00140216"/>
    <w:pPr>
      <w:ind w:left="720"/>
    </w:pPr>
  </w:style>
  <w:style w:type="paragraph" w:customStyle="1" w:styleId="messagelistitem-zz7v6g">
    <w:name w:val="messagelistitem-zz7v6g"/>
    <w:basedOn w:val="Normal"/>
    <w:rsid w:val="007220CF"/>
    <w:pPr>
      <w:spacing w:before="100" w:beforeAutospacing="1" w:after="100" w:afterAutospacing="1"/>
    </w:pPr>
    <w:rPr>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624615">
      <w:bodyDiv w:val="1"/>
      <w:marLeft w:val="0"/>
      <w:marRight w:val="0"/>
      <w:marTop w:val="0"/>
      <w:marBottom w:val="0"/>
      <w:divBdr>
        <w:top w:val="none" w:sz="0" w:space="0" w:color="auto"/>
        <w:left w:val="none" w:sz="0" w:space="0" w:color="auto"/>
        <w:bottom w:val="none" w:sz="0" w:space="0" w:color="auto"/>
        <w:right w:val="none" w:sz="0" w:space="0" w:color="auto"/>
      </w:divBdr>
      <w:divsChild>
        <w:div w:id="1793864217">
          <w:marLeft w:val="0"/>
          <w:marRight w:val="0"/>
          <w:marTop w:val="0"/>
          <w:marBottom w:val="0"/>
          <w:divBdr>
            <w:top w:val="none" w:sz="0" w:space="0" w:color="auto"/>
            <w:left w:val="none" w:sz="0" w:space="0" w:color="auto"/>
            <w:bottom w:val="none" w:sz="0" w:space="0" w:color="auto"/>
            <w:right w:val="none" w:sz="0" w:space="0" w:color="auto"/>
          </w:divBdr>
          <w:divsChild>
            <w:div w:id="968511640">
              <w:marLeft w:val="0"/>
              <w:marRight w:val="0"/>
              <w:marTop w:val="0"/>
              <w:marBottom w:val="0"/>
              <w:divBdr>
                <w:top w:val="none" w:sz="0" w:space="0" w:color="auto"/>
                <w:left w:val="none" w:sz="0" w:space="0" w:color="auto"/>
                <w:bottom w:val="none" w:sz="0" w:space="0" w:color="auto"/>
                <w:right w:val="none" w:sz="0" w:space="0" w:color="auto"/>
              </w:divBdr>
              <w:divsChild>
                <w:div w:id="1586453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20FA-C968-41CB-80F6-4958637F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CLI</vt:lpstr>
    </vt:vector>
  </TitlesOfParts>
  <Company>SCP</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dc:title>
  <dc:creator>Clarence Ng</dc:creator>
  <cp:lastModifiedBy>Leonard _Bored</cp:lastModifiedBy>
  <cp:revision>11</cp:revision>
  <cp:lastPrinted>2003-06-11T10:32:00Z</cp:lastPrinted>
  <dcterms:created xsi:type="dcterms:W3CDTF">2020-01-11T02:11:00Z</dcterms:created>
  <dcterms:modified xsi:type="dcterms:W3CDTF">2022-01-19T05:01:00Z</dcterms:modified>
</cp:coreProperties>
</file>