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Four New Datasets: Consolidated Experimental Report</w:t>
      </w:r>
    </w:p>
    <w:p>
      <w:r>
        <w:t># Four New Datasets: Consolidated Experimental Report</w:t>
      </w:r>
    </w:p>
    <w:p>
      <w:r>
        <w:t>Generated: 2026-07-30T12:08:44.892731+00:00</w:t>
      </w:r>
    </w:p>
    <w:p>
      <w:pPr>
        <w:pStyle w:val="Heading1"/>
      </w:pPr>
      <w:r>
        <w:t>Provenance</w:t>
      </w:r>
    </w:p>
    <w:p>
      <w:pPr>
        <w:pStyle w:val="ListBullet"/>
      </w:pPr>
      <w:r>
        <w:t>Recorded mirror checksums: 17/17 matched.</w:t>
      </w:r>
    </w:p>
    <w:p>
      <w:pPr>
        <w:pStyle w:val="ListBullet"/>
      </w:pPr>
      <w:r>
        <w:t>Primary-source verification: **not completed**. working copies are third-party mirrors; primary hosts were unavailable.</w:t>
      </w:r>
    </w:p>
    <w:p>
      <w:pPr>
        <w:pStyle w:val="ListBullet"/>
      </w:pPr>
      <w:r>
        <w:t>Licence strings are inherited from the acquisition manifest and require primary-record confirmation.</w:t>
      </w:r>
    </w:p>
    <w:p>
      <w:pPr>
        <w:pStyle w:val="Heading1"/>
      </w:pPr>
      <w:r>
        <w:t>Protocols</w:t>
      </w:r>
    </w:p>
    <w:p>
      <w:pPr>
        <w:pStyle w:val="ListBullet"/>
      </w:pPr>
      <w:r>
        <w:t>**Historical / Protocol A:** preprocessing and PCA may see full data; retained only for comparability and explicitly leaky.</w:t>
      </w:r>
    </w:p>
    <w:p>
      <w:pPr>
        <w:pStyle w:val="ListBullet"/>
      </w:pPr>
      <w:r>
        <w:t>**Clean / Protocol B:** 80/20 stratified split first; imputation, missing indicators, winsorization, encoding, constant removal, scaling, PCA and ADASYN fit on training only.</w:t>
      </w:r>
    </w:p>
    <w:p>
      <w:pPr>
        <w:pStyle w:val="ListBullet"/>
      </w:pPr>
      <w:r>
        <w:t>PKDD transaction aggregates use the strict rule `transaction_date &lt; loan_date`; undated standing orders are excluded.</w:t>
      </w:r>
    </w:p>
    <w:p>
      <w:pPr>
        <w:pStyle w:val="ListBullet"/>
      </w:pPr>
      <w:r>
        <w:t>Experiment 27 uses the barcode-vector F_pq proxy, not true persistence-diagram distances.</w:t>
      </w:r>
    </w:p>
    <w:p>
      <w:pPr>
        <w:pStyle w:val="Heading1"/>
      </w:pPr>
      <w:r>
        <w:t>Dataset audits</w:t>
      </w:r>
    </w:p>
    <w:p>
      <w:pPr>
        <w:pStyle w:val="Heading2"/>
      </w:pPr>
      <w:r>
        <w:t>pkdd_czech</w:t>
      </w:r>
    </w:p>
    <w:p>
      <w:pPr>
        <w:pStyle w:val="ListBullet"/>
      </w:pPr>
      <w:r>
        <w:t>Shape: 682 rows × 39 columns; default rate 11.144%.</w:t>
      </w:r>
    </w:p>
    <w:p>
      <w:pPr>
        <w:pStyle w:val="ListBullet"/>
      </w:pPr>
      <w:r>
        <w:t>Missing cells: 1938; duplicates: 0; constants: 1.</w:t>
      </w:r>
    </w:p>
    <w:p>
      <w:pPr>
        <w:pStyle w:val="ListBullet"/>
      </w:pPr>
      <w:r>
        <w:t>Near-constant features (≥99.5% one value): 1; 1e9-scale features: 0.</w:t>
      </w:r>
    </w:p>
    <w:p>
      <w:pPr>
        <w:pStyle w:val="Heading2"/>
      </w:pPr>
      <w:r>
        <w:t>polish_bankruptcy</w:t>
      </w:r>
    </w:p>
    <w:p>
      <w:pPr>
        <w:pStyle w:val="ListBullet"/>
      </w:pPr>
      <w:r>
        <w:t>Shape: 10503 rows × 65 columns; default rate 4.713%.</w:t>
      </w:r>
    </w:p>
    <w:p>
      <w:pPr>
        <w:pStyle w:val="ListBullet"/>
      </w:pPr>
      <w:r>
        <w:t>Missing cells: 9888; duplicates: 87; constants: 0.</w:t>
      </w:r>
    </w:p>
    <w:p>
      <w:pPr>
        <w:pStyle w:val="ListBullet"/>
      </w:pPr>
      <w:r>
        <w:t>Near-constant features (≥99.5% one value): 0; 1e9-scale features: 0.</w:t>
      </w:r>
    </w:p>
    <w:p>
      <w:pPr>
        <w:pStyle w:val="Heading2"/>
      </w:pPr>
      <w:r>
        <w:t>south_german_credit</w:t>
      </w:r>
    </w:p>
    <w:p>
      <w:pPr>
        <w:pStyle w:val="ListBullet"/>
      </w:pPr>
      <w:r>
        <w:t>Shape: 1000 rows × 21 columns; default rate 30.000%.</w:t>
      </w:r>
    </w:p>
    <w:p>
      <w:pPr>
        <w:pStyle w:val="ListBullet"/>
      </w:pPr>
      <w:r>
        <w:t>Missing cells: 0; duplicates: 0; constants: 0.</w:t>
      </w:r>
    </w:p>
    <w:p>
      <w:pPr>
        <w:pStyle w:val="ListBullet"/>
      </w:pPr>
      <w:r>
        <w:t>Near-constant features (≥99.5% one value): 0; 1e9-scale features: 0.</w:t>
      </w:r>
    </w:p>
    <w:p>
      <w:pPr>
        <w:pStyle w:val="Heading2"/>
      </w:pPr>
      <w:r>
        <w:t>taiwan_bankruptcy</w:t>
      </w:r>
    </w:p>
    <w:p>
      <w:pPr>
        <w:pStyle w:val="ListBullet"/>
      </w:pPr>
      <w:r>
        <w:t>Shape: 6819 rows × 96 columns; default rate 3.226%.</w:t>
      </w:r>
    </w:p>
    <w:p>
      <w:pPr>
        <w:pStyle w:val="ListBullet"/>
      </w:pPr>
      <w:r>
        <w:t>Missing cells: 0; duplicates: 0; constants: 1.</w:t>
      </w:r>
    </w:p>
    <w:p>
      <w:pPr>
        <w:pStyle w:val="ListBullet"/>
      </w:pPr>
      <w:r>
        <w:t>Near-constant features (≥99.5% one value): 2; 1e9-scale features: 23.</w:t>
      </w:r>
    </w:p>
    <w:p>
      <w:pPr>
        <w:pStyle w:val="Heading1"/>
      </w:pPr>
      <w:r>
        <w:t>Best completed baseline results</w:t>
      </w:r>
    </w:p>
    <w:p>
      <w:pPr>
        <w:pStyle w:val="Heading1"/>
      </w:pPr>
      <w:r>
        <w:t>Best completed TDA results</w:t>
      </w:r>
    </w:p>
    <w:p>
      <w:pPr>
        <w:pStyle w:val="Heading1"/>
      </w:pPr>
      <w:r>
        <w:t>Best completed extended-experiment results</w:t>
      </w:r>
    </w:p>
    <w:p>
      <w:pPr>
        <w:pStyle w:val="Heading1"/>
      </w:pPr>
      <w:r>
        <w:t>Limitations</w:t>
      </w:r>
    </w:p>
    <w:p>
      <w:pPr>
        <w:pStyle w:val="ListBullet"/>
      </w:pPr>
      <w:r>
        <w:t>Mirror provenance and licence text remain unresolved against primary records.</w:t>
      </w:r>
    </w:p>
    <w:p>
      <w:pPr>
        <w:pStyle w:val="ListBullet"/>
      </w:pPr>
      <w:r>
        <w:t>Independent snapshot classification can be degenerate when train/test snapshot distributions are nearly indistinguishable.</w:t>
      </w:r>
    </w:p>
    <w:p>
      <w:pPr>
        <w:pStyle w:val="ListBullet"/>
      </w:pPr>
      <w:r>
        <w:t>Revised snapshot counts implement the Experiment 24 calibration `l = ceil(n_class / t)` separately by split and landmark size.</w:t>
      </w:r>
    </w:p>
    <w:p>
      <w:pPr>
        <w:pStyle w:val="ListBullet"/>
      </w:pPr>
      <w:r>
        <w:t>Historical500 status at report generation: 16/16 configurations complete; see `6_Results/New_Datasets/active_jobs.json`.</w:t>
      </w:r>
    </w:p>
    <w:p>
      <w:pPr>
        <w:pStyle w:val="Heading1"/>
      </w:pPr>
      <w:r>
        <w:t>Reproduction</w:t>
      </w:r>
    </w:p>
    <w:p>
      <w:r>
        <w:t>.\tda_env\Scripts\python.exe run_new_datasets.py --stages ingest baseline tda report</w:t>
      </w:r>
    </w:p>
    <w:p>
      <w:r>
        <w:t>.\tda_env\Scripts\python.exe run_remaining_experiments.py</w:t>
      </w:r>
    </w:p>
    <w:p>
      <w:r>
        <w:t>.\tda_env\Scripts\python.exe run_remaining_experiments.py --experiments 4 6 7 8 10 11 15 19 25 27</w:t>
      </w:r>
    </w:p>
    <w:p>
      <w:r>
        <w:t>.\tda_env\Scripts\python.exe run_new_datasets.py --stages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