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rPr>
          <w:rFonts w:ascii="Arial" w:hAnsi="Arial"/>
          <w:b/>
          <w:color w:val="0F3460"/>
          <w:sz w:val="17"/>
        </w:rPr>
        <w:t>SERVIÇO PÚBLICO FEDERAL</w:t>
        <w:br/>
        <w:t>MINISTÉRIO DA EDUCAÇÃO</w:t>
        <w:br/>
      </w:r>
      <w:r>
        <w:rPr>
          <w:rFonts w:ascii="Arial" w:hAnsi="Arial"/>
          <w:b/>
          <w:color w:val="0F3460"/>
          <w:sz w:val="20"/>
        </w:rPr>
        <w:t>UNIVERSIDADE FEDERAL DE UBERLÂNDIA</w:t>
        <w:br/>
      </w:r>
      <w:r>
        <w:rPr>
          <w:rFonts w:ascii="Arial" w:hAnsi="Arial"/>
          <w:color w:val="646464"/>
          <w:sz w:val="16"/>
        </w:rPr>
        <w:t>PRÓ-REITORIA DE PESQUISA E PÓS-GRADUAÇÃO</w:t>
        <w:br/>
        <w:t>DIRETORIA DE PESQUISA / DIVISÃO DE FOMENTO A PROGRAMAS E PROJETOS</w:t>
      </w:r>
    </w:p>
    <w:p>
      <w:pPr>
        <w:spacing w:before="0" w:after="200" w:line="240" w:lineRule="auto"/>
        <w:pBdr>
          <w:bottom w:val="single" w:sz="12" w:space="1" w:color="0F3460"/>
        </w:pBdr>
      </w:pPr>
    </w:p>
    <w:p>
      <w:pPr>
        <w:spacing w:before="80" w:after="240" w:line="264" w:lineRule="auto"/>
        <w:jc w:val="center"/>
      </w:pPr>
      <w:r>
        <w:rPr>
          <w:rFonts w:ascii="Arial" w:hAnsi="Arial"/>
          <w:b/>
          <w:color w:val="000000"/>
          <w:sz w:val="26"/>
        </w:rPr>
        <w:t>ANEXO I – PROPOSTA DE ATIVIDADE DE PESQUISA</w:t>
      </w: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1. INFORMAÇÕES INSTITUCIONAIS DO(A) COORDENADOR(A)</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5040"/>
            <w:tcMar>
              <w:top w:w="60" w:type="dxa"/>
              <w:bottom w:w="60" w:type="dxa"/>
              <w:left w:w="80" w:type="dxa"/>
              <w:right w:w="80" w:type="dxa"/>
            </w:tcMar>
            <w:shd w:fill="FAFAFA"/>
          </w:tcPr>
          <w:p>
            <w:pPr>
              <w:spacing w:before="0" w:after="0" w:line="264" w:lineRule="auto"/>
            </w:pPr>
            <w:r>
              <w:rPr>
                <w:rFonts w:ascii="Arial" w:hAnsi="Arial"/>
                <w:b/>
                <w:color w:val="0F3460"/>
                <w:sz w:val="17"/>
              </w:rPr>
              <w:t xml:space="preserve">1.1. Nome: </w:t>
            </w:r>
            <w:r>
              <w:rPr>
                <w:rFonts w:ascii="Arial" w:hAnsi="Arial"/>
                <w:color w:val="222222"/>
                <w:sz w:val="17"/>
              </w:rPr>
              <w:t>[Preencher Nome do(a) Orientador(a)]</w:t>
            </w:r>
          </w:p>
        </w:tc>
        <w:tc>
          <w:tcPr>
            <w:tcW w:type="dxa" w:w="5040"/>
            <w:tcMar>
              <w:top w:w="60" w:type="dxa"/>
              <w:bottom w:w="60" w:type="dxa"/>
              <w:left w:w="80" w:type="dxa"/>
              <w:right w:w="80" w:type="dxa"/>
            </w:tcMar>
            <w:shd w:fill="FAFAFA"/>
          </w:tcPr>
          <w:p>
            <w:pPr>
              <w:spacing w:before="0" w:after="0" w:line="264" w:lineRule="auto"/>
            </w:pPr>
            <w:r>
              <w:rPr>
                <w:rFonts w:ascii="Arial" w:hAnsi="Arial"/>
                <w:b/>
                <w:color w:val="0F3460"/>
                <w:sz w:val="17"/>
              </w:rPr>
              <w:t xml:space="preserve">1.2. E-mail: </w:t>
            </w:r>
            <w:r>
              <w:rPr>
                <w:rFonts w:ascii="Arial" w:hAnsi="Arial"/>
                <w:color w:val="222222"/>
                <w:sz w:val="17"/>
              </w:rPr>
              <w:t>[Preencher E-mail]</w:t>
            </w:r>
          </w:p>
        </w:tc>
      </w:tr>
      <w:tr>
        <w:tc>
          <w:tcPr>
            <w:tcW w:type="dxa" w:w="5040"/>
            <w:tcMar>
              <w:top w:w="60" w:type="dxa"/>
              <w:bottom w:w="60" w:type="dxa"/>
              <w:left w:w="80" w:type="dxa"/>
              <w:right w:w="80" w:type="dxa"/>
            </w:tcMar>
            <w:shd w:fill="FAFAFA"/>
          </w:tcPr>
          <w:p>
            <w:pPr>
              <w:spacing w:before="0" w:after="0" w:line="264" w:lineRule="auto"/>
            </w:pPr>
            <w:r>
              <w:rPr>
                <w:rFonts w:ascii="Arial" w:hAnsi="Arial"/>
                <w:b/>
                <w:color w:val="0F3460"/>
                <w:sz w:val="17"/>
              </w:rPr>
              <w:t xml:space="preserve">1.3. Unidade Acadêmica: </w:t>
            </w:r>
            <w:r>
              <w:rPr>
                <w:rFonts w:ascii="Arial" w:hAnsi="Arial"/>
                <w:color w:val="222222"/>
                <w:sz w:val="17"/>
              </w:rPr>
              <w:t>Faculdade de Engenharia Elétrica / Computação / Agronomia (UFU)</w:t>
            </w:r>
          </w:p>
        </w:tc>
        <w:tc>
          <w:tcPr>
            <w:tcW w:type="dxa" w:w="5040"/>
            <w:tcMar>
              <w:top w:w="60" w:type="dxa"/>
              <w:bottom w:w="60" w:type="dxa"/>
              <w:left w:w="80" w:type="dxa"/>
              <w:right w:w="80" w:type="dxa"/>
            </w:tcMar>
            <w:shd w:fill="FAFAFA"/>
          </w:tcPr>
          <w:p>
            <w:pPr>
              <w:spacing w:before="0" w:after="0" w:line="264" w:lineRule="auto"/>
            </w:pPr>
            <w:r>
              <w:rPr>
                <w:rFonts w:ascii="Arial" w:hAnsi="Arial"/>
                <w:b/>
                <w:color w:val="0F3460"/>
                <w:sz w:val="17"/>
              </w:rPr>
              <w:t xml:space="preserve">1.4. Campus: </w:t>
            </w:r>
            <w:r>
              <w:rPr>
                <w:rFonts w:ascii="Arial" w:hAnsi="Arial"/>
                <w:color w:val="222222"/>
                <w:sz w:val="17"/>
              </w:rPr>
              <w:t>Santa Mônica / Umuarama / Glória</w:t>
            </w:r>
          </w:p>
        </w:tc>
      </w:tr>
    </w:tbl>
    <w:p>
      <w:pPr>
        <w:spacing w:before="0" w:after="12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2. DESCRIÇÃO DO PROJETO DE PESQUISA</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tcMar>
              <w:top w:w="50" w:type="dxa"/>
              <w:bottom w:w="50" w:type="dxa"/>
              <w:left w:w="80" w:type="dxa"/>
              <w:right w:w="80" w:type="dxa"/>
            </w:tcMar>
            <w:shd w:fill="FAFAFA"/>
          </w:tcPr>
          <w:p>
            <w:pPr>
              <w:spacing w:before="0" w:after="0" w:line="264" w:lineRule="auto"/>
            </w:pPr>
            <w:r>
              <w:rPr>
                <w:rFonts w:ascii="Arial" w:hAnsi="Arial"/>
                <w:b/>
                <w:color w:val="0F3460"/>
                <w:sz w:val="17"/>
              </w:rPr>
              <w:t xml:space="preserve">2.1. Código do Edital: </w:t>
            </w:r>
            <w:r>
              <w:rPr>
                <w:rFonts w:ascii="Arial" w:hAnsi="Arial"/>
                <w:color w:val="222222"/>
                <w:sz w:val="17"/>
              </w:rPr>
              <w:t>DIRPE XX/20XX   ( X ) PIBITI-CNPq   ( X ) PIBIC-CNPq   ( ) PIVIC</w:t>
            </w:r>
          </w:p>
        </w:tc>
      </w:tr>
      <w:tr>
        <w:tc>
          <w:tcPr>
            <w:tcW w:type="dxa" w:w="10080"/>
            <w:tcMar>
              <w:top w:w="50" w:type="dxa"/>
              <w:bottom w:w="50" w:type="dxa"/>
              <w:left w:w="80" w:type="dxa"/>
              <w:right w:w="80" w:type="dxa"/>
            </w:tcMar>
            <w:shd w:fill="FFFFFF"/>
          </w:tcPr>
          <w:p>
            <w:pPr>
              <w:spacing w:before="0" w:after="0" w:line="264" w:lineRule="auto"/>
            </w:pPr>
            <w:r>
              <w:rPr>
                <w:rFonts w:ascii="Arial" w:hAnsi="Arial"/>
                <w:b/>
                <w:color w:val="0F3460"/>
                <w:sz w:val="17"/>
              </w:rPr>
              <w:t xml:space="preserve">2.2. Título do Projeto: </w:t>
            </w:r>
            <w:r>
              <w:rPr>
                <w:rFonts w:ascii="Arial" w:hAnsi="Arial"/>
                <w:color w:val="222222"/>
                <w:sz w:val="17"/>
              </w:rPr>
              <w:t>Desenvolvimento de Estação Agrometeorológica de Borda de Baixo Custo com Telemetria Conectada e Diagnóstico Fitossanitário em Tempo Real (Projeto GAIA)</w:t>
            </w:r>
          </w:p>
        </w:tc>
      </w:tr>
      <w:tr>
        <w:tc>
          <w:tcPr>
            <w:tcW w:type="dxa" w:w="10080"/>
            <w:tcMar>
              <w:top w:w="50" w:type="dxa"/>
              <w:bottom w:w="50" w:type="dxa"/>
              <w:left w:w="80" w:type="dxa"/>
              <w:right w:w="80" w:type="dxa"/>
            </w:tcMar>
            <w:shd w:fill="FAFAFA"/>
          </w:tcPr>
          <w:p>
            <w:pPr>
              <w:spacing w:before="0" w:after="0" w:line="264" w:lineRule="auto"/>
            </w:pPr>
            <w:r>
              <w:rPr>
                <w:rFonts w:ascii="Arial" w:hAnsi="Arial"/>
                <w:b/>
                <w:color w:val="0F3460"/>
                <w:sz w:val="17"/>
              </w:rPr>
              <w:t xml:space="preserve">2.3. Palavras-Chave: </w:t>
            </w:r>
            <w:r>
              <w:rPr>
                <w:rFonts w:ascii="Arial" w:hAnsi="Arial"/>
                <w:color w:val="222222"/>
                <w:sz w:val="17"/>
              </w:rPr>
              <w:t>Agrometeorologia. Internet Das Coisas. Agricultura De Precisão.</w:t>
            </w:r>
          </w:p>
        </w:tc>
      </w:tr>
      <w:tr>
        <w:tc>
          <w:tcPr>
            <w:tcW w:type="dxa" w:w="10080"/>
            <w:tcMar>
              <w:top w:w="50" w:type="dxa"/>
              <w:bottom w:w="50" w:type="dxa"/>
              <w:left w:w="80" w:type="dxa"/>
              <w:right w:w="80" w:type="dxa"/>
            </w:tcMar>
            <w:shd w:fill="FFFFFF"/>
          </w:tcPr>
          <w:p>
            <w:pPr>
              <w:spacing w:before="0" w:after="0" w:line="264" w:lineRule="auto"/>
            </w:pPr>
            <w:r>
              <w:rPr>
                <w:rFonts w:ascii="Arial" w:hAnsi="Arial"/>
                <w:b/>
                <w:color w:val="0F3460"/>
                <w:sz w:val="17"/>
              </w:rPr>
              <w:t xml:space="preserve">2.4. Área do Conhecimento: </w:t>
            </w:r>
            <w:r>
              <w:rPr>
                <w:rFonts w:ascii="Arial" w:hAnsi="Arial"/>
                <w:color w:val="222222"/>
                <w:sz w:val="17"/>
              </w:rPr>
              <w:t>( X ) Engenharias      ( X ) Ciências Agrárias      ( ) Ciências Exatas e da Terra</w:t>
            </w:r>
          </w:p>
        </w:tc>
      </w:tr>
      <w:tr>
        <w:tc>
          <w:tcPr>
            <w:tcW w:type="dxa" w:w="10080"/>
            <w:tcMar>
              <w:top w:w="50" w:type="dxa"/>
              <w:bottom w:w="50" w:type="dxa"/>
              <w:left w:w="80" w:type="dxa"/>
              <w:right w:w="80" w:type="dxa"/>
            </w:tcMar>
            <w:shd w:fill="FAFAFA"/>
          </w:tcPr>
          <w:p>
            <w:pPr>
              <w:spacing w:before="0" w:after="0" w:line="264" w:lineRule="auto"/>
            </w:pPr>
            <w:r>
              <w:rPr>
                <w:rFonts w:ascii="Arial" w:hAnsi="Arial"/>
                <w:b/>
                <w:color w:val="0F3460"/>
                <w:sz w:val="17"/>
              </w:rPr>
              <w:t xml:space="preserve">2.5. Grupo de Pesquisa CNPq: </w:t>
            </w:r>
            <w:r>
              <w:rPr>
                <w:rFonts w:ascii="Arial" w:hAnsi="Arial"/>
                <w:color w:val="222222"/>
                <w:sz w:val="17"/>
              </w:rPr>
              <w:t>Automação, Sistemas Embarcados e Tecnologias para o Agronegócio (UFU)</w:t>
            </w:r>
          </w:p>
        </w:tc>
      </w:tr>
      <w:tr>
        <w:tc>
          <w:tcPr>
            <w:tcW w:type="dxa" w:w="10080"/>
            <w:tcMar>
              <w:top w:w="50" w:type="dxa"/>
              <w:bottom w:w="50" w:type="dxa"/>
              <w:left w:w="80" w:type="dxa"/>
              <w:right w:w="80" w:type="dxa"/>
            </w:tcMar>
            <w:shd w:fill="FFFFFF"/>
          </w:tcPr>
          <w:p>
            <w:pPr>
              <w:spacing w:before="0" w:after="0" w:line="264" w:lineRule="auto"/>
            </w:pPr>
            <w:r>
              <w:rPr>
                <w:rFonts w:ascii="Arial" w:hAnsi="Arial"/>
                <w:b/>
                <w:color w:val="0F3460"/>
                <w:sz w:val="17"/>
              </w:rPr>
              <w:t xml:space="preserve">2.6. Arranjo Institucional: </w:t>
            </w:r>
            <w:r>
              <w:rPr>
                <w:rFonts w:ascii="Arial" w:hAnsi="Arial"/>
                <w:color w:val="222222"/>
                <w:sz w:val="17"/>
              </w:rPr>
              <w:t>Universidade Federal de Uberlândia (UFU) - Laboratório de Sistemas Embarcados / Automação</w:t>
            </w:r>
          </w:p>
        </w:tc>
      </w:tr>
      <w:tr>
        <w:tc>
          <w:tcPr>
            <w:tcW w:type="dxa" w:w="10080"/>
            <w:tcMar>
              <w:top w:w="50" w:type="dxa"/>
              <w:bottom w:w="50" w:type="dxa"/>
              <w:left w:w="80" w:type="dxa"/>
              <w:right w:w="80" w:type="dxa"/>
            </w:tcMar>
            <w:shd w:fill="FAFAFA"/>
          </w:tcPr>
          <w:p>
            <w:pPr>
              <w:spacing w:before="0" w:after="0" w:line="264" w:lineRule="auto"/>
            </w:pPr>
            <w:r>
              <w:rPr>
                <w:rFonts w:ascii="Arial" w:hAnsi="Arial"/>
                <w:b/>
                <w:color w:val="0F3460"/>
                <w:sz w:val="17"/>
              </w:rPr>
              <w:t xml:space="preserve">2.7. Protocolo CEP/CEUA: </w:t>
            </w:r>
            <w:r>
              <w:rPr>
                <w:rFonts w:ascii="Arial" w:hAnsi="Arial"/>
                <w:color w:val="222222"/>
                <w:sz w:val="17"/>
              </w:rPr>
              <w:t>Não se aplica (Pesquisa em hardware embarcado, sensores ambientais e firmware de borda)</w:t>
            </w:r>
          </w:p>
        </w:tc>
      </w:tr>
      <w:tr>
        <w:tc>
          <w:tcPr>
            <w:tcW w:type="dxa" w:w="10080"/>
            <w:tcMar>
              <w:top w:w="50" w:type="dxa"/>
              <w:bottom w:w="50" w:type="dxa"/>
              <w:left w:w="80" w:type="dxa"/>
              <w:right w:w="80" w:type="dxa"/>
            </w:tcMar>
            <w:shd w:fill="FFFFFF"/>
          </w:tcPr>
          <w:p>
            <w:pPr>
              <w:spacing w:before="0" w:after="0" w:line="264" w:lineRule="auto"/>
            </w:pPr>
            <w:r>
              <w:rPr>
                <w:rFonts w:ascii="Arial" w:hAnsi="Arial"/>
                <w:b/>
                <w:color w:val="0F3460"/>
                <w:sz w:val="17"/>
              </w:rPr>
              <w:t xml:space="preserve">2.8. Linha de Pesquisa: </w:t>
            </w:r>
            <w:r>
              <w:rPr>
                <w:rFonts w:ascii="Arial" w:hAnsi="Arial"/>
                <w:color w:val="222222"/>
                <w:sz w:val="17"/>
              </w:rPr>
              <w:t>Agricultura 4.0, Sensoriamento Inteligente e Cidades/Campos Conectados</w:t>
            </w:r>
          </w:p>
        </w:tc>
      </w:tr>
    </w:tbl>
    <w:p>
      <w:pPr>
        <w:spacing w:before="0" w:after="12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3. VIÉS TECNOLÓGICO (PIBITI - até 500 palavras)</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3.1. Inovação Tecnológica, Ganhos de Qualidade/Eficiência e Escala TRL</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O projeto apresenta inequívoco caráter de inovação tecnológica ao conceber uma estação meteorológica inteligente de baixo custo baseada no microcontrolador ESP32 de 32 bits, com capacidade nativa de computação na borda (Edge Computing). Ao contrário das estações convencionais de mercado, que atuam meramente como registradores passivos (dataloggers) e exigem servidores pagos na nuvem para processamento, o Projeto GAIA executa cálculos agrometeorológicos de alta complexidade diretamente no microcontrolador: Déficit de Pressão de Vapor (VPD) com diagnóstico estomático, Evapotranspiração de Referência (Penman-Monteith FAO-56), Radiação Fotossinteticamente Ativa (PAR/PPFD), estimativa de radiação global (Rs), Índice de Conforto Zootécnico (ITU/THI) e classificação de risco para geadas (branca e negra).</w:t>
              <w:br/>
              <w:br/>
              <w:t>O avanço tecnológico reside também na arquitetura de resiliência: validação temporal via Relógio Atômico brasileiro (NTP.br) dispensando módulos RTC mecânicos frágeis; encriptação nativa por hardware AES-128-CBC; preservação de séries temporais na memória estática de baixo consumo RTC RAM (RTC_DATA_ATTR) durante ciclos de repouso profundo (Deep Sleep); persistência em fila offline no cartão SD (Store-and-Forward); e portal web captivo (SoftAP) com diagnóstico em tempo real no celular sem requerer aplicativos externos.</w:t>
              <w:br/>
              <w:br/>
              <w:t>Nível de Maturidade Tecnológica: O projeto encontra-se em TRL 5 (protótipo funcional integrado com todos os sensores validados em ambiente simulado e bancada operacional), com previsão de alcançar TRL 6/7 com os ensaios de campo continuados propostos neste plano.</w:t>
            </w:r>
          </w:p>
        </w:tc>
      </w:tr>
    </w:tbl>
    <w:p>
      <w:pPr>
        <w:spacing w:before="0" w:after="8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4. DETALHAMENTO DA PROPOSTA</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4.1. Resumo da Proposta (até 300 palavras)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O monitoramento microclimático preciso é fundamental para a agricultura de precisão e para a sustentabilidade hídrica. Contudo, estações comerciais possuem custo proibitivo para pequenos e médios produtores, além de demandarem manutenção especializada. Este projeto propõe o desenvolvimento e aprimoramento da estação agrometeorológica de campo 'Projeto GAIA', um sistema embarcado de baixo custo baseado no ESP32. O sistema integra sensores de temperatura e umidade do ar (DHT22), pressão barométrica (BMP280), radiação solar/iluminância (VEML7700), temperatura do solo em nível radicular (DS18B20) e umidade volumétrica do solo.</w:t>
              <w:br/>
              <w:t>Os dados são validados temporalmente com o relógio atômico nacional e processados na própria estação, gerando indicadores vitais: ponto de orvalho, VPD estomático, evapotranspiração da cultura (ETc), estimativa de radiação fotossintética, horas de molhamento foliar para alerta fúngico, risco de geada (branca e negra) e índice de conforto térmico animal (ITU). A transmissão é realizada via Wi-Fi/HTTP com criptografia AES-128 e redundância em cartão SD. Os resultados visam entregar uma solução acessível, robusta e autônoma, democratizando dados micrometeorológicos aplicados ao manejo racional de irrigação e fitossanidade.</w:t>
            </w:r>
          </w:p>
        </w:tc>
      </w:tr>
    </w:tbl>
    <w:p>
      <w:pPr>
        <w:spacing w:before="0" w:after="8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4.2. Problema Abordado e Pergunta/Hipótese Principal (até 250 palavras)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Problema: A tomada de decisão agrícola no Brasil (irrigação, pulverização e prevenção fitossanitária) ainda é realizada predominantemente com base em previsões meteorológicas genéricas de escala municipal, as quais desconsideram o microclima específico da lavoura. Estações agrometeorológicas profissionais de alta precisão possuem custo elevado (frequentemente superior a R$ 15.000,00), exigem conectividade de dados ininterrupta e utilizam protocolos fechados.</w:t>
              <w:br/>
              <w:t>Pergunta e Hipótese: É tecnicamente viável desenvolver uma estação agrometeorológica modular, alimentada a bateria/solar, com custo inferior a 10% das opções comerciais, capaz de computar métricas micrometeorológicas complexas diretamente na borda (Edge Computing) e manter a operação autônoma sem perda de dados mesmo sob intermitência de sinal de rede?</w:t>
            </w:r>
          </w:p>
        </w:tc>
      </w:tr>
    </w:tbl>
    <w:p>
      <w:pPr>
        <w:spacing w:before="0" w:after="8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4.3. Principais Referências Bibliográficas (até 250 palavras)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1. ALLEN, R. G. et al. Crop evapotranspiration: Guidelines for computing crop water requirements. FAO Irrigation and drainage paper 56, Rome, 1998. [Estabelece o padrão biofísico Penman-Monteith adotado diretamente no código para cálculo da demanda evapotranspirativa de referência].</w:t>
              <w:br/>
              <w:t>2. ALVARES, C. A. et al. Köppen's climate classification map for Brazil. Meteorologische Zeitschrift, v. 22, n. 6, 2013. [Fundamenta a distribuição de extremos climáticos e a importância da medição local de gradientes térmicos e riscos de geada].</w:t>
              <w:br/>
              <w:t>3. OJHA, T. et al. Wireless sensor networks for agriculture: The state-of-the-art in practice and future challenges. Computers and Electronics in Agriculture, 2015. [Referência de arquitetura para redes de sensores sem fio agrícolas, nós autônomos de baixo consumo e tolerância a falhas temporais].</w:t>
            </w:r>
          </w:p>
        </w:tc>
      </w:tr>
    </w:tbl>
    <w:p>
      <w:pPr>
        <w:spacing w:before="0" w:after="8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4.4. Método para Obtenção da Resposta ao Problema (até 500 palavras)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A metodologia adotada é experimental e de desenvolvimento tecnológico aplicado, dividida em quatro fases:</w:t>
              <w:br/>
              <w:t>1. Arquitetura de Hardware e Sensoriamento: Integração dos sensores DHT22 (ar), BMP280 (pressão I2C), VEML7700 (luz solar I2C), DS18B20 (sonda de solo 1-Wire em GPIO 13) e sensor de umidade de solo analógico (ADC 34) ao microcontrolador ESP32 dual-core de 240 MHz, com reguladores de baixíssimo ruído e barramento I2C protegido com timeout.</w:t>
              <w:br/>
              <w:t>2. Motor Matemático de Borda (Edge Computing): Codificação de funções otimizadas em ponto flutuante para Ponto de Orvalho (Magnus-Tetens), Déficit de Pressão de Vapor (VPD estomático), Evapotranspiração horária e diária Penman-Monteith (FAO-56), Radiação Global (Rs em W/m²) e PAR/PPFD (µmol/m²·s). Implementação de buffer circular na memória estática RTC RAM (RTC_DATA_ATTR) para rastreamento de pressão barométrica em janela móvel de 3 horas (alerta de tempestades) e acúmulo contínuo de horas de folha molhada sem desgaste de flash.</w:t>
              <w:br/>
              <w:t>3. Conectividade Segura e Usabilidade: Validação temporal precisa via Relógio Atômico nacional (NTP.br: a.st1.ntp.br); cifragem de payload em hardware com AES-128-CBC; mecanismo Store-and-Forward no cartão SD para garantia de entrega; e portal captivo Wi-Fi com DNS integrado na porta 53 para auditoria em tempo real dos sensores em campo pelo celular.</w:t>
              <w:br/>
              <w:t>4. Testes e Calibração: Ensaios comparativos de bancada e campo para avaliação de desvio entre sensores redundantes (DHT vs BMP), teste de estresse térmico, medição de corrente em repouso profundo e validação da integridade de pacotes transmitidos.</w:t>
            </w:r>
          </w:p>
        </w:tc>
      </w:tr>
    </w:tbl>
    <w:p>
      <w:pPr>
        <w:spacing w:before="0" w:after="8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864"/>
            <w:shd w:fill="0F3460"/>
            <w:tcMar>
              <w:top w:w="80" w:type="dxa"/>
              <w:bottom w:w="80" w:type="dxa"/>
              <w:left w:w="80" w:type="dxa"/>
              <w:right w:w="80" w:type="dxa"/>
            </w:tcMar>
          </w:tcPr>
          <w:p>
            <w:pPr>
              <w:spacing w:before="0" w:after="0" w:line="240" w:lineRule="auto"/>
              <w:jc w:val="center"/>
            </w:pPr>
            <w:r>
              <w:rPr>
                <w:rFonts w:ascii="Arial" w:hAnsi="Arial"/>
                <w:b/>
                <w:color w:val="FFFFFF"/>
                <w:sz w:val="17"/>
              </w:rPr>
              <w:t>META</w:t>
            </w:r>
          </w:p>
        </w:tc>
        <w:tc>
          <w:tcPr>
            <w:tcW w:type="dxa" w:w="6048"/>
            <w:shd w:fill="0F3460"/>
            <w:tcMar>
              <w:top w:w="80" w:type="dxa"/>
              <w:bottom w:w="80" w:type="dxa"/>
              <w:left w:w="80" w:type="dxa"/>
              <w:right w:w="80" w:type="dxa"/>
            </w:tcMar>
          </w:tcPr>
          <w:p>
            <w:pPr>
              <w:spacing w:before="0" w:after="0" w:line="240" w:lineRule="auto"/>
              <w:jc w:val="center"/>
            </w:pPr>
            <w:r>
              <w:rPr>
                <w:rFonts w:ascii="Arial" w:hAnsi="Arial"/>
                <w:b/>
                <w:color w:val="FFFFFF"/>
                <w:sz w:val="17"/>
              </w:rPr>
              <w:t>DESCRIÇÃO DETALHADA</w:t>
            </w:r>
          </w:p>
        </w:tc>
        <w:tc>
          <w:tcPr>
            <w:tcW w:type="dxa" w:w="1440"/>
            <w:shd w:fill="0F3460"/>
            <w:tcMar>
              <w:top w:w="80" w:type="dxa"/>
              <w:bottom w:w="80" w:type="dxa"/>
              <w:left w:w="80" w:type="dxa"/>
              <w:right w:w="80" w:type="dxa"/>
            </w:tcMar>
          </w:tcPr>
          <w:p>
            <w:pPr>
              <w:spacing w:before="0" w:after="0" w:line="240" w:lineRule="auto"/>
              <w:jc w:val="center"/>
            </w:pPr>
            <w:r>
              <w:rPr>
                <w:rFonts w:ascii="Arial" w:hAnsi="Arial"/>
                <w:b/>
                <w:color w:val="FFFFFF"/>
                <w:sz w:val="17"/>
              </w:rPr>
              <w:t>QUANTIDADE</w:t>
            </w:r>
          </w:p>
        </w:tc>
        <w:tc>
          <w:tcPr>
            <w:tcW w:type="dxa" w:w="1728"/>
            <w:shd w:fill="0F3460"/>
            <w:tcMar>
              <w:top w:w="80" w:type="dxa"/>
              <w:bottom w:w="80" w:type="dxa"/>
              <w:left w:w="80" w:type="dxa"/>
              <w:right w:w="80" w:type="dxa"/>
            </w:tcMar>
          </w:tcPr>
          <w:p>
            <w:pPr>
              <w:spacing w:before="0" w:after="0" w:line="240" w:lineRule="auto"/>
              <w:jc w:val="center"/>
            </w:pPr>
            <w:r>
              <w:rPr>
                <w:rFonts w:ascii="Arial" w:hAnsi="Arial"/>
                <w:b/>
                <w:color w:val="FFFFFF"/>
                <w:sz w:val="17"/>
              </w:rPr>
              <w:t>PREVISÃO</w:t>
            </w:r>
          </w:p>
        </w:tc>
      </w:tr>
      <w:tr>
        <w:tc>
          <w:tcPr>
            <w:tcW w:type="dxa" w:w="864"/>
            <w:shd w:fill="FFFFFF"/>
            <w:tcMar>
              <w:top w:w="60" w:type="dxa"/>
              <w:bottom w:w="60" w:type="dxa"/>
              <w:left w:w="80" w:type="dxa"/>
              <w:right w:w="80" w:type="dxa"/>
            </w:tcMar>
          </w:tcPr>
          <w:p>
            <w:pPr>
              <w:spacing w:before="0" w:after="0" w:line="264" w:lineRule="auto"/>
              <w:jc w:val="center"/>
            </w:pPr>
            <w:r>
              <w:rPr>
                <w:rFonts w:ascii="Arial" w:hAnsi="Arial"/>
                <w:color w:val="222222"/>
                <w:sz w:val="17"/>
              </w:rPr>
              <w:t>1</w:t>
            </w:r>
          </w:p>
        </w:tc>
        <w:tc>
          <w:tcPr>
            <w:tcW w:type="dxa" w:w="6048"/>
            <w:shd w:fill="FFFFFF"/>
            <w:tcMar>
              <w:top w:w="60" w:type="dxa"/>
              <w:bottom w:w="60" w:type="dxa"/>
              <w:left w:w="80" w:type="dxa"/>
              <w:right w:w="80" w:type="dxa"/>
            </w:tcMar>
          </w:tcPr>
          <w:p>
            <w:pPr>
              <w:spacing w:before="0" w:after="0" w:line="264" w:lineRule="auto"/>
              <w:jc w:val="left"/>
            </w:pPr>
            <w:r>
              <w:rPr>
                <w:rFonts w:ascii="Arial" w:hAnsi="Arial"/>
                <w:color w:val="222222"/>
                <w:sz w:val="17"/>
              </w:rPr>
              <w:t>Integração física do circuito embarcado, proteções I2C/1-Wire e testes dos sensores ambientais e de solo</w:t>
            </w:r>
          </w:p>
        </w:tc>
        <w:tc>
          <w:tcPr>
            <w:tcW w:type="dxa" w:w="1440"/>
            <w:shd w:fill="FFFFFF"/>
            <w:tcMar>
              <w:top w:w="60" w:type="dxa"/>
              <w:bottom w:w="60" w:type="dxa"/>
              <w:left w:w="80" w:type="dxa"/>
              <w:right w:w="80" w:type="dxa"/>
            </w:tcMar>
          </w:tcPr>
          <w:p>
            <w:pPr>
              <w:spacing w:before="0" w:after="0" w:line="264" w:lineRule="auto"/>
              <w:jc w:val="center"/>
            </w:pPr>
            <w:r>
              <w:rPr>
                <w:rFonts w:ascii="Arial" w:hAnsi="Arial"/>
                <w:color w:val="222222"/>
                <w:sz w:val="17"/>
              </w:rPr>
              <w:t>1 protótipo</w:t>
            </w:r>
          </w:p>
        </w:tc>
        <w:tc>
          <w:tcPr>
            <w:tcW w:type="dxa" w:w="1728"/>
            <w:shd w:fill="FFFFFF"/>
            <w:tcMar>
              <w:top w:w="60" w:type="dxa"/>
              <w:bottom w:w="60" w:type="dxa"/>
              <w:left w:w="80" w:type="dxa"/>
              <w:right w:w="80" w:type="dxa"/>
            </w:tcMar>
          </w:tcPr>
          <w:p>
            <w:pPr>
              <w:spacing w:before="0" w:after="0" w:line="264" w:lineRule="auto"/>
              <w:jc w:val="center"/>
            </w:pPr>
            <w:r>
              <w:rPr>
                <w:rFonts w:ascii="Arial" w:hAnsi="Arial"/>
                <w:color w:val="222222"/>
                <w:sz w:val="17"/>
              </w:rPr>
              <w:t>Mês 03</w:t>
            </w:r>
          </w:p>
        </w:tc>
      </w:tr>
      <w:tr>
        <w:tc>
          <w:tcPr>
            <w:tcW w:type="dxa" w:w="864"/>
            <w:shd w:fill="FAFAFA"/>
            <w:tcMar>
              <w:top w:w="60" w:type="dxa"/>
              <w:bottom w:w="60" w:type="dxa"/>
              <w:left w:w="80" w:type="dxa"/>
              <w:right w:w="80" w:type="dxa"/>
            </w:tcMar>
          </w:tcPr>
          <w:p>
            <w:pPr>
              <w:spacing w:before="0" w:after="0" w:line="264" w:lineRule="auto"/>
              <w:jc w:val="center"/>
            </w:pPr>
            <w:r>
              <w:rPr>
                <w:rFonts w:ascii="Arial" w:hAnsi="Arial"/>
                <w:color w:val="222222"/>
                <w:sz w:val="17"/>
              </w:rPr>
              <w:t>2</w:t>
            </w:r>
          </w:p>
        </w:tc>
        <w:tc>
          <w:tcPr>
            <w:tcW w:type="dxa" w:w="6048"/>
            <w:shd w:fill="FAFAFA"/>
            <w:tcMar>
              <w:top w:w="60" w:type="dxa"/>
              <w:bottom w:w="60" w:type="dxa"/>
              <w:left w:w="80" w:type="dxa"/>
              <w:right w:w="80" w:type="dxa"/>
            </w:tcMar>
          </w:tcPr>
          <w:p>
            <w:pPr>
              <w:spacing w:before="0" w:after="0" w:line="264" w:lineRule="auto"/>
              <w:jc w:val="left"/>
            </w:pPr>
            <w:r>
              <w:rPr>
                <w:rFonts w:ascii="Arial" w:hAnsi="Arial"/>
                <w:color w:val="222222"/>
                <w:sz w:val="17"/>
              </w:rPr>
              <w:t>Desenvolvimento dos algoritmos de borda (VPD, ET0 FAO-56, PAR, ITU e variáveis em RTC RAM)</w:t>
            </w:r>
          </w:p>
        </w:tc>
        <w:tc>
          <w:tcPr>
            <w:tcW w:type="dxa" w:w="1440"/>
            <w:shd w:fill="FAFAFA"/>
            <w:tcMar>
              <w:top w:w="60" w:type="dxa"/>
              <w:bottom w:w="60" w:type="dxa"/>
              <w:left w:w="80" w:type="dxa"/>
              <w:right w:w="80" w:type="dxa"/>
            </w:tcMar>
          </w:tcPr>
          <w:p>
            <w:pPr>
              <w:spacing w:before="0" w:after="0" w:line="264" w:lineRule="auto"/>
              <w:jc w:val="center"/>
            </w:pPr>
            <w:r>
              <w:rPr>
                <w:rFonts w:ascii="Arial" w:hAnsi="Arial"/>
                <w:color w:val="222222"/>
                <w:sz w:val="17"/>
              </w:rPr>
              <w:t>1 firmware</w:t>
            </w:r>
          </w:p>
        </w:tc>
        <w:tc>
          <w:tcPr>
            <w:tcW w:type="dxa" w:w="1728"/>
            <w:shd w:fill="FAFAFA"/>
            <w:tcMar>
              <w:top w:w="60" w:type="dxa"/>
              <w:bottom w:w="60" w:type="dxa"/>
              <w:left w:w="80" w:type="dxa"/>
              <w:right w:w="80" w:type="dxa"/>
            </w:tcMar>
          </w:tcPr>
          <w:p>
            <w:pPr>
              <w:spacing w:before="0" w:after="0" w:line="264" w:lineRule="auto"/>
              <w:jc w:val="center"/>
            </w:pPr>
            <w:r>
              <w:rPr>
                <w:rFonts w:ascii="Arial" w:hAnsi="Arial"/>
                <w:color w:val="222222"/>
                <w:sz w:val="17"/>
              </w:rPr>
              <w:t>Mês 06</w:t>
            </w:r>
          </w:p>
        </w:tc>
      </w:tr>
      <w:tr>
        <w:tc>
          <w:tcPr>
            <w:tcW w:type="dxa" w:w="864"/>
            <w:shd w:fill="FFFFFF"/>
            <w:tcMar>
              <w:top w:w="60" w:type="dxa"/>
              <w:bottom w:w="60" w:type="dxa"/>
              <w:left w:w="80" w:type="dxa"/>
              <w:right w:w="80" w:type="dxa"/>
            </w:tcMar>
          </w:tcPr>
          <w:p>
            <w:pPr>
              <w:spacing w:before="0" w:after="0" w:line="264" w:lineRule="auto"/>
              <w:jc w:val="center"/>
            </w:pPr>
            <w:r>
              <w:rPr>
                <w:rFonts w:ascii="Arial" w:hAnsi="Arial"/>
                <w:color w:val="222222"/>
                <w:sz w:val="17"/>
              </w:rPr>
              <w:t>3</w:t>
            </w:r>
          </w:p>
        </w:tc>
        <w:tc>
          <w:tcPr>
            <w:tcW w:type="dxa" w:w="6048"/>
            <w:shd w:fill="FFFFFF"/>
            <w:tcMar>
              <w:top w:w="60" w:type="dxa"/>
              <w:bottom w:w="60" w:type="dxa"/>
              <w:left w:w="80" w:type="dxa"/>
              <w:right w:w="80" w:type="dxa"/>
            </w:tcMar>
          </w:tcPr>
          <w:p>
            <w:pPr>
              <w:spacing w:before="0" w:after="0" w:line="264" w:lineRule="auto"/>
              <w:jc w:val="left"/>
            </w:pPr>
            <w:r>
              <w:rPr>
                <w:rFonts w:ascii="Arial" w:hAnsi="Arial"/>
                <w:color w:val="222222"/>
                <w:sz w:val="17"/>
              </w:rPr>
              <w:t>Implementação da telemetria Wi-Fi segura (AES-128), NTP atômico, fila SD e Portal Captivo SoftAP</w:t>
            </w:r>
          </w:p>
        </w:tc>
        <w:tc>
          <w:tcPr>
            <w:tcW w:type="dxa" w:w="1440"/>
            <w:shd w:fill="FFFFFF"/>
            <w:tcMar>
              <w:top w:w="60" w:type="dxa"/>
              <w:bottom w:w="60" w:type="dxa"/>
              <w:left w:w="80" w:type="dxa"/>
              <w:right w:w="80" w:type="dxa"/>
            </w:tcMar>
          </w:tcPr>
          <w:p>
            <w:pPr>
              <w:spacing w:before="0" w:after="0" w:line="264" w:lineRule="auto"/>
              <w:jc w:val="center"/>
            </w:pPr>
            <w:r>
              <w:rPr>
                <w:rFonts w:ascii="Arial" w:hAnsi="Arial"/>
                <w:color w:val="222222"/>
                <w:sz w:val="17"/>
              </w:rPr>
              <w:t>1 sistema</w:t>
            </w:r>
          </w:p>
        </w:tc>
        <w:tc>
          <w:tcPr>
            <w:tcW w:type="dxa" w:w="1728"/>
            <w:shd w:fill="FFFFFF"/>
            <w:tcMar>
              <w:top w:w="60" w:type="dxa"/>
              <w:bottom w:w="60" w:type="dxa"/>
              <w:left w:w="80" w:type="dxa"/>
              <w:right w:w="80" w:type="dxa"/>
            </w:tcMar>
          </w:tcPr>
          <w:p>
            <w:pPr>
              <w:spacing w:before="0" w:after="0" w:line="264" w:lineRule="auto"/>
              <w:jc w:val="center"/>
            </w:pPr>
            <w:r>
              <w:rPr>
                <w:rFonts w:ascii="Arial" w:hAnsi="Arial"/>
                <w:color w:val="222222"/>
                <w:sz w:val="17"/>
              </w:rPr>
              <w:t>Mês 08</w:t>
            </w:r>
          </w:p>
        </w:tc>
      </w:tr>
      <w:tr>
        <w:tc>
          <w:tcPr>
            <w:tcW w:type="dxa" w:w="864"/>
            <w:shd w:fill="FAFAFA"/>
            <w:tcMar>
              <w:top w:w="60" w:type="dxa"/>
              <w:bottom w:w="60" w:type="dxa"/>
              <w:left w:w="80" w:type="dxa"/>
              <w:right w:w="80" w:type="dxa"/>
            </w:tcMar>
          </w:tcPr>
          <w:p>
            <w:pPr>
              <w:spacing w:before="0" w:after="0" w:line="264" w:lineRule="auto"/>
              <w:jc w:val="center"/>
            </w:pPr>
            <w:r>
              <w:rPr>
                <w:rFonts w:ascii="Arial" w:hAnsi="Arial"/>
                <w:color w:val="222222"/>
                <w:sz w:val="17"/>
              </w:rPr>
              <w:t>4</w:t>
            </w:r>
          </w:p>
        </w:tc>
        <w:tc>
          <w:tcPr>
            <w:tcW w:type="dxa" w:w="6048"/>
            <w:shd w:fill="FAFAFA"/>
            <w:tcMar>
              <w:top w:w="60" w:type="dxa"/>
              <w:bottom w:w="60" w:type="dxa"/>
              <w:left w:w="80" w:type="dxa"/>
              <w:right w:w="80" w:type="dxa"/>
            </w:tcMar>
          </w:tcPr>
          <w:p>
            <w:pPr>
              <w:spacing w:before="0" w:after="0" w:line="264" w:lineRule="auto"/>
              <w:jc w:val="left"/>
            </w:pPr>
            <w:r>
              <w:rPr>
                <w:rFonts w:ascii="Arial" w:hAnsi="Arial"/>
                <w:color w:val="222222"/>
                <w:sz w:val="17"/>
              </w:rPr>
              <w:t>Ensaios de campo contínuos, análise de consistência agronômica e elaboração de relatório final/artigo</w:t>
            </w:r>
          </w:p>
        </w:tc>
        <w:tc>
          <w:tcPr>
            <w:tcW w:type="dxa" w:w="1440"/>
            <w:shd w:fill="FAFAFA"/>
            <w:tcMar>
              <w:top w:w="60" w:type="dxa"/>
              <w:bottom w:w="60" w:type="dxa"/>
              <w:left w:w="80" w:type="dxa"/>
              <w:right w:w="80" w:type="dxa"/>
            </w:tcMar>
          </w:tcPr>
          <w:p>
            <w:pPr>
              <w:spacing w:before="0" w:after="0" w:line="264" w:lineRule="auto"/>
              <w:jc w:val="center"/>
            </w:pPr>
            <w:r>
              <w:rPr>
                <w:rFonts w:ascii="Arial" w:hAnsi="Arial"/>
                <w:color w:val="222222"/>
                <w:sz w:val="17"/>
              </w:rPr>
              <w:t>1 artigo</w:t>
            </w:r>
          </w:p>
        </w:tc>
        <w:tc>
          <w:tcPr>
            <w:tcW w:type="dxa" w:w="1728"/>
            <w:shd w:fill="FAFAFA"/>
            <w:tcMar>
              <w:top w:w="60" w:type="dxa"/>
              <w:bottom w:w="60" w:type="dxa"/>
              <w:left w:w="80" w:type="dxa"/>
              <w:right w:w="80" w:type="dxa"/>
            </w:tcMar>
          </w:tcPr>
          <w:p>
            <w:pPr>
              <w:spacing w:before="0" w:after="0" w:line="264" w:lineRule="auto"/>
              <w:jc w:val="center"/>
            </w:pPr>
            <w:r>
              <w:rPr>
                <w:rFonts w:ascii="Arial" w:hAnsi="Arial"/>
                <w:color w:val="222222"/>
                <w:sz w:val="17"/>
              </w:rPr>
              <w:t>Mês 12</w:t>
            </w:r>
          </w:p>
        </w:tc>
      </w:tr>
    </w:tbl>
    <w:p>
      <w:pPr>
        <w:spacing w:before="0" w:after="12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4.6. Relevância da Proposta e Impactos Esperados na UFU (até 500 palavras)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A relevância desta pesquisa para a Universidade Federal de Uberlândia (UFU) consolida-se em múltiplos eixos:</w:t>
              <w:br/>
              <w:t>• Impacto Científico e Tecnológico: Criação de propriedade intelectual e consolidação de conhecimento prático em Computação na Borda aplicada à Agrometeorologia, estabelecendo uma base de código aberta e replicável para projetos futuros de graduação e pós-graduação na UFU.</w:t>
              <w:br/>
              <w:t>• Impacto Ambiental e Hídrico: O monitoramento local de VPD e Evapotranspiração permite irrigar exatamente o volume requerido pela cultura no estádio fenológico atual, combatendo o desperdício de água e reduzindo o consumo energético de bombas.</w:t>
              <w:br/>
              <w:t>• Impacto Social e Econômico: Oferta de uma alternativa viável e acessível para produtores rurais familiares, cooperativas e pequenas propriedades do Triângulo Mineiro e Alto Paranaíba que não têm acesso a estações agrometeorológicas comerciais.</w:t>
              <w:br/>
              <w:t>• Impacto Acadêmico na UFU: Formação avançada do estudante bolsista em internet das coisas, programação de sistemas de tempo real, sensoriamento microclimático e segurança de dados, gerando produção acadêmica qualificada para publicação institucional.</w:t>
            </w:r>
          </w:p>
        </w:tc>
      </w:tr>
    </w:tbl>
    <w:p>
      <w:pPr>
        <w:spacing w:before="0" w:after="8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4.7. Relação com os Objetivos de Desenvolvimento Sustentável (ODS)</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 X ] 2. Fome zero e agricultura sustentável       [ X ] 6. Água limpa e saneamento</w:t>
              <w:br/>
              <w:t>[ X ] 9. Indústria, inovação e infraestrutura        [ X ] 12. Consumo e produção responsáveis</w:t>
              <w:br/>
              <w:t>[ X ] 13. Ação contra mudança global do clima       [ X ] 15. Vida terrestre</w:t>
            </w:r>
          </w:p>
        </w:tc>
      </w:tr>
    </w:tbl>
    <w:p>
      <w:pPr>
        <w:spacing w:before="0" w:after="8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5. RECURSOS FINANCEIROS PREVISTOS</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2016"/>
            <w:shd w:fill="0F3460"/>
            <w:tcMar>
              <w:top w:w="80" w:type="dxa"/>
              <w:bottom w:w="80" w:type="dxa"/>
              <w:left w:w="80" w:type="dxa"/>
              <w:right w:w="80" w:type="dxa"/>
            </w:tcMar>
          </w:tcPr>
          <w:p>
            <w:pPr>
              <w:spacing w:before="0" w:after="0" w:line="240" w:lineRule="auto"/>
              <w:jc w:val="center"/>
            </w:pPr>
            <w:r>
              <w:rPr>
                <w:rFonts w:ascii="Arial" w:hAnsi="Arial"/>
                <w:b/>
                <w:color w:val="FFFFFF"/>
                <w:sz w:val="17"/>
              </w:rPr>
              <w:t>DESPESAS</w:t>
            </w:r>
          </w:p>
        </w:tc>
        <w:tc>
          <w:tcPr>
            <w:tcW w:type="dxa" w:w="5184"/>
            <w:shd w:fill="0F3460"/>
            <w:tcMar>
              <w:top w:w="80" w:type="dxa"/>
              <w:bottom w:w="80" w:type="dxa"/>
              <w:left w:w="80" w:type="dxa"/>
              <w:right w:w="80" w:type="dxa"/>
            </w:tcMar>
          </w:tcPr>
          <w:p>
            <w:pPr>
              <w:spacing w:before="0" w:after="0" w:line="240" w:lineRule="auto"/>
              <w:jc w:val="center"/>
            </w:pPr>
            <w:r>
              <w:rPr>
                <w:rFonts w:ascii="Arial" w:hAnsi="Arial"/>
                <w:b/>
                <w:color w:val="FFFFFF"/>
                <w:sz w:val="17"/>
              </w:rPr>
              <w:t>DESCRIÇÃO DETALHADA</w:t>
            </w:r>
          </w:p>
        </w:tc>
        <w:tc>
          <w:tcPr>
            <w:tcW w:type="dxa" w:w="1440"/>
            <w:shd w:fill="0F3460"/>
            <w:tcMar>
              <w:top w:w="80" w:type="dxa"/>
              <w:bottom w:w="80" w:type="dxa"/>
              <w:left w:w="80" w:type="dxa"/>
              <w:right w:w="80" w:type="dxa"/>
            </w:tcMar>
          </w:tcPr>
          <w:p>
            <w:pPr>
              <w:spacing w:before="0" w:after="0" w:line="240" w:lineRule="auto"/>
              <w:jc w:val="center"/>
            </w:pPr>
            <w:r>
              <w:rPr>
                <w:rFonts w:ascii="Arial" w:hAnsi="Arial"/>
                <w:b/>
                <w:color w:val="FFFFFF"/>
                <w:sz w:val="17"/>
              </w:rPr>
              <w:t>QUANTIDADE</w:t>
            </w:r>
          </w:p>
        </w:tc>
        <w:tc>
          <w:tcPr>
            <w:tcW w:type="dxa" w:w="1440"/>
            <w:shd w:fill="0F3460"/>
            <w:tcMar>
              <w:top w:w="80" w:type="dxa"/>
              <w:bottom w:w="80" w:type="dxa"/>
              <w:left w:w="80" w:type="dxa"/>
              <w:right w:w="80" w:type="dxa"/>
            </w:tcMar>
          </w:tcPr>
          <w:p>
            <w:pPr>
              <w:spacing w:before="0" w:after="0" w:line="240" w:lineRule="auto"/>
              <w:jc w:val="center"/>
            </w:pPr>
            <w:r>
              <w:rPr>
                <w:rFonts w:ascii="Arial" w:hAnsi="Arial"/>
                <w:b/>
                <w:color w:val="FFFFFF"/>
                <w:sz w:val="17"/>
              </w:rPr>
              <w:t>VALOR TOTAL</w:t>
            </w:r>
          </w:p>
        </w:tc>
      </w:tr>
      <w:tr>
        <w:tc>
          <w:tcPr>
            <w:tcW w:type="dxa" w:w="2016"/>
            <w:shd w:fill="FFFFFF"/>
            <w:tcMar>
              <w:top w:w="60" w:type="dxa"/>
              <w:bottom w:w="60" w:type="dxa"/>
              <w:left w:w="80" w:type="dxa"/>
              <w:right w:w="80" w:type="dxa"/>
            </w:tcMar>
          </w:tcPr>
          <w:p>
            <w:pPr>
              <w:spacing w:before="0" w:after="0" w:line="264" w:lineRule="auto"/>
              <w:jc w:val="left"/>
            </w:pPr>
            <w:r>
              <w:rPr>
                <w:rFonts w:ascii="Arial" w:hAnsi="Arial"/>
                <w:color w:val="222222"/>
                <w:sz w:val="17"/>
              </w:rPr>
              <w:t>Bolsa</w:t>
            </w:r>
          </w:p>
        </w:tc>
        <w:tc>
          <w:tcPr>
            <w:tcW w:type="dxa" w:w="5184"/>
            <w:shd w:fill="FFFFFF"/>
            <w:tcMar>
              <w:top w:w="60" w:type="dxa"/>
              <w:bottom w:w="60" w:type="dxa"/>
              <w:left w:w="80" w:type="dxa"/>
              <w:right w:w="80" w:type="dxa"/>
            </w:tcMar>
          </w:tcPr>
          <w:p>
            <w:pPr>
              <w:spacing w:before="0" w:after="0" w:line="264" w:lineRule="auto"/>
              <w:jc w:val="left"/>
            </w:pPr>
            <w:r>
              <w:rPr>
                <w:rFonts w:ascii="Arial" w:hAnsi="Arial"/>
                <w:color w:val="222222"/>
                <w:sz w:val="17"/>
              </w:rPr>
              <w:t>Bolsa de Iniciação Científica/Tecnológica (PIBITI/PIBIC)</w:t>
            </w:r>
          </w:p>
        </w:tc>
        <w:tc>
          <w:tcPr>
            <w:tcW w:type="dxa" w:w="1440"/>
            <w:shd w:fill="FFFFFF"/>
            <w:tcMar>
              <w:top w:w="60" w:type="dxa"/>
              <w:bottom w:w="60" w:type="dxa"/>
              <w:left w:w="80" w:type="dxa"/>
              <w:right w:w="80" w:type="dxa"/>
            </w:tcMar>
          </w:tcPr>
          <w:p>
            <w:pPr>
              <w:spacing w:before="0" w:after="0" w:line="264" w:lineRule="auto"/>
              <w:jc w:val="center"/>
            </w:pPr>
            <w:r>
              <w:rPr>
                <w:rFonts w:ascii="Arial" w:hAnsi="Arial"/>
                <w:color w:val="222222"/>
                <w:sz w:val="17"/>
              </w:rPr>
              <w:t>12 meses</w:t>
            </w:r>
          </w:p>
        </w:tc>
        <w:tc>
          <w:tcPr>
            <w:tcW w:type="dxa" w:w="1440"/>
            <w:shd w:fill="FFFFFF"/>
            <w:tcMar>
              <w:top w:w="60" w:type="dxa"/>
              <w:bottom w:w="60" w:type="dxa"/>
              <w:left w:w="80" w:type="dxa"/>
              <w:right w:w="80" w:type="dxa"/>
            </w:tcMar>
          </w:tcPr>
          <w:p>
            <w:pPr>
              <w:spacing w:before="0" w:after="0" w:line="264" w:lineRule="auto"/>
              <w:jc w:val="center"/>
            </w:pPr>
            <w:r>
              <w:rPr>
                <w:rFonts w:ascii="Arial" w:hAnsi="Arial"/>
                <w:color w:val="222222"/>
                <w:sz w:val="17"/>
              </w:rPr>
              <w:t>Conforme edital</w:t>
            </w:r>
          </w:p>
        </w:tc>
      </w:tr>
      <w:tr>
        <w:tc>
          <w:tcPr>
            <w:tcW w:type="dxa" w:w="2016"/>
            <w:shd w:fill="FAFAFA"/>
            <w:tcMar>
              <w:top w:w="60" w:type="dxa"/>
              <w:bottom w:w="60" w:type="dxa"/>
              <w:left w:w="80" w:type="dxa"/>
              <w:right w:w="80" w:type="dxa"/>
            </w:tcMar>
          </w:tcPr>
          <w:p>
            <w:pPr>
              <w:spacing w:before="0" w:after="0" w:line="264" w:lineRule="auto"/>
              <w:jc w:val="left"/>
            </w:pPr>
            <w:r>
              <w:rPr>
                <w:rFonts w:ascii="Arial" w:hAnsi="Arial"/>
                <w:color w:val="222222"/>
                <w:sz w:val="17"/>
              </w:rPr>
              <w:t>Material de Consumo</w:t>
            </w:r>
          </w:p>
        </w:tc>
        <w:tc>
          <w:tcPr>
            <w:tcW w:type="dxa" w:w="5184"/>
            <w:shd w:fill="FAFAFA"/>
            <w:tcMar>
              <w:top w:w="60" w:type="dxa"/>
              <w:bottom w:w="60" w:type="dxa"/>
              <w:left w:w="80" w:type="dxa"/>
              <w:right w:w="80" w:type="dxa"/>
            </w:tcMar>
          </w:tcPr>
          <w:p>
            <w:pPr>
              <w:spacing w:before="0" w:after="0" w:line="264" w:lineRule="auto"/>
              <w:jc w:val="left"/>
            </w:pPr>
            <w:r>
              <w:rPr>
                <w:rFonts w:ascii="Arial" w:hAnsi="Arial"/>
                <w:color w:val="222222"/>
                <w:sz w:val="17"/>
              </w:rPr>
              <w:t>Sensores (DHT22, BMP280, VEML7700, DS18B20), ESP32, cabos, cartões SD, caixas IP65</w:t>
            </w:r>
          </w:p>
        </w:tc>
        <w:tc>
          <w:tcPr>
            <w:tcW w:type="dxa" w:w="1440"/>
            <w:shd w:fill="FAFAFA"/>
            <w:tcMar>
              <w:top w:w="60" w:type="dxa"/>
              <w:bottom w:w="60" w:type="dxa"/>
              <w:left w:w="80" w:type="dxa"/>
              <w:right w:w="80" w:type="dxa"/>
            </w:tcMar>
          </w:tcPr>
          <w:p>
            <w:pPr>
              <w:spacing w:before="0" w:after="0" w:line="264" w:lineRule="auto"/>
              <w:jc w:val="center"/>
            </w:pPr>
            <w:r>
              <w:rPr>
                <w:rFonts w:ascii="Arial" w:hAnsi="Arial"/>
                <w:color w:val="222222"/>
                <w:sz w:val="17"/>
              </w:rPr>
              <w:t>Itens bancada</w:t>
            </w:r>
          </w:p>
        </w:tc>
        <w:tc>
          <w:tcPr>
            <w:tcW w:type="dxa" w:w="1440"/>
            <w:shd w:fill="FAFAFA"/>
            <w:tcMar>
              <w:top w:w="60" w:type="dxa"/>
              <w:bottom w:w="60" w:type="dxa"/>
              <w:left w:w="80" w:type="dxa"/>
              <w:right w:w="80" w:type="dxa"/>
            </w:tcMar>
          </w:tcPr>
          <w:p>
            <w:pPr>
              <w:spacing w:before="0" w:after="0" w:line="264" w:lineRule="auto"/>
              <w:jc w:val="center"/>
            </w:pPr>
            <w:r>
              <w:rPr>
                <w:rFonts w:ascii="Arial" w:hAnsi="Arial"/>
                <w:color w:val="222222"/>
                <w:sz w:val="17"/>
              </w:rPr>
              <w:t>Recursos Lab</w:t>
            </w:r>
          </w:p>
        </w:tc>
      </w:tr>
      <w:tr>
        <w:tc>
          <w:tcPr>
            <w:tcW w:type="dxa" w:w="2016"/>
            <w:shd w:fill="FFFFFF"/>
            <w:tcMar>
              <w:top w:w="60" w:type="dxa"/>
              <w:bottom w:w="60" w:type="dxa"/>
              <w:left w:w="80" w:type="dxa"/>
              <w:right w:w="80" w:type="dxa"/>
            </w:tcMar>
          </w:tcPr>
          <w:p>
            <w:pPr>
              <w:spacing w:before="0" w:after="0" w:line="264" w:lineRule="auto"/>
              <w:jc w:val="left"/>
            </w:pPr>
            <w:r>
              <w:rPr>
                <w:rFonts w:ascii="Arial" w:hAnsi="Arial"/>
                <w:color w:val="222222"/>
                <w:sz w:val="17"/>
              </w:rPr>
              <w:t>Material Permanente</w:t>
            </w:r>
          </w:p>
        </w:tc>
        <w:tc>
          <w:tcPr>
            <w:tcW w:type="dxa" w:w="5184"/>
            <w:shd w:fill="FFFFFF"/>
            <w:tcMar>
              <w:top w:w="60" w:type="dxa"/>
              <w:bottom w:w="60" w:type="dxa"/>
              <w:left w:w="80" w:type="dxa"/>
              <w:right w:w="80" w:type="dxa"/>
            </w:tcMar>
          </w:tcPr>
          <w:p>
            <w:pPr>
              <w:spacing w:before="0" w:after="0" w:line="264" w:lineRule="auto"/>
              <w:jc w:val="left"/>
            </w:pPr>
            <w:r>
              <w:rPr>
                <w:rFonts w:ascii="Arial" w:hAnsi="Arial"/>
                <w:color w:val="222222"/>
                <w:sz w:val="17"/>
              </w:rPr>
              <w:t>Computador e instrumentos de medição (osciloscópio/multímetro) do laboratório</w:t>
            </w:r>
          </w:p>
        </w:tc>
        <w:tc>
          <w:tcPr>
            <w:tcW w:type="dxa" w:w="1440"/>
            <w:shd w:fill="FFFFFF"/>
            <w:tcMar>
              <w:top w:w="60" w:type="dxa"/>
              <w:bottom w:w="60" w:type="dxa"/>
              <w:left w:w="80" w:type="dxa"/>
              <w:right w:w="80" w:type="dxa"/>
            </w:tcMar>
          </w:tcPr>
          <w:p>
            <w:pPr>
              <w:spacing w:before="0" w:after="0" w:line="264" w:lineRule="auto"/>
              <w:jc w:val="center"/>
            </w:pPr>
            <w:r>
              <w:rPr>
                <w:rFonts w:ascii="Arial" w:hAnsi="Arial"/>
                <w:color w:val="222222"/>
                <w:sz w:val="17"/>
              </w:rPr>
              <w:t>Existente</w:t>
            </w:r>
          </w:p>
        </w:tc>
        <w:tc>
          <w:tcPr>
            <w:tcW w:type="dxa" w:w="1440"/>
            <w:shd w:fill="FFFFFF"/>
            <w:tcMar>
              <w:top w:w="60" w:type="dxa"/>
              <w:bottom w:w="60" w:type="dxa"/>
              <w:left w:w="80" w:type="dxa"/>
              <w:right w:w="80" w:type="dxa"/>
            </w:tcMar>
          </w:tcPr>
          <w:p>
            <w:pPr>
              <w:spacing w:before="0" w:after="0" w:line="264" w:lineRule="auto"/>
              <w:jc w:val="center"/>
            </w:pPr>
            <w:r>
              <w:rPr>
                <w:rFonts w:ascii="Arial" w:hAnsi="Arial"/>
                <w:color w:val="222222"/>
                <w:sz w:val="17"/>
              </w:rPr>
              <w:t>R$ 0,00</w:t>
            </w:r>
          </w:p>
        </w:tc>
      </w:tr>
      <w:tr>
        <w:tc>
          <w:tcPr>
            <w:tcW w:type="dxa" w:w="2016"/>
            <w:shd w:fill="FAFAFA"/>
            <w:tcMar>
              <w:top w:w="60" w:type="dxa"/>
              <w:bottom w:w="60" w:type="dxa"/>
              <w:left w:w="80" w:type="dxa"/>
              <w:right w:w="80" w:type="dxa"/>
            </w:tcMar>
          </w:tcPr>
          <w:p>
            <w:pPr>
              <w:spacing w:before="0" w:after="0" w:line="264" w:lineRule="auto"/>
              <w:jc w:val="left"/>
            </w:pPr>
            <w:r>
              <w:rPr>
                <w:rFonts w:ascii="Arial" w:hAnsi="Arial"/>
                <w:color w:val="222222"/>
                <w:sz w:val="17"/>
              </w:rPr>
              <w:t>Serviços Terceiros</w:t>
            </w:r>
          </w:p>
        </w:tc>
        <w:tc>
          <w:tcPr>
            <w:tcW w:type="dxa" w:w="5184"/>
            <w:shd w:fill="FAFAFA"/>
            <w:tcMar>
              <w:top w:w="60" w:type="dxa"/>
              <w:bottom w:w="60" w:type="dxa"/>
              <w:left w:w="80" w:type="dxa"/>
              <w:right w:w="80" w:type="dxa"/>
            </w:tcMar>
          </w:tcPr>
          <w:p>
            <w:pPr>
              <w:spacing w:before="0" w:after="0" w:line="264" w:lineRule="auto"/>
              <w:jc w:val="left"/>
            </w:pPr>
            <w:r>
              <w:rPr>
                <w:rFonts w:ascii="Arial" w:hAnsi="Arial"/>
                <w:color w:val="222222"/>
                <w:sz w:val="17"/>
              </w:rPr>
              <w:t>Não previstos</w:t>
            </w:r>
          </w:p>
        </w:tc>
        <w:tc>
          <w:tcPr>
            <w:tcW w:type="dxa" w:w="1440"/>
            <w:shd w:fill="FAFAFA"/>
            <w:tcMar>
              <w:top w:w="60" w:type="dxa"/>
              <w:bottom w:w="60" w:type="dxa"/>
              <w:left w:w="80" w:type="dxa"/>
              <w:right w:w="80" w:type="dxa"/>
            </w:tcMar>
          </w:tcPr>
          <w:p>
            <w:pPr>
              <w:spacing w:before="0" w:after="0" w:line="264" w:lineRule="auto"/>
              <w:jc w:val="center"/>
            </w:pPr>
            <w:r>
              <w:rPr>
                <w:rFonts w:ascii="Arial" w:hAnsi="Arial"/>
                <w:color w:val="222222"/>
                <w:sz w:val="17"/>
              </w:rPr>
              <w:t>-</w:t>
            </w:r>
          </w:p>
        </w:tc>
        <w:tc>
          <w:tcPr>
            <w:tcW w:type="dxa" w:w="1440"/>
            <w:shd w:fill="FAFAFA"/>
            <w:tcMar>
              <w:top w:w="60" w:type="dxa"/>
              <w:bottom w:w="60" w:type="dxa"/>
              <w:left w:w="80" w:type="dxa"/>
              <w:right w:w="80" w:type="dxa"/>
            </w:tcMar>
          </w:tcPr>
          <w:p>
            <w:pPr>
              <w:spacing w:before="0" w:after="0" w:line="264" w:lineRule="auto"/>
              <w:jc w:val="center"/>
            </w:pPr>
            <w:r>
              <w:rPr>
                <w:rFonts w:ascii="Arial" w:hAnsi="Arial"/>
                <w:color w:val="222222"/>
                <w:sz w:val="17"/>
              </w:rPr>
              <w:t>R$ 0,00</w:t>
            </w:r>
          </w:p>
        </w:tc>
      </w:tr>
    </w:tbl>
    <w:p>
      <w:pPr>
        <w:spacing w:before="0" w:after="120" w:line="240" w:lineRule="auto"/>
      </w:pPr>
    </w:p>
    <w:tbl>
      <w:tblPr>
        <w:tblW w:type="auto" w:w="0"/>
        <w:jc w:val="center"/>
        <w:tblLayout w:type="fixed"/>
        <w:tblLook w:firstColumn="1" w:firstRow="1" w:lastColumn="0" w:lastRow="0" w:noHBand="0" w:noVBand="1" w:val="04A0"/>
      </w:tblPr>
      <w:tblGrid>
        <w:gridCol w:w="9936"/>
      </w:tblGrid>
      <w:tr>
        <w:tc>
          <w:tcPr>
            <w:tcW w:type="dxa" w:w="10080"/>
            <w:shd w:fill="0F3460"/>
            <w:tcMar>
              <w:top w:w="80" w:type="dxa"/>
              <w:bottom w:w="80" w:type="dxa"/>
              <w:left w:w="120" w:type="dxa"/>
              <w:right w:w="120" w:type="dxa"/>
            </w:tcMar>
          </w:tcPr>
          <w:p>
            <w:pPr>
              <w:spacing w:before="0" w:after="0" w:line="240" w:lineRule="auto"/>
              <w:jc w:val="left"/>
            </w:pPr>
            <w:r>
              <w:rPr>
                <w:rFonts w:ascii="Arial" w:hAnsi="Arial"/>
                <w:b/>
                <w:color w:val="FFFFFF"/>
                <w:sz w:val="19"/>
              </w:rPr>
              <w:t>6. PLANO DE DIVULGAÇÃO CIENTÍFICA (até 250 palavras)</w:t>
            </w:r>
          </w:p>
        </w:tc>
      </w:tr>
    </w:tbl>
    <w:p>
      <w:pPr>
        <w:spacing w:before="0" w:after="40" w:line="240" w:lineRule="auto"/>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10080"/>
            <w:shd w:fill="E2E8F0"/>
            <w:tcMar>
              <w:top w:w="60" w:type="dxa"/>
              <w:bottom w:w="60" w:type="dxa"/>
              <w:left w:w="100" w:type="dxa"/>
              <w:right w:w="100" w:type="dxa"/>
            </w:tcMar>
          </w:tcPr>
          <w:p>
            <w:pPr>
              <w:spacing w:before="0" w:after="0" w:line="240" w:lineRule="auto"/>
            </w:pPr>
            <w:r>
              <w:rPr>
                <w:rFonts w:ascii="Arial" w:hAnsi="Arial"/>
                <w:b/>
                <w:color w:val="0F3460"/>
                <w:sz w:val="18"/>
              </w:rPr>
              <w:t>6.1. Formas de Divulgação Científica</w:t>
            </w:r>
          </w:p>
        </w:tc>
      </w:tr>
      <w:tr>
        <w:tc>
          <w:tcPr>
            <w:tcW w:type="dxa" w:w="10080"/>
            <w:shd w:fill="F1F5F9"/>
            <w:tcMar>
              <w:top w:w="80" w:type="dxa"/>
              <w:bottom w:w="80" w:type="dxa"/>
              <w:left w:w="100" w:type="dxa"/>
              <w:right w:w="100" w:type="dxa"/>
            </w:tcMar>
          </w:tcPr>
          <w:p>
            <w:pPr>
              <w:spacing w:before="0" w:after="0" w:line="276" w:lineRule="auto"/>
              <w:jc w:val="both"/>
            </w:pPr>
            <w:r>
              <w:rPr>
                <w:rFonts w:ascii="Arial" w:hAnsi="Arial"/>
                <w:color w:val="222222"/>
                <w:sz w:val="18"/>
              </w:rPr>
              <w:t>A divulgação do conhecimento gerado no projeto seguirá plano estruturado em três níveis:</w:t>
              <w:br/>
              <w:t>1. Comunidade Acadêmica Local: Apresentação obrigatória no Encontro de Iniciação Científica e Tecnológica da UFU, com elaboração de resumo expandido e apresentação oral/pôster técnico.</w:t>
              <w:br/>
              <w:t>2. Comunidade Científica Externa: Elaboração e submissão de artigo técnico-científico em congresso nacional de automação ou engenharia agrícola (ex: Congresso Brasileiro de Engenharia Agrícola - CONBEA ou Simpósio Brasileiro de Automação Inteligente - SBAI).</w:t>
              <w:br/>
              <w:t>3. Sociedade e Produtores: Disponibilização da documentação técnica e código-fonte em repositório público de acesso aberto (GitHub), além de confecção de manual de montagem ilustrado para incentivo ao uso da tecnologia por escolas técnicas e produtores familiares.</w:t>
            </w:r>
          </w:p>
        </w:tc>
      </w:tr>
    </w:tbl>
    <w:p>
      <w:pPr>
        <w:spacing w:before="0" w:after="80" w:line="240" w:lineRule="auto"/>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