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77240" cy="8162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_img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816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2" w:lineRule="auto" w:after="280"/>
        <w:jc w:val="center"/>
      </w:pPr>
      <w:r>
        <w:rPr>
          <w:rFonts w:ascii="Arial" w:hAnsi="Arial"/>
          <w:b/>
          <w:color w:val="1E293B"/>
          <w:sz w:val="20"/>
        </w:rPr>
        <w:t>SERVIÇO PÚBLICO FEDERAL</w:t>
        <w:br/>
      </w:r>
      <w:r>
        <w:rPr>
          <w:rFonts w:ascii="Arial" w:hAnsi="Arial"/>
          <w:b/>
          <w:color w:val="1E293B"/>
          <w:sz w:val="20"/>
        </w:rPr>
        <w:t>MINISTÉRIO DA EDUCAÇÃO</w:t>
        <w:br/>
      </w:r>
      <w:r>
        <w:rPr>
          <w:rFonts w:ascii="Arial" w:hAnsi="Arial"/>
          <w:b/>
          <w:color w:val="0F172A"/>
          <w:sz w:val="22"/>
        </w:rPr>
        <w:t>UNIVERSIDADE FEDERAL DE UBERLÂNDIA</w:t>
        <w:br/>
      </w:r>
      <w:r>
        <w:rPr>
          <w:rFonts w:ascii="Arial" w:hAnsi="Arial"/>
          <w:b/>
          <w:color w:val="475569"/>
          <w:sz w:val="18"/>
        </w:rPr>
        <w:t>PRÓ-REITORIA DE PESQUISA E PÓS-GRADUAÇÃO</w:t>
        <w:br/>
      </w:r>
      <w:r>
        <w:rPr>
          <w:rFonts w:ascii="Arial" w:hAnsi="Arial"/>
          <w:b/>
          <w:color w:val="475569"/>
          <w:sz w:val="18"/>
        </w:rPr>
        <w:t>DIRETORIA DE PESQUISA</w:t>
        <w:br/>
      </w:r>
      <w:r>
        <w:rPr>
          <w:rFonts w:ascii="Arial" w:hAnsi="Arial"/>
          <w:b/>
          <w:color w:val="475569"/>
          <w:sz w:val="18"/>
        </w:rPr>
        <w:t>DIVISÃO DE FOMENTO A PROGRAMAS E PROJETOS</w:t>
        <w:br/>
      </w:r>
      <w:r>
        <w:br/>
      </w:r>
      <w:r>
        <w:rPr>
          <w:rFonts w:ascii="Arial" w:hAnsi="Arial"/>
          <w:b/>
          <w:color w:val="0F172A"/>
          <w:sz w:val="24"/>
        </w:rPr>
        <w:t>ANEXO I – PROPOSTA DE ATIVIDADE DE PESQUISA</w:t>
        <w:br/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2"/>
        </w:rPr>
        <w:t>1. INFORMAÇÕES INSTITUCIONAIS DO(A) COORDENADOR(A)</w:t>
      </w:r>
    </w:p>
    <w:p>
      <w:pPr>
        <w:spacing w:line="276" w:lineRule="auto" w:after="100"/>
      </w:pPr>
      <w:r>
        <w:rPr>
          <w:rFonts w:ascii="Arial" w:hAnsi="Arial"/>
          <w:b/>
          <w:color w:val="1E293B"/>
          <w:sz w:val="20"/>
        </w:rPr>
        <w:t xml:space="preserve">1.1. Nome*: </w:t>
      </w:r>
      <w:r>
        <w:rPr>
          <w:rFonts w:ascii="Arial" w:hAnsi="Arial"/>
          <w:color w:val="0F172A"/>
          <w:sz w:val="20"/>
        </w:rPr>
        <w:t>[Nome do(a) Orientador(a) / Coordenador(a)]</w:t>
      </w:r>
    </w:p>
    <w:p>
      <w:pPr>
        <w:spacing w:line="276" w:lineRule="auto" w:after="100"/>
      </w:pPr>
      <w:r>
        <w:rPr>
          <w:rFonts w:ascii="Arial" w:hAnsi="Arial"/>
          <w:b/>
          <w:color w:val="1E293B"/>
          <w:sz w:val="20"/>
        </w:rPr>
        <w:t xml:space="preserve">1.2. E-mail*: </w:t>
      </w:r>
      <w:r>
        <w:rPr>
          <w:rFonts w:ascii="Arial" w:hAnsi="Arial"/>
          <w:color w:val="0F172A"/>
          <w:sz w:val="20"/>
        </w:rPr>
        <w:t>[email.orientador@ufu.br]</w:t>
      </w:r>
    </w:p>
    <w:p>
      <w:pPr>
        <w:spacing w:line="276" w:lineRule="auto" w:after="100"/>
      </w:pPr>
      <w:r>
        <w:rPr>
          <w:rFonts w:ascii="Arial" w:hAnsi="Arial"/>
          <w:b/>
          <w:color w:val="1E293B"/>
          <w:sz w:val="20"/>
        </w:rPr>
        <w:t xml:space="preserve">1.3. Unidade Acadêmica ou Administrativa*: </w:t>
      </w:r>
      <w:r>
        <w:rPr>
          <w:rFonts w:ascii="Arial" w:hAnsi="Arial"/>
          <w:color w:val="0F172A"/>
          <w:sz w:val="20"/>
        </w:rPr>
        <w:t>Faculdade de Engenharia / Instituto de Ciências Agrárias</w:t>
      </w:r>
    </w:p>
    <w:p>
      <w:pPr>
        <w:spacing w:line="276" w:lineRule="auto" w:after="100"/>
      </w:pPr>
      <w:r>
        <w:rPr>
          <w:rFonts w:ascii="Arial" w:hAnsi="Arial"/>
          <w:b/>
          <w:color w:val="1E293B"/>
          <w:sz w:val="20"/>
        </w:rPr>
        <w:t xml:space="preserve">1.4. Campus*: </w:t>
      </w:r>
      <w:r>
        <w:rPr>
          <w:rFonts w:ascii="Arial" w:hAnsi="Arial"/>
          <w:color w:val="0F172A"/>
          <w:sz w:val="20"/>
        </w:rPr>
        <w:t>Campus Santa Mônica / Campus Glória - UFU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2"/>
        </w:rPr>
        <w:t>2. DESCRIÇÃO DO PROJETO DE PESQUISA</w:t>
      </w:r>
    </w:p>
    <w:p>
      <w:pPr>
        <w:spacing w:line="276" w:lineRule="auto" w:after="100"/>
      </w:pPr>
      <w:r>
        <w:rPr>
          <w:rFonts w:ascii="Arial" w:hAnsi="Arial"/>
          <w:b/>
          <w:color w:val="1E293B"/>
          <w:sz w:val="20"/>
        </w:rPr>
        <w:t xml:space="preserve">2.1. Código do Edital*: </w:t>
      </w:r>
      <w:r>
        <w:rPr>
          <w:rFonts w:ascii="Arial" w:hAnsi="Arial"/>
          <w:color w:val="0F172A"/>
          <w:sz w:val="20"/>
        </w:rPr>
        <w:t>DIRPE / Edital PIBIC/PIBITI</w:t>
      </w:r>
      <w:r>
        <w:rPr>
          <w:rFonts w:ascii="Arial" w:hAnsi="Arial"/>
          <w:i/>
          <w:color w:val="64748B"/>
          <w:sz w:val="17"/>
        </w:rPr>
        <w:t xml:space="preserve"> (Marcar: ( X ) PIBITI-CNPq | ( ) PIBIC-CNPq | ( ) PIBIC-FAPEMIG | ( ) PIVIC)</w:t>
      </w:r>
    </w:p>
    <w:p>
      <w:pPr>
        <w:spacing w:line="276" w:lineRule="auto" w:after="100"/>
      </w:pPr>
      <w:r>
        <w:rPr>
          <w:rFonts w:ascii="Arial" w:hAnsi="Arial"/>
          <w:b/>
          <w:color w:val="1E293B"/>
          <w:sz w:val="20"/>
        </w:rPr>
        <w:t xml:space="preserve">2.2. Título*: </w:t>
      </w:r>
      <w:r>
        <w:rPr>
          <w:rFonts w:ascii="Arial" w:hAnsi="Arial"/>
          <w:color w:val="0F172A"/>
          <w:sz w:val="20"/>
        </w:rPr>
        <w:t>Desenvolvimento de Sistema IoT de Baixo Custo para Monitoramento e Controle Microclimático em Estufas e Câmaras de Germinação (Central Agroclima)</w:t>
      </w:r>
    </w:p>
    <w:p>
      <w:pPr>
        <w:spacing w:line="276" w:lineRule="auto" w:after="100"/>
      </w:pPr>
      <w:r>
        <w:rPr>
          <w:rFonts w:ascii="Arial" w:hAnsi="Arial"/>
          <w:b/>
          <w:color w:val="1E293B"/>
          <w:sz w:val="20"/>
        </w:rPr>
        <w:t xml:space="preserve">2.3. Palavras-Chave*: </w:t>
      </w:r>
      <w:r>
        <w:rPr>
          <w:rFonts w:ascii="Arial" w:hAnsi="Arial"/>
          <w:color w:val="0F172A"/>
          <w:sz w:val="20"/>
        </w:rPr>
        <w:t>Internet das Coisas. Climatização Agrícola. Automação de Baixo Custo.</w:t>
      </w:r>
    </w:p>
    <w:p>
      <w:pPr>
        <w:spacing w:line="276" w:lineRule="auto" w:after="100"/>
      </w:pPr>
      <w:r>
        <w:rPr>
          <w:rFonts w:ascii="Arial" w:hAnsi="Arial"/>
          <w:b/>
          <w:color w:val="1E293B"/>
          <w:sz w:val="20"/>
        </w:rPr>
        <w:t xml:space="preserve">2.4. Área do Conhecimento*: </w:t>
      </w:r>
      <w:r>
        <w:rPr>
          <w:rFonts w:ascii="Arial" w:hAnsi="Arial"/>
          <w:color w:val="0F172A"/>
          <w:sz w:val="20"/>
        </w:rPr>
        <w:t>( X ) Engenharias / ( X ) Ciências Agrárias</w:t>
      </w:r>
    </w:p>
    <w:p>
      <w:pPr>
        <w:spacing w:line="276" w:lineRule="auto" w:after="100"/>
      </w:pPr>
      <w:r>
        <w:rPr>
          <w:rFonts w:ascii="Arial" w:hAnsi="Arial"/>
          <w:b/>
          <w:color w:val="1E293B"/>
          <w:sz w:val="20"/>
        </w:rPr>
        <w:t xml:space="preserve">2.5. Grupo de Pesquisa CNPq: </w:t>
      </w:r>
      <w:r>
        <w:rPr>
          <w:rFonts w:ascii="Arial" w:hAnsi="Arial"/>
          <w:color w:val="0F172A"/>
          <w:sz w:val="20"/>
        </w:rPr>
        <w:t>Automação, Sistemas Embarcados e Agricultura de Precisão</w:t>
      </w:r>
    </w:p>
    <w:p>
      <w:pPr>
        <w:spacing w:line="276" w:lineRule="auto" w:after="100"/>
      </w:pPr>
      <w:r>
        <w:rPr>
          <w:rFonts w:ascii="Arial" w:hAnsi="Arial"/>
          <w:b/>
          <w:color w:val="1E293B"/>
          <w:sz w:val="20"/>
        </w:rPr>
        <w:t xml:space="preserve">2.6. Arranjo Institucional: </w:t>
      </w:r>
      <w:r>
        <w:rPr>
          <w:rFonts w:ascii="Arial" w:hAnsi="Arial"/>
          <w:color w:val="0F172A"/>
          <w:sz w:val="20"/>
        </w:rPr>
        <w:t>Universidade Federal de Uberlândia (UFU) - Laboratórios de Pesquisa Aplicada</w:t>
      </w:r>
    </w:p>
    <w:p>
      <w:pPr>
        <w:spacing w:line="276" w:lineRule="auto" w:after="100"/>
      </w:pPr>
      <w:r>
        <w:rPr>
          <w:rFonts w:ascii="Arial" w:hAnsi="Arial"/>
          <w:b/>
          <w:color w:val="1E293B"/>
          <w:sz w:val="20"/>
        </w:rPr>
        <w:t xml:space="preserve">2.7. Protocolo Ética/Biossegurança: </w:t>
      </w:r>
      <w:r>
        <w:rPr>
          <w:rFonts w:ascii="Arial" w:hAnsi="Arial"/>
          <w:color w:val="0F172A"/>
          <w:sz w:val="20"/>
        </w:rPr>
        <w:t>Não se aplica (pesquisa tecnológica em bancada sem uso de modelos animais ou seres humanos)</w:t>
      </w:r>
    </w:p>
    <w:p>
      <w:pPr>
        <w:spacing w:line="276" w:lineRule="auto" w:after="100"/>
      </w:pPr>
      <w:r>
        <w:rPr>
          <w:rFonts w:ascii="Arial" w:hAnsi="Arial"/>
          <w:b/>
          <w:color w:val="1E293B"/>
          <w:sz w:val="20"/>
        </w:rPr>
        <w:t xml:space="preserve">2.8. Projeto Integrado / Linha: </w:t>
      </w:r>
      <w:r>
        <w:rPr>
          <w:rFonts w:ascii="Arial" w:hAnsi="Arial"/>
          <w:color w:val="0F172A"/>
          <w:sz w:val="20"/>
        </w:rPr>
        <w:t>Automação e Controle em Sistemas Agrícolas Sustentáveis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2"/>
        </w:rPr>
        <w:t>3. VIÉS TECNOLÓGICO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76" w:lineRule="auto" w:after="80"/>
            </w:pPr>
            <w:r>
              <w:rPr>
                <w:rFonts w:ascii="Arial" w:hAnsi="Arial"/>
                <w:b/>
                <w:color w:val="1E293B"/>
                <w:sz w:val="20"/>
              </w:rPr>
              <w:t>3.1. Inovação Tecnológica, Avanços e Nível TRL</w:t>
              <w:br/>
            </w:r>
            <w:r>
              <w:rPr>
                <w:rFonts w:ascii="Arial" w:hAnsi="Arial"/>
                <w:i/>
                <w:color w:val="64748B"/>
                <w:sz w:val="17"/>
              </w:rPr>
              <w:t>(até 500 palavras - Eliminatório: Apto ou Inapto)</w:t>
              <w:br/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O projeto apresenta caráter de inovação tecnológica ao integrar microcontroladores de baixo custo (ESP32) com uma arquitetura híbrida de automação: os dispositivos operam com total autonomia local para controle de temperatura, umidade e fotoperíodo (através de rotinas de histerese e relógios em tempo real), ao mesmo tempo em que transmitem telemetria contínua via Wi-Fi para um servidor central.</w:t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Diferente das soluções industriais proprietárias de alto custo, a Central Agroclima utiliza hardware acessível, protocolos abertos e uma interface web moderna que permite a pesquisadores monitorar e alterar parâmetros (setpoints) remotamente de qualquer computador ou smartphone.</w:t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Os avanços tecnológicos compreendem: redundância de conectividade com chaveamento automático entre rede local e túnel seguro HTTPS, registro histórico em banco de dados relacional para rastreabilidade de experimentos agronômicos e sistema de parada emergencial remota.</w:t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Nível de Maturidade Tecnológica (TRL): O projeto situa-se no TRL 5 a TRL 6, contando com protótipos funcionais já construídos, testados e validados em ambiente de laboratório e bancada de ensaios práticos.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2"/>
        </w:rPr>
        <w:t>4. DETALHAMENTO DA PROPOSTA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76" w:lineRule="auto" w:after="80"/>
            </w:pPr>
            <w:r>
              <w:rPr>
                <w:rFonts w:ascii="Arial" w:hAnsi="Arial"/>
                <w:b/>
                <w:color w:val="1E293B"/>
                <w:sz w:val="20"/>
              </w:rPr>
              <w:t>4.1. Resumo</w:t>
              <w:br/>
            </w:r>
            <w:r>
              <w:rPr>
                <w:rFonts w:ascii="Arial" w:hAnsi="Arial"/>
                <w:i/>
                <w:color w:val="64748B"/>
                <w:sz w:val="17"/>
              </w:rPr>
              <w:t>(até 300 palavras - 15 pontos)</w:t>
              <w:br/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O controle preciso de temperatura, umidade e luminosidade é fundamental para o sucesso de pesquisas agronômicas, germinação de sementes e cultivo protegido. No entanto, sistemas industriais de controle ambiental costumam ter custos proibitivos para pequenos laboratórios e produtores.</w:t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Este projeto propõe o desenvolvimento e validação da 'Central Agroclima', uma plataforma aberta e de baixo custo baseada em Internet das Coisas (IoT). O sistema é composto por módulos controladores com ESP32 acoplados a sensores termo-higrométricos (DHT22) e atuadores (aquecedor cerâmico, cooler de ventilação, iluminação de fotoperíodo e bomba d'água), além de displays locais LCD. Os módulos comunicam-se via Wi-Fi com um servidor central em Node.js com banco de dados PostgreSQL, expondo um painel de controle web para monitoramento contínuo e parametrização remota.</w:t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O projeto visa entregar uma solução estável, capaz de manter condições ambientais estáveis de forma ininterrupta, registrando séries temporais completas para suporte à tomada de decisões e pesquisas agrícolas.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76" w:lineRule="auto" w:after="80"/>
            </w:pPr>
            <w:r>
              <w:rPr>
                <w:rFonts w:ascii="Arial" w:hAnsi="Arial"/>
                <w:b/>
                <w:color w:val="1E293B"/>
                <w:sz w:val="20"/>
              </w:rPr>
              <w:t>4.2. Problema Abordado e Pergunta/Hipótese Principal</w:t>
              <w:br/>
            </w:r>
            <w:r>
              <w:rPr>
                <w:rFonts w:ascii="Arial" w:hAnsi="Arial"/>
                <w:i/>
                <w:color w:val="64748B"/>
                <w:sz w:val="17"/>
              </w:rPr>
              <w:t>(até 250 palavras - 20 pontos)</w:t>
              <w:br/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Problema: A oscilação térmica e de umidade em ambientes de germinação e cultivo experimental causa perdas de lotes, heterogeneidade em ensaios biológicos e demanda constante intervenção humana manual para ajuste de ventiladores e aquecedores.</w:t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Pergunta de Pesquisa: É viável construir um sistema microclimático autônomo baseado em ESP32 e software livre capaz de garantir estabilidade térmica e de umidade em bancada, mantendo conectividade remota confiável mesmo em redes com restrições de IP?</w:t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Hipótese: A utilização de controle local por histerese no microcontrolador, combinada com transmissão periódica e redundante para um servidor central via túnel seguro, proporciona estabilidade aos experimentos com custo até 80% inferior às centrais comerciais.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76" w:lineRule="auto" w:after="80"/>
            </w:pPr>
            <w:r>
              <w:rPr>
                <w:rFonts w:ascii="Arial" w:hAnsi="Arial"/>
                <w:b/>
                <w:color w:val="1E293B"/>
                <w:sz w:val="20"/>
              </w:rPr>
              <w:t>4.3. Principais Referências Bibliográficas</w:t>
              <w:br/>
            </w:r>
            <w:r>
              <w:rPr>
                <w:rFonts w:ascii="Arial" w:hAnsi="Arial"/>
                <w:i/>
                <w:color w:val="64748B"/>
                <w:sz w:val="17"/>
              </w:rPr>
              <w:t>(até 250 palavras - 15 pontos)</w:t>
              <w:br/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1. AL-FUQAHA, A. et al. Internet of Things: A survey on enabling technologies, protocols, and applications. IEEE Communications Surveys &amp; Tutorials, 2015. Fundamenta a arquitetura IoT, protocolos leves de telemetria (HTTP/REST e JSON) e o modelo de comunicação cliente-servidor utilizado entre o microcontrolador ESP32 e a central web.</w:t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2. TAIZ, L.; ZEIGER, E. Fisiologia Vegetal. 6. ed. Porto Alegre: Artmed, 2017. Estabelece os limites ideais de temperatura, fotoperíodo e umidade exigidos para germinação e desenvolvimento vegetal, servindo de base para o algoritmo de histerese e setpoints microclimáticos.</w:t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3. MONK, S. Programando o ESP32 com a Arduino IDE. São Paulo: Novatec, 2020. Embasou a implementação prática das rotinas de interrupção, controle de GPIOs para relés e gerenciamento do cliente Wi-Fi com suporte a conexões seguras SSL/TLS.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76" w:lineRule="auto" w:after="80"/>
            </w:pPr>
            <w:r>
              <w:rPr>
                <w:rFonts w:ascii="Arial" w:hAnsi="Arial"/>
                <w:b/>
                <w:color w:val="1E293B"/>
                <w:sz w:val="20"/>
              </w:rPr>
              <w:t>4.4. Método Adotado</w:t>
              <w:br/>
            </w:r>
            <w:r>
              <w:rPr>
                <w:rFonts w:ascii="Arial" w:hAnsi="Arial"/>
                <w:i/>
                <w:color w:val="64748B"/>
                <w:sz w:val="17"/>
              </w:rPr>
              <w:t>(até 500 palavras - 20 pontos)</w:t>
              <w:br/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O método adotado é experimental e aplicado, estruturado nas seguintes etapas:</w:t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1. Projeto e Montagem de Hardware: Integração de sensores de temperatura e umidade (DHT22/SHT) a microcontroladores ESP32, dimensionamento de módulos relé com isolamento óptico para acionamento de cargas (aquecedor cerâmico, cooler de exaustão e luminária LED para fotoperíodo) e inclusão de display LCD I2C para leitura e diagnóstico local em bancada.</w:t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2. Desenvolvimento do Firmware Embarcado: Programação em C++ no ecossistema Arduino/ESP-IDF implementando máquina de estados para controle térmico por histerese, relógio sincronizado via NTP (UTC-3), tolerância a falhas (autonomia offline em caso de queda de rede) e rotina de despacho periódico de telemetria em formato JSON.</w:t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3. Arquitetura de Nuvem e Servidor: Estruturação do servidor backend (Node.js/Express) com persistência em banco de dados PostgreSQL e integração com túnel seguro HTTPS (Tailscale Funnel), permitindo a recepção de dados e o envio de comandos com chaveamento transparente entre rede local e internet pública.</w:t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4. Interface Web e Testes de Validação: Construção de dashboard web responsivo com visualização de gráficos temporais, indicadores de status e controles manuais. Realização de baterias de testes contínuos de 24h e 72h em bancada para aferição de desvio padrão de temperatura, tempo de resposta dos atuadores e confiabilidade da conexão.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Arial" w:hAnsi="Arial"/>
          <w:b/>
          <w:sz w:val="20"/>
        </w:rPr>
        <w:t>4.5. Metas de Produção Intelectual e Tecnológica com o Estudante* (5 pontos):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E2E8F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META</w:t>
            </w:r>
          </w:p>
        </w:tc>
        <w:tc>
          <w:tcPr>
            <w:tcW w:type="dxa" w:w="5328"/>
            <w:shd w:fill="E2E8F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DESCRIÇÃO DETALHADA</w:t>
            </w:r>
          </w:p>
        </w:tc>
        <w:tc>
          <w:tcPr>
            <w:tcW w:type="dxa" w:w="1584"/>
            <w:shd w:fill="E2E8F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QUANTIDADE</w:t>
            </w:r>
          </w:p>
        </w:tc>
        <w:tc>
          <w:tcPr>
            <w:tcW w:type="dxa" w:w="1872"/>
            <w:shd w:fill="E2E8F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PREVISÃO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53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Montagem, calibração e teste de bancada dos circuitos eletrônicos e sensores dos módulos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02 protótipos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Mês 03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53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Desenvolvimento do firmware embarcado autônomo com histerese e integração Wi-Fi/HTTPS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01 firmware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Mês 06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53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Implantação do servidor central, banco de dados e painel web responsivo (Dashboard)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01 plataforma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Mês 09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53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Apresentação de trabalho e resumo no Encontro de Iniciação Científica e Tecnológica da UFU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01 trabalho/resumo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Mês 12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76" w:lineRule="auto" w:after="80"/>
            </w:pPr>
            <w:r>
              <w:rPr>
                <w:rFonts w:ascii="Arial" w:hAnsi="Arial"/>
                <w:b/>
                <w:color w:val="1E293B"/>
                <w:sz w:val="20"/>
              </w:rPr>
              <w:t>4.6. Relevância para a UFU e Impactos Esperados</w:t>
              <w:br/>
            </w:r>
            <w:r>
              <w:rPr>
                <w:rFonts w:ascii="Arial" w:hAnsi="Arial"/>
                <w:i/>
                <w:color w:val="64748B"/>
                <w:sz w:val="17"/>
              </w:rPr>
              <w:t>(até 500 palavras - 20 pontos)</w:t>
              <w:br/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A aprovação desta Proposta de Atividade de Pesquisa é de grande relevância institucional para a UFU por promover o desenvolvimento de tecnologia própria voltada à agrocomputação e à agricultura de precisão.</w:t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Impactos Científicos e Tecnológicos: Disponibiliza para os laboratórios de agronomia e biologia da universidade uma infraestrutura replicável e de código aberto para testes de germinação e microclima, gerando dados experimentais confiáveis e publicáveis.</w:t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Impactos Econômicos e Sociais: Oferece uma solução com custo cerca de 80% inferior aos controladores comerciais fechados, viabilizando a modernização de estufas escolares e de pequenos produtores rurais.</w:t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Impacto na Formação Acadêmica: Proporciona ao aluno de graduação capacitação prática e multidisciplinar integrando eletrônica embarcada, redes, segurança em nuvem e desenvolvimento de software web.</w:t>
            </w:r>
          </w:p>
        </w:tc>
      </w:tr>
    </w:tbl>
    <w:p>
      <w:pPr>
        <w:spacing w:before="0" w:after="80"/>
      </w:pPr>
    </w:p>
    <w:p>
      <w:pPr>
        <w:spacing w:line="276" w:lineRule="auto" w:after="100"/>
      </w:pPr>
      <w:r>
        <w:rPr>
          <w:rFonts w:ascii="Arial" w:hAnsi="Arial"/>
          <w:b/>
          <w:color w:val="1E293B"/>
          <w:sz w:val="20"/>
        </w:rPr>
        <w:t xml:space="preserve">4.7. Relação com os Objetivos de Desenvolvimento Sustentável (ODS)*: </w:t>
      </w:r>
      <w:r>
        <w:rPr>
          <w:rFonts w:ascii="Arial" w:hAnsi="Arial"/>
          <w:color w:val="0F172A"/>
          <w:sz w:val="20"/>
        </w:rPr>
        <w:br/>
        <w:t>[X] ODS 2: Fome zero e agricultura sustentável</w:t>
        <w:br/>
        <w:t>[X] ODS 9: Indústria, inovação e infraestrutura</w:t>
        <w:br/>
        <w:t>[X] ODS 12: Consumo e produção responsáveis</w:t>
        <w:br/>
        <w:t>[X] ODS 13: Ação contra a mudança global do clima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76" w:lineRule="auto" w:after="80"/>
            </w:pPr>
            <w:r>
              <w:rPr>
                <w:rFonts w:ascii="Arial" w:hAnsi="Arial"/>
                <w:b/>
                <w:color w:val="1E293B"/>
                <w:sz w:val="20"/>
              </w:rPr>
              <w:t>4.8. Outras Informações Relevantes</w:t>
              <w:br/>
            </w:r>
            <w:r>
              <w:rPr>
                <w:rFonts w:ascii="Arial" w:hAnsi="Arial"/>
                <w:i/>
                <w:color w:val="64748B"/>
                <w:sz w:val="17"/>
              </w:rPr>
              <w:t>(até 100 palavras)</w:t>
              <w:br/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O projeto adota padrões de código aberto (Open Source Hardware e Software), garantindo que todos os esquemas elétricos, diagramas de ligação e códigos de programação possam ser aproveitados e expandidos por outros grupos de pesquisa da UFU.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2"/>
        </w:rPr>
        <w:t>5. RECURSOS FINANCEIROS PREVISTOS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DESPESAS</w:t>
            </w:r>
          </w:p>
        </w:tc>
        <w:tc>
          <w:tcPr>
            <w:tcW w:type="dxa" w:w="4320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DESCRIÇÃO DETALHADA</w:t>
            </w:r>
          </w:p>
        </w:tc>
        <w:tc>
          <w:tcPr>
            <w:tcW w:type="dxa" w:w="1440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QUANTIDADE</w:t>
            </w:r>
          </w:p>
        </w:tc>
        <w:tc>
          <w:tcPr>
            <w:tcW w:type="dxa" w:w="1584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VALOR TOTAL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Bolsa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Bolsa de Iniciação Tecnológica (PIBITI / PIBIC)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01 (12 meses)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R$ 8.400,00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Material de Consumo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Microcontroladores ESP32, sensores DHT22, módulos relé, fontes 12V/5V, fiação e bornes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01 lote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R$ 480,00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Material Permanente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Bancada e infraestrutura de computação do laboratório da UFU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Existente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R$ 0,00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Serviços de Terceiros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Hospedagem e serviços de nuvem sob camadas gratuitas acadêmicas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01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R$ 0,00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TOTAL PREVISTO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90" w:type="dxa"/>
              <w:right w:w="90" w:type="dxa"/>
            </w:tcMar>
            <w:shd w:fill="F1F5F9"/>
          </w:tcPr>
          <w:p>
            <w:r>
              <w:rPr>
                <w:rFonts w:ascii="Arial" w:hAnsi="Arial"/>
                <w:b/>
                <w:sz w:val="17"/>
              </w:rPr>
              <w:t>Custeio de materiais provido pelo laboratório / Bolsa via agência de fomento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-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R$ 8.880,00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2"/>
        </w:rPr>
        <w:t>6. PLANO DE DIVULGAÇÃO CIENTÍFICA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76" w:lineRule="auto" w:after="80"/>
            </w:pPr>
            <w:r>
              <w:rPr>
                <w:rFonts w:ascii="Arial" w:hAnsi="Arial"/>
                <w:b/>
                <w:color w:val="1E293B"/>
                <w:sz w:val="20"/>
              </w:rPr>
              <w:t>6.1. Formas de Divulgação do Trabalho</w:t>
              <w:br/>
            </w:r>
            <w:r>
              <w:rPr>
                <w:rFonts w:ascii="Arial" w:hAnsi="Arial"/>
                <w:i/>
                <w:color w:val="64748B"/>
                <w:sz w:val="17"/>
              </w:rPr>
              <w:t>(até 250 palavras - 5 pontos)</w:t>
              <w:br/>
            </w:r>
          </w:p>
          <w:p>
            <w:pPr>
              <w:spacing w:line="276" w:lineRule="auto" w:after="80"/>
            </w:pPr>
            <w:r>
              <w:rPr>
                <w:rFonts w:ascii="Arial" w:hAnsi="Arial"/>
                <w:color w:val="0F172A"/>
                <w:sz w:val="20"/>
              </w:rPr>
              <w:t>A divulgação será realizada por meio de:</w:t>
              <w:br/>
              <w:t>1. Apresentação oral e resumo expandido no Encontro de Iniciação Científica e Tecnológica da UFU;</w:t>
              <w:br/>
              <w:t>2. Publicação do código-fonte completo, esquemáticos elétricos e documentação técnica em repositório público no GitHub com licença aberta;</w:t>
              <w:br/>
              <w:t>3. Produção de vídeo pitch demonstrando o protótipo em operação contínua e acionamento remoto de atuadores via navegador web para compartilhamento acadêmico.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152" w:right="1152" w:bottom="1152" w:left="1152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