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3"/>
        <w:pBdr/>
        <w:bidi w:val="false"/>
        <w:spacing w:after="120" w:before="240"/>
        <w:ind w:firstLine="0" w:left="0"/>
        <w:jc w:val="center"/>
        <w:rPr/>
      </w:pPr>
      <w:r>
        <w:t>Deepseek</w:t>
      </w:r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Quais exames detectam Alzheimer?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**Exames para detectar Alzheimer:**  </w:t>
              <w:br/>
              <w:br/>
              <w:t xml:space="preserve">1. **Avaliação cognitiva** (ex.: Mini-Mental State Examination - MMSE, MoCA, BrainCheck Memory).  </w:t>
              <w:br/>
              <w:t xml:space="preserve">2. **Biomarcadores em líquor** (Aβ42, tau total, p-tau).  </w:t>
              <w:br/>
              <w:t xml:space="preserve">3. **Imagem molecular** (PET com radiotraçadores de Aβ ou tau).  </w:t>
              <w:br/>
              <w:t xml:space="preserve">4. **Ressonância magnética** (atrofia hipocampal e padrão de neurodegeneração).  </w:t>
              <w:br/>
              <w:t xml:space="preserve">5. **Biomarcadores sanguíneos** (Aβ, tau, NfL, GFAP - em pesquisa/validação).  </w:t>
              <w:br/>
              <w:br/>
              <w:t>*Contexto citado reforça a importância de testes cognitivos (MMSE, BrainCheck) e biomarcadores periféricos em pesquisa.*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Exames para diagnóstico de Alzheimer incluem:  </w:t>
              <w:br/>
              <w:br/>
              <w:t xml:space="preserve">1. **Avaliação clínica**: História médica e testes cognitivos (ex.: Mini-Mental, MoCA).  </w:t>
              <w:br/>
              <w:t xml:space="preserve">2. **Exames de imagem**:  </w:t>
              <w:br/>
              <w:t xml:space="preserve">   - **Ressonância magnética (RM)**: Avalia atrofia hipocampal e cortical.  </w:t>
              <w:br/>
              <w:t xml:space="preserve">   - **PET com florbetapir/fluorbetaben**: Detecta placas de beta-amiloide.  </w:t>
              <w:br/>
              <w:t xml:space="preserve">   - **PET-FDG**: Mostra padrão metabólico característico (hipometabolismo temporoparietal).  </w:t>
              <w:br/>
              <w:t xml:space="preserve">3. **Líquor**: Dosagem de **beta-amiloide 42**, **tau total** e **tau fosforilada** (padrão Alzheimer: Aβ42↓, tau↑).  </w:t>
              <w:br/>
              <w:t xml:space="preserve">4. **Testes genéticos** (em casos familiares): Mutações em *PSEN1*, *PSEN2* ou *APP*.  </w:t>
              <w:br/>
              <w:br/>
              <w:t>*Observação*: O diagnóstico é clínico-biológico, combinando achados. Exames excluem outras causas (ex.: AVC, hidrocefalia).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Que especialidade médica pode solicitar exames e dar diagnóstico?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Neurologistas e geriatras são os especialistas mais qualificados para solicitar exames e dar diagnóstico de Alzheimer. Psiquiatras também podem estar envolvidos, especialmente em casos com sintomas psiquiátricos proeminentes.  </w:t>
              <w:br/>
              <w:br/>
              <w:t xml:space="preserve">O diagnóstico inclui:  </w:t>
              <w:br/>
              <w:t xml:space="preserve">- Avaliação clínica (história, exame físico e cognitivo)  </w:t>
              <w:br/>
              <w:t xml:space="preserve">- Exames de imagem (RM/TC cerebral)  </w:t>
              <w:br/>
              <w:t xml:space="preserve">- Exames laboratoriais (para descartar outras causas)  </w:t>
              <w:br/>
              <w:t xml:space="preserve">- Avaliação neuropsicológica  </w:t>
              <w:br/>
              <w:br/>
              <w:t>Contexto sugerido: O estudo de registros médicos e entrevistas com familiares é parte essencial da avaliação diagnóstica.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>Neurologistas e geriatras são os especialistas mais qualificados para solicitar exames e dar diagnóstico de Alzheimer. Psiquiatras também podem estar envolvidos, especialmente em casos com sintomas psiquiátricos proeminentes. O diagnóstico é clínico, mas pode incluir exames como ressonância magnética, PET-amiloide e análise de líquor (Aβ42, tau).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O que vai acontecer, ele vai esquecer - só isso?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Doença de Alzheimer não se limita apenas à perda de memória. É uma condição neurodegenerativa progressiva que afeta múltiplas funções cognitivas e físicas.  </w:t>
              <w:br/>
              <w:br/>
              <w:t xml:space="preserve">**Principais aspectos do declínio:**  </w:t>
              <w:br/>
              <w:t xml:space="preserve">1. **Cognitivo:**  </w:t>
              <w:br/>
              <w:t xml:space="preserve">   - Perda de memória (inicialmente recente, depois remota).  </w:t>
              <w:br/>
              <w:t xml:space="preserve">   - Dificuldade em reconhecer familiares (agnosia).  </w:t>
              <w:br/>
              <w:t xml:space="preserve">   - Comprometimento da linguagem (afasia), planejamento e julgamento.  </w:t>
              <w:br/>
              <w:br/>
              <w:t xml:space="preserve">2. **Físico:**  </w:t>
              <w:br/>
              <w:t xml:space="preserve">   - Dificuldade em deglutir (disfagia), levando a risco de aspiração.  </w:t>
              <w:br/>
              <w:t xml:space="preserve">   - Perda de mobilidade, incontinência.  </w:t>
              <w:br/>
              <w:t xml:space="preserve">   - Coma e morte por complicações (ex.: pneumonia).  </w:t>
              <w:br/>
              <w:br/>
              <w:t xml:space="preserve">3. **Comportamental:**  </w:t>
              <w:br/>
              <w:t xml:space="preserve">   - Agitação, resistência a cuidados (como no caso da recusa em parar de dirigir).  </w:t>
              <w:br/>
              <w:t xml:space="preserve">   - Apatia ou desinibição.  </w:t>
              <w:br/>
              <w:br/>
              <w:t xml:space="preserve">**Evolução:**  </w:t>
              <w:br/>
              <w:t xml:space="preserve">- Fase terminal: o cérebro perde funções básicas (como engolir), exigindo cuidados paliativos.  </w:t>
              <w:br/>
              <w:t xml:space="preserve">- Estratégias como distração e redirecionamento são úteis para evitar conflitos.  </w:t>
              <w:br/>
              <w:br/>
              <w:t>O impacto varia, mas a progressão é inevitável. Alguns pacientes podem ter menos consciência do declínio, reduzindo sofrimento psicológico.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Não, o Alzheimer não se limita apenas à perda de memória. A doença progride em estágios, afetando múltiplas funções cognitivas e comportamentais:  </w:t>
              <w:br/>
              <w:br/>
              <w:t xml:space="preserve">1. **Memória**: Esquecimento recente é o sintoma inicial mais comum (ex.: repetir perguntas, esquecer eventos).  </w:t>
              <w:br/>
              <w:t xml:space="preserve">2. **Linguagem**: Dificuldade em encontrar palavras ou compreender conversas.  </w:t>
              <w:br/>
              <w:t xml:space="preserve">3. **Funções executivas**: Problemas com planejamento, organização e tomada de decisões.  </w:t>
              <w:br/>
              <w:t xml:space="preserve">4. **Orientação**: Confusão com tempo, lugar e pessoas.  </w:t>
              <w:br/>
              <w:t xml:space="preserve">5. **Comportamento**: Alterações como apatia, agitação ou depressão.  </w:t>
              <w:br/>
              <w:t xml:space="preserve">6. **Atividades diárias**: Dependência progressiva para tarefas básicas (alimentação, higiene).  </w:t>
              <w:br/>
              <w:br/>
              <w:t>A evolução varia, mas geralmente ocorre em 3 fases (leve, moderada e grave), com piora gradual ao longo de anos.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Tem cura? Tem tratamento para diminuir os sintomas ou retardar o avanço da doença?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**Cura**: Não há cura para a Doença de Alzheimer atualmente.  </w:t>
              <w:br/>
              <w:br/>
              <w:t xml:space="preserve">**Tratamento**:  </w:t>
              <w:br/>
              <w:t xml:space="preserve">- **Sintomático**: Inibidores da acetilcolinesterase (donepezila, rivastigmina, galantamina) e memantina (antagonista de NMDA) podem aliviar sintomas cognitivos e comportamentais temporariamente.  </w:t>
              <w:br/>
              <w:t xml:space="preserve">- **Retardar progressão**: Terapias em investigação (ex.: anti-amiloides como aducanumab, lecanemab) visam modificar a doença, mas com eficácia limitada e controversa.  </w:t>
              <w:br/>
              <w:t xml:space="preserve">- **Intervenções precoces**: Destaque para a necessidade de diagnóstico precoce (pré-sintomático) para maximizar benefícios terapêuticos, conforme citado no contexto.  </w:t>
              <w:br/>
              <w:br/>
              <w:t xml:space="preserve">**Contexto relevante**:  </w:t>
              <w:br/>
              <w:t xml:space="preserve">- A detecção pré-sintomática é alvo de pesquisa, mas faltam evidências robustas sobre impacto terapêutico (Wirz et al., 2014; Hampel et al., 2014).  </w:t>
              <w:br/>
              <w:t xml:space="preserve">- Preocupações com sintomas futuros (como em Parkinson) ressaltam a importância de abordagens personalizadas.  </w:t>
              <w:br/>
              <w:br/>
              <w:t>(Resposta baseada em diretrizes clínicas e citações do contexto fornecido.)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**Cura**: Não há cura para a Doença de Alzheimer.  </w:t>
              <w:br/>
              <w:br/>
              <w:t xml:space="preserve">**Tratamentos**:  </w:t>
              <w:br/>
              <w:t xml:space="preserve">- **Sintomáticos**: Inibidores da acetilcolinesterase (donepezila, rivastigmina, galantamina) e memantina (antagonista de NMDA) podem melhorar sintomas cognitivos e funcionais temporariamente.  </w:t>
              <w:br/>
              <w:t xml:space="preserve">- **Modificadores de doença**: Aducanumab e lecanemab (anticorpos monoclonais anti-amiloide) reduzem placas amiloides, mas com efeito clínico modesto e riscos (edema cerebral/microhemorragias).  </w:t>
              <w:br/>
              <w:t xml:space="preserve">- **Suporte**: Intervenções não farmacológicas (estimulação cognitiva, exercício físico) podem auxiliar na qualidade de vida.  </w:t>
              <w:br/>
              <w:br/>
              <w:t xml:space="preserve">**Retardar progressão**: Tratamentos atuais têm efeito limitado. Foco em controle de fatores de risco vascular (hipertensão, diabetes) pode reduzir velocidade de declínio.  </w:t>
              <w:br/>
              <w:br/>
              <w:t>(Evidências baseadas em guidelines da AAN/AA e ensaios clínicos recentes.)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tem quanto tempo de vida?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expectativa de vida após o diagnóstico de Alzheimer varia, mas em média é de **8 a 10 anos**, podendo chegar a **20 anos em alguns casos**. No contexto de John (81 anos, diagnóstico há 5 anos), a progressão pode ser mais rápida devido à idade avançada e estágio moderado/avançado (já em instituição). Fatores como comorbidades, qualidade de cuidados e resposta a intervenções (ex.: revisão de vida) influenciam.  </w:t>
              <w:br/>
              <w:br/>
              <w:t xml:space="preserve">*Observação:* O segundo caso descreve **demência frontotemporal** (comportamental), que tem curso distinto do Alzheimer (sobrevida média de **6-8 anos** pós-diagnóstico).  </w:t>
              <w:br/>
              <w:br/>
              <w:t>Se precisar de fontes ou detalhes específicos, avise.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expectativa de vida após o diagnóstico de Alzheimer varia, mas em média é de **4 a 8 anos**, podendo chegar a **20 anos em alguns casos**. Fatores como idade, estágio da doença e comorbidades influenciam.  </w:t>
              <w:br/>
              <w:br/>
              <w:t xml:space="preserve">Estágios:  </w:t>
              <w:br/>
              <w:t xml:space="preserve">- **Leve**: 2-4 anos  </w:t>
              <w:br/>
              <w:t xml:space="preserve">- **Moderado**: 2-10 anos  </w:t>
              <w:br/>
              <w:t xml:space="preserve">- **Avançado**: 1-3 anos  </w:t>
              <w:br/>
              <w:br/>
              <w:t>Cuidados multidisciplinares podem melhorar a qualidade de vida.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É hereditário?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Sim, o Alzheimer pode ser hereditário em casos familiares raros (1-5%), associados a mutações autossômicas dominantes nos genes **APP**, **PSEN1** ou **PSEN2**. Essas mutações levam a um início precoce (&lt;65 anos).  </w:t>
              <w:br/>
              <w:br/>
              <w:t xml:space="preserve">No contexto fornecido, a família apresenta padrão autossômico dominante (múltiplos afetados em gerações), sugerindo forma genética. Testes pré-natais (como amniocentese) são possíveis se a mutação patogênica for conhecida nos pais.  </w:t>
              <w:br/>
              <w:br/>
              <w:t xml:space="preserve">Para formas esporádicas (95% dos casos), o risco aumenta com histórico familiar, mas não segue padrão mendeliano. O **APOE ε4** é o principal fator de risco genético poligênico.  </w:t>
              <w:br/>
              <w:br/>
              <w:t>*(O contexto menciona Huntington, mas a resposta focou no Alzheimer devido à pergunta inicial.)*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Doença de Alzheimer (DA) tem componentes genéticos, mas a maioria dos casos é esporádica (90%).  </w:t>
              <w:br/>
              <w:br/>
              <w:t xml:space="preserve">- **Familiar (hereditário)**:  </w:t>
              <w:br/>
              <w:t xml:space="preserve">  - &lt;5% dos casos, associados a mutações autossômicas dominantes em *PSEN1*, *PSEN2* ou *APP*.  </w:t>
              <w:br/>
              <w:t xml:space="preserve">  - Início precoce (&lt;65 anos).  </w:t>
              <w:br/>
              <w:br/>
              <w:t xml:space="preserve">- **Sporádico**:  </w:t>
              <w:br/>
              <w:t xml:space="preserve">  - Fator de risco genético principal: alelo *APOE-ε4* (aumenta risco, mas não é determinante).  </w:t>
              <w:br/>
              <w:t xml:space="preserve">  - Idade avançada é o maior fator de risco.  </w:t>
              <w:br/>
              <w:br/>
              <w:t>Resumo: A maioria não é hereditária, mas há formas genéticas raras. *APOE-ε4* aumenta risco sem causar obrigatoriamente.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está estranho, mas continua trabalhando e dirigindo, será que é Alzheimer mesmo?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Com base no contexto, os sintomas descritos (dificuldade de adaptação a mudanças, problemas de memória, perda de motivação e dificuldades no trabalho) podem ser indicativos de Alzheimer, especialmente em estágios iniciais. No entanto, o diagnóstico requer avaliação médica especializada, incluindo testes cognitivos e exames de imagem.  </w:t>
              <w:br/>
              <w:br/>
              <w:t xml:space="preserve">Dirigir e trabalhar podem ser mantidos no início, mas o declínio progressivo exige monitoramento. Casos como os de Bill e Archie mostram que a incapacidade de adaptação a mudanças simples (rotas, tarefas novas) pode ser um sinal precoce.  </w:t>
              <w:br/>
              <w:br/>
              <w:t>Se houver suspeita, consulte um neurologista para avaliação detalhada.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Possível, mas não definitivo. Alzheimer geralmente começa com esquecimentos frequentes (ex.: compromissos, nomes), dificuldade em tarefas complexas (ex.: finanças) e desorientação espacial. Se houver suspeita, avalie:  </w:t>
              <w:br/>
              <w:t xml:space="preserve">1. **Teste cognitivo rápido** (ex.: Mini-Cog).  </w:t>
              <w:br/>
              <w:t xml:space="preserve">2. **Histórico familiar** (fator de risco).  </w:t>
              <w:br/>
              <w:t xml:space="preserve">3. **Consultar neurologista** para exames (RM, PET, líquor).  </w:t>
              <w:br/>
              <w:t>Dirigir pode ser perigoso se houver lapsos. Monitorar sinais progressivos.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não quer parar de dirigir, o que eu faço? Ele quase atropelou uma senhora quando subiu na calçada.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Em pacientes com Alzheimer, a insistência em dirigir, mesmo com risco evidente (como quase atropelar alguém), indica comprometimento de julgamento e memória. Estratégias baseadas em evidências incluem:  </w:t>
              <w:br/>
              <w:br/>
              <w:t xml:space="preserve">1. **Distração imediata**: Propor atividades prazerosas (ex.: caminhar, organizar objetos) para desviar o foco da direção. Pacientes com demência têm atenção limitada e podem esquecer a intenção inicial.  </w:t>
              <w:br/>
              <w:t xml:space="preserve">2. **Adiamento**: Sugerir adiar a direção ("Vamos almoçar primeiro") para reduzir confronto.  </w:t>
              <w:br/>
              <w:t xml:space="preserve">3. **Evitar confronto direto**: Negociar ou esconder as chaves discretamente (ex.: "O carro está na oficina"). Confrontos físicos ou verbais exacerbam agitação.  </w:t>
              <w:br/>
              <w:t xml:space="preserve">4. **Avaliação médica**: Solicitar avaliação formal de aptidão para dirigir (testes cognitivos e de coordenação) para embasar a proibição.  </w:t>
              <w:br/>
              <w:br/>
              <w:t xml:space="preserve">**Contexto específico**: No caso descrito, a abordagem agressiva piorou o desfecho. Alternativas seriam usar distração ("Vamos ver seus álbuns de fotos antes de sair") ou adiar a ação.  </w:t>
              <w:br/>
              <w:br/>
              <w:t>*Se precisar de fontes ou detalhes adicionais, solicite.*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>Situação de risco. Avaliação médica urgente para capacidade de dirigir. Testes cognitivos (ex.: MoCA) e avaliação funcional são necessários. Se houver déficit, notificar DETRAN e retirar carteira. Priorize segurança do paciente e terceiros. Alternativas: transporte familiar ou por aplicativo.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Está ficando agressivo e nega que tem alguma doença. Como impedir que saia sozinho?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No contexto de demência frontotemporal (variante comportamental), a agressividade e a anosognosia (negação da doença) são comuns. Para evitar que o paciente saia sozinho:  </w:t>
              <w:br/>
              <w:br/>
              <w:t xml:space="preserve">1. **Adaptações ambientais:**  </w:t>
              <w:br/>
              <w:t xml:space="preserve">   - Trancas em portas, sensores de movimento ou alarmes.  </w:t>
              <w:br/>
              <w:t xml:space="preserve">   - Cartão de identificação com contato de cuidador (caso saia).  </w:t>
              <w:br/>
              <w:br/>
              <w:t xml:space="preserve">2. **Intervenções comportamentais:**  </w:t>
              <w:br/>
              <w:t xml:space="preserve">   - Redirecionar a atenção para atividades internas (ex.: tarefas simples).  </w:t>
              <w:br/>
              <w:t xml:space="preserve">   - Evitar confrontos diretos sobre a negação da doença.  </w:t>
              <w:br/>
              <w:br/>
              <w:t xml:space="preserve">3. **Suporte profissional:**  </w:t>
              <w:br/>
              <w:t xml:space="preserve">   - Avaliação neurológica/psiquiátrica para ajuste de medicamentos (ex.: ISRS para desinibição, antipsicóticos atípicos em baixa dose para agressividade, se necessário).  </w:t>
              <w:br/>
              <w:t xml:space="preserve">   - Considerar acompanhamento por cuidador profissional.  </w:t>
              <w:br/>
              <w:br/>
              <w:t xml:space="preserve">4. **Segurança legal:**  </w:t>
              <w:br/>
              <w:t xml:space="preserve">   - Em casos graves, discutir com médico a possibilidade de medidas protetivas legais (ex.: interdição parcial).  </w:t>
              <w:br/>
              <w:br/>
              <w:t xml:space="preserve">**Observação:** O caso descreve demência frontotemporal, não Alzheimer, mas as estratégias de segurança são semelhantes. A agressividade e a falta de insight são mais proeminentes na variante comportamental.  </w:t>
              <w:br/>
              <w:br/>
              <w:t>(Se precisar de fontes ou detalhes específicos, solicite.)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Agressividade e anosognosia (negação da doença) são sintomas comuns na Doença de Alzheimer. Estratégias:  </w:t>
              <w:br/>
              <w:br/>
              <w:t xml:space="preserve">1. **Adapte o ambiente**: Instale trancas altas/baixas ou alarmes em portas.  </w:t>
              <w:br/>
              <w:t xml:space="preserve">2. **Identificação**: Use pulseiras de identificação com contato de emergência.  </w:t>
              <w:br/>
              <w:t xml:space="preserve">3. **Distração**: Redirecione a atenção para atividades prazerosas quando houver insistência em sair.  </w:t>
              <w:br/>
              <w:t xml:space="preserve">4. **Supervisão**: Evite deixar o paciente sozinho; considere cuidadores em turnos ou câmeras.  </w:t>
              <w:br/>
              <w:t xml:space="preserve">5. **Avaliação médica**: Agressividade pode exigir ajuste de medicamentos (ex.: antipsicóticos, se indicado).  </w:t>
              <w:br/>
              <w:br/>
              <w:t>Se necessário, consulte um neurologista ou geriatra para avaliação individualizada.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Não quer ir ao médico, o que eu faço? Como posso convencê-lo?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**Resposta:**  </w:t>
              <w:br/>
              <w:t xml:space="preserve">No contexto de comorbidades e decisões por procuração, para convencer alguém com possível Alzheimer a ir ao médico:  </w:t>
              <w:br/>
              <w:br/>
              <w:t xml:space="preserve">1. **Aborde preocupações específicas**: Relacione a consulta a sintomas atuais (ex.: esquecimentos frequentes, confusão) que impactam a qualidade de vida.  </w:t>
              <w:br/>
              <w:t xml:space="preserve">2. **Envolva figuras de confiança**: Um familiar ou cuidador próximo pode facilitar a aceitação.  </w:t>
              <w:br/>
              <w:t xml:space="preserve">3. **Simplifique a justificativa**: Evite termos técnicos. Ex.: "Vamos checar sua memória para ajudar no seu dia a dia".  </w:t>
              <w:br/>
              <w:t xml:space="preserve">4. **Use exemplos concretos**: Cite situações recentes em que os sintomas causaram dificuldades.  </w:t>
              <w:br/>
              <w:br/>
              <w:t xml:space="preserve">Se houver resistência persistente, considere uma avaliação domiciliar inicial por um profissional.  </w:t>
              <w:br/>
              <w:br/>
              <w:t>*Observação*: No Alzheimer, a falta de insight (anosognosia) é comum, exigindo abordagem empática e prática.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**Resposta:**  </w:t>
              <w:br/>
              <w:t xml:space="preserve">Em casos de suspeita de Alzheimer, a resistência em buscar avaliação médica é comum. Estratégias práticas:  </w:t>
              <w:br/>
              <w:br/>
              <w:t xml:space="preserve">1. **Aborde com empatia** – Evite confronto. Use expressões como "Vamos checar sua memória juntos?"  </w:t>
              <w:br/>
              <w:t xml:space="preserve">2. **Associe a exames de rotina** – Sugira uma consulta geral, incluindo avaliação cognitiva.  </w:t>
              <w:br/>
              <w:t xml:space="preserve">3. **Envolva figuras de autoridade** – Relatos de um médico ou familiar respeitado podem ajudar.  </w:t>
              <w:br/>
              <w:t xml:space="preserve">4. **Destaque benefícios** – Explique que o diagnóstico precoce permite melhor manejo dos sintomas.  </w:t>
              <w:br/>
              <w:br/>
              <w:t xml:space="preserve">Se a recusa persistir, considere buscar orientação médica indireta (relato de sintomas por terceiros) ou agendar visita domiciliar.  </w:t>
              <w:br/>
              <w:br/>
              <w:t>*Observação:* Resistência pode ser sintoma da doença (anosognosia). Persistência e adaptação da abordagem são essenciais.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A agressividade ou a sexualidade exacerbada tem algum medicamento para controlar?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Para agressividade e sexualidade exacerbada na Doença de Alzheimer, os medicamentos mais utilizados são:  </w:t>
              <w:br/>
              <w:br/>
              <w:t xml:space="preserve">- **Antipsicóticos atípicos** (risperidona, quetiapina, olanzapina) para agitação/agressividade (evidência moderada, mas com risco de efeitos adversos como AVC e mortalidade aumentada em idosos).  </w:t>
              <w:br/>
              <w:t xml:space="preserve">- **Inibidores da colinesterase** (donepezila, rivastigmina) podem ajudar em alguns casos, pois modulam neurotransmissores.  </w:t>
              <w:br/>
              <w:t xml:space="preserve">- **Antidepressivos** (citalopram) para agressividade, com menor risco que antipsicóticos.  </w:t>
              <w:br/>
              <w:t xml:space="preserve">- **Moduladores de humor** (carbamazepina, valproato) em casos refratários.  </w:t>
              <w:br/>
              <w:br/>
              <w:t xml:space="preserve">Para hipersexualidade:  </w:t>
              <w:br/>
              <w:t xml:space="preserve">- **ISRSs** (sertralina, fluoxetina) são primeira linha.  </w:t>
              <w:br/>
              <w:t xml:space="preserve">- **Antagonistas hormonais** (ciproterona, medroxiprogesterona) em casos graves.  </w:t>
              <w:br/>
              <w:br/>
              <w:t xml:space="preserve">Sempre priorize intervenções não farmacológicas (abordagens comportamentais, ambientais) antes de medicar.  </w:t>
              <w:br/>
              <w:br/>
              <w:t>*Fonte: Prática clínica baseada em diretrizes da APA e EFNS.*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Sim, existem opções farmacológicas para controle de sintomas comportamentais no Alzheimer, como agressividade e hipersexualidade:  </w:t>
              <w:br/>
              <w:br/>
              <w:t xml:space="preserve">1. **Antipsicóticos atípicos** (risperidona, quetiapina) – Eficácia moderada, mas com risco de efeitos adversos (AVC, mortalidade aumentada em idosos).  </w:t>
              <w:br/>
              <w:t xml:space="preserve">2. **ISRS** (citalopram, sertralina) – Podem reduzir agitação/agressividade com melhor perfil de segurança.  </w:t>
              <w:br/>
              <w:t xml:space="preserve">3. **Anticonvulsivantes** (carbamazepina, valproato) – Alternativa para agressividade, porém evidências limitadas.  </w:t>
              <w:br/>
              <w:t xml:space="preserve">4. **Hormonoterapia** (em casos selecionados de hipersexualidade) – Ex.: antiandrógenos (acetato de medroxiprogesterona), mas requer avaliação rigorosa de riscos.  </w:t>
              <w:br/>
              <w:br/>
              <w:t xml:space="preserve">**Observação**: Sempre priorizar abordagens não farmacológicas (adaptação ambiental, rotina estruturada) antes de medicar. Monitorar efeitos adversos.  </w:t>
              <w:br/>
              <w:br/>
              <w:t>(Evidências baseadas em diretrizes da APA e estudos como CATIE-AD.)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A agitação e os delírios são normais? Ele vê fantasmas e bichos na parede, como devo lidar com isso, sem deixá-lo agressivo?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Agitação e delírios são comuns em Alzheimer avançado e demências como a por corpos de Lewy (DLB). Alucinações visuais (fantasmas, bichos) são mais frequentes na DLB, mas podem ocorrer no Alzheimer.  </w:t>
              <w:br/>
              <w:br/>
              <w:t xml:space="preserve">**Como lidar**:  </w:t>
              <w:br/>
              <w:t xml:space="preserve">1. **Não contradiga**: Argumentar piora a agressividade.  </w:t>
              <w:br/>
              <w:t xml:space="preserve">2. **Redirecione**: Distraia com atividades simples (ex.: "Vamos ver isso juntos").  </w:t>
              <w:br/>
              <w:t xml:space="preserve">3. **Adapte o ambiente**: Melhore iluminação, evite padrões complexos em paredes (podem ser interpretados como insetos).  </w:t>
              <w:br/>
              <w:t xml:space="preserve">4. **Mantenha rotina**: Reduz confusão e ansiedade.  </w:t>
              <w:br/>
              <w:t xml:space="preserve">5. **Medicação**: Antipsicóticos só se sintomas forem graves (risco de AVC e efeitos adversos em idosos).  </w:t>
              <w:br/>
              <w:br/>
              <w:t xml:space="preserve">No contexto citado, a abordagem de validar a percepção (ex.: "trabalho de azulejista") e redirecionar foi eficaz. Se o paciente vê "trabalhadores", envolva-o em tarefas simples (ex.: organizar objetos).  </w:t>
              <w:br/>
              <w:br/>
              <w:t>Para alucinações táteis (insetos), verifique se há causas reversíveis (infecção, efeito de medicação).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**Resposta:**  </w:t>
              <w:br/>
              <w:t xml:space="preserve">Agitação e delírios (alucinações visuais, como ver fantasmas ou bichos) são sintomas neuropsiquiátricos comuns na Doença de Alzheimer, especialmente em fases moderadas a avançadas. Ocorrem devido a alterações neurodegenerativas em circuitos corticais e subcorticais.  </w:t>
              <w:br/>
              <w:br/>
              <w:t xml:space="preserve">**Como lidar:**  </w:t>
              <w:br/>
              <w:t xml:space="preserve">1. **Mantenha a calma** – Evite confrontos. Valide a experiência ("Entendo que isso é assustador") sem reforçar o delírio.  </w:t>
              <w:br/>
              <w:t xml:space="preserve">2. **Redirecione a atenção** – Distraia com atividades simples ou mudança de ambiente.  </w:t>
              <w:br/>
              <w:t xml:space="preserve">3. **Ajuste o ambiente** – Iluminação adequada (evita sombras mal interpretadas) e reduza estímulos excessivos (TV alta, bagunça).  </w:t>
              <w:br/>
              <w:t xml:space="preserve">4. **Consulte o médico** – Pode ser necessário ajuste medicamentoso (antipsicóticos atípicos em baixa dose, como risperidona, apenas se benefício superar riscos).  </w:t>
              <w:br/>
              <w:br/>
              <w:t xml:space="preserve">**Agressividade:** Evite restrições físicas. Priorize abordagens não farmacológicas. Se persistir, avalie causas reversíveis (dor, infecção, constipação).  </w:t>
              <w:br/>
              <w:br/>
              <w:t>*Fonte: Prática clínica baseada em diretrizes da APA (2022) e NIA (2021).*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acaba de almoçar e quer almoçar novamente, diz que não comeu nada, ou ele se recusa a comer qualquer alimento e beber água. Existe alguma vitamina ou produto que supra a falta de alimento?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Alterações alimentares são comuns no Alzheimer devido a:  </w:t>
              <w:br/>
              <w:t xml:space="preserve">1. **Disfunção cognitiva**: Esquecer que já comeu ou dificuldade em reconhecer alimentos.  </w:t>
              <w:br/>
              <w:t xml:space="preserve">2. **Agnosia visual**: Não identificar comida ou utensílios.  </w:t>
              <w:br/>
              <w:t xml:space="preserve">3. **Alterações sensoriais**: Perda de olfato/paladar, reduzindo o interesse.  </w:t>
              <w:br/>
              <w:t xml:space="preserve">4. **Comportamento alimentar atípico**: Recusa ou compulsão (comum em demências frontotemporais, como no caso de George).  </w:t>
              <w:br/>
              <w:br/>
              <w:t xml:space="preserve">**Manejo prático**:  </w:t>
              <w:br/>
              <w:t xml:space="preserve">- Ofereça pequenas porções em intervalos curtos.  </w:t>
              <w:br/>
              <w:t xml:space="preserve">- Use pratos coloridos (contraste ajuda na identificação).  </w:t>
              <w:br/>
              <w:t xml:space="preserve">- Mantenha rotinas e ambientes familiares (evite distrações).  </w:t>
              <w:br/>
              <w:t xml:space="preserve">- Bebidas nutricionalmente densas (ex.: suplementos hipercalóricos) podem suprir necessidades se houver recusa alimentar.  </w:t>
              <w:br/>
              <w:br/>
              <w:t xml:space="preserve">**Vitamina/nutriente crítico**:  </w:t>
              <w:br/>
              <w:t xml:space="preserve">- Deficiência de **B12** e **tiamina** pode piorar cognição; suplemente se houver déficit confirmado.  </w:t>
              <w:br/>
              <w:br/>
              <w:t xml:space="preserve">*Contexto relevante*: Mudanças de ambiente (como no caso do restaurante) exacerbam confusão e recusa alimentar. Hipoglicemia e álcool pioram sintomas comportamentais.  </w:t>
              <w:br/>
              <w:br/>
              <w:t>Se a pergunta for sobre outras condições, não posso auxiliar.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Esses comportamentos podem ocorrer na Doença de Alzheimer devido a:  </w:t>
              <w:br/>
              <w:br/>
              <w:t xml:space="preserve">1. **Disfunção de memória**: Esquece que já comeu (hipocampo afetado).  </w:t>
              <w:br/>
              <w:t xml:space="preserve">2. **Apatia/depressão**: Recusa alimentar (comum em estágios moderados/avançados).  </w:t>
              <w:br/>
              <w:t xml:space="preserve">3. **Dificuldade de reconhecimento**: Não identifica comida ou tem agnosia visual.  </w:t>
              <w:br/>
              <w:br/>
              <w:t xml:space="preserve">**Abordagem prática**:  </w:t>
              <w:br/>
              <w:t xml:space="preserve">- **Suplementos**: Polivitamínicos (ex.: Ensure, Nutridrink) podem ajudar, mas só com avaliação médica (risco de aspiração se houver disfagia).  </w:t>
              <w:br/>
              <w:t xml:space="preserve">- **Estratégias**: Oferecer pequenas porções frequentes, alimentos de fácil mastigação e textura adaptada.  </w:t>
              <w:br/>
              <w:br/>
              <w:t xml:space="preserve">Encaminhar para avaliação de neurologista/nutricionista para descartar outras causas (ex.: infecções, dor).  </w:t>
              <w:br/>
              <w:br/>
              <w:t>(Se precisar de referências, posso fornecer.)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não quer tomar banho, como fazer a higiene dele, se não tenho forças para levá-lo ao chuveiro à força?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Em pacientes com Alzheimer que resistem ao banho, recomendo:  </w:t>
              <w:br/>
              <w:br/>
              <w:t xml:space="preserve">1. **Adapte o ambiente**: Use banheira ou cadeira de banho para facilitar o acesso.  </w:t>
              <w:br/>
              <w:t xml:space="preserve">2. **Toalhas umedecidas**: Higienize por partes com toalhas aquecidas se o chuveiro for inviável.  </w:t>
              <w:br/>
              <w:t xml:space="preserve">3. **Rotina e comunicação**: Explique os passos de forma simples e mantenha horários fixos.  </w:t>
              <w:br/>
              <w:t xml:space="preserve">4. **Distrações**: Música ou objetos familiares podem reduzir a agitação.  </w:t>
              <w:br/>
              <w:t xml:space="preserve">5. **Cuidadores profissionais**: Considere ajuda externa para evitar esforço físico excessivo.  </w:t>
              <w:br/>
              <w:br/>
              <w:t>Resistência ao banho é comum na demência. Priorize segurança e conforto.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Em pacientes com Alzheimer, a resistência à higiene pode ser decorrente de agnosia, ansiedade ou desconforto. Estratégias não-confrontativas são preferíveis:  </w:t>
              <w:br/>
              <w:br/>
              <w:t xml:space="preserve">1. **Adapte o ambiente**:  </w:t>
              <w:br/>
              <w:t xml:space="preserve">   - Use toalhas úmidas aquecidas para higiene no leito (limpeza por partes).  </w:t>
              <w:br/>
              <w:t xml:space="preserve">   - Prefira horários em que o paciente está mais calmo.  </w:t>
              <w:br/>
              <w:br/>
              <w:t xml:space="preserve">2. **Simplifique o processo**:  </w:t>
              <w:br/>
              <w:t xml:space="preserve">   - Substitua banhos completos por lavagens parciais (ex.: dias alternados para lavar cabelo).  </w:t>
              <w:br/>
              <w:t xml:space="preserve">   - Utilize produtos sem enxágue (espumas ou lenços umedecidos para higiene íntima).  </w:t>
              <w:br/>
              <w:br/>
              <w:t xml:space="preserve">3. **Abordagem comportamental**:  </w:t>
              <w:br/>
              <w:t xml:space="preserve">   - Associe o momento a estímulos positivos (música favorita, conversa tranquila).  </w:t>
              <w:br/>
              <w:t xml:space="preserve">   - Evite argumentos racionais; opte por distrações ou orientações simples passo a passo.  </w:t>
              <w:br/>
              <w:br/>
              <w:t xml:space="preserve">4. **Recursos auxiliares**:  </w:t>
              <w:br/>
              <w:t xml:space="preserve">   - Cadeira de banho portátil ou assento de transferência pode reduzir esforço físico.  </w:t>
              <w:br/>
              <w:t xml:space="preserve">   - Considere ajuda profissional (cuidador ou serviço de home care) se a resistência persistir.  </w:t>
              <w:br/>
              <w:br/>
              <w:t>**Observação**: Avalie se há dor (ex.: artrose) ou infecções (ex.: ITU) contribuindo para a recusa.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me perguntou quem sou eu. Não sabe que é meu pai, em algum momento ele vai me reconhecer novamente?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Na Doença de Alzheimer (DA), a perda de reconhecimento de familiares é comum devido à degeneração de áreas cerebrais envolvidas na memória e identidade (ex.: hipocampo, córtex pré-frontal). A capacidade de reconhecer você pode diminuir progressivamente, mas episódios transitórios de reconexão emocional ou reconhecimento podem ocorrer, especialmente em estágios iniciais/moderados.  </w:t>
              <w:br/>
              <w:br/>
              <w:t xml:space="preserve">No contexto citado (bvFTD - variante comportamental da Demência Frontotemporal), a identidade é mais afetada precocemente que na DA, mas ambas as doenças levam a dificuldades similares em estágios avançados.  </w:t>
              <w:br/>
              <w:br/>
              <w:t xml:space="preserve">Estratégias:  </w:t>
              <w:br/>
              <w:t xml:space="preserve">- Use fotos, objetos familiares ou música para estimular memórias afetivas.  </w:t>
              <w:br/>
              <w:t xml:space="preserve">- Mantenha interações simples e afetuosas, mesmo sem reconhecimento explícito.  </w:t>
              <w:br/>
              <w:t xml:space="preserve">- A conexão emocional pode persistir mesmo quando a identidade formal se perde.  </w:t>
              <w:br/>
              <w:br/>
              <w:t>Resposta baseada em evidências sobre neurodegeneração e identidade. Se precisar de fontes, posso fornecer.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>Paciente com Alzheimer em estágio moderado a avançado pode apresentar agnosia (dificuldade de reconhecer pessoas). A recuperação do reconhecimento é improvável, pois a doença é neurodegenerativa e progressiva. Estratégias como fotos, objetos familiares ou abordagens afetivas podem ajudar temporariamente, mas a tendência é piora. Foque em comunicação não-verbal e vínculo emocional.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Quer voltar para casa, insiste que aqui não é a casa dele, como acalmá-lo e mostrar que está na sua casa?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Para acalmar o paciente com Alzheimer que insiste em voltar para casa:  </w:t>
              <w:br/>
              <w:br/>
              <w:t xml:space="preserve">1. **Validação emocional**: Diga "Entendo que você queira ir para casa" em vez de contradizer.  </w:t>
              <w:br/>
              <w:t xml:space="preserve">2. **Redirecionamento suave**: Mostre fotos familiares ou objetos pessoais para reforçar a familiaridade do ambiente atual.  </w:t>
              <w:br/>
              <w:t xml:space="preserve">3. **Distração**: Proponha uma atividade prazerosa (ex.: ouvir música favorita) para desviar o foco da fixação.  </w:t>
              <w:br/>
              <w:t xml:space="preserve">4. **Adapte o ambiente**: Mantenha iluminação adequada e minimize ruídos para reduzir agitação.  </w:t>
              <w:br/>
              <w:br/>
              <w:t xml:space="preserve">*Baseado em técnicas de validação e redirecionamento usadas em demência (Cohen-Mansfield, 2005)*.  </w:t>
              <w:br/>
              <w:br/>
              <w:t>Se precisar de fontes ou mais detalhes, avise.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Essa agitação é comum na DA moderada/avançada, devido a desorientação espacial e comprometimento da memória episódica.  </w:t>
              <w:br/>
              <w:br/>
              <w:t xml:space="preserve">**Ações recomendadas:**  </w:t>
              <w:br/>
              <w:t xml:space="preserve">1. **Validação emocional:** Evite confronto. Diga: *"Entendo que parece diferente. Vamos dar uma olhada juntos?"*  </w:t>
              <w:br/>
              <w:t xml:space="preserve">2. **Pistas ambientais:** Mostre fotos familiares, objetos pessoais ou itens reconhecíveis para reforçar familiaridade.  </w:t>
              <w:br/>
              <w:t xml:space="preserve">3. **Redirecionamento suave:** Proponha uma atividade simples (ex.: tomar chá) para desviar o foco da fixação.  </w:t>
              <w:br/>
              <w:t xml:space="preserve">4. **Adapte o ambiente:** Mantenha iluminação adequada e minimize ruídos para reduzir confusão.  </w:t>
              <w:br/>
              <w:br/>
              <w:t xml:space="preserve">Se persistir, avalie com neurologista para ajuste de medicamentos sintomáticos (ex.: antipsicóticos atípicos em baixa dose, se necessário).  </w:t>
              <w:br/>
              <w:br/>
              <w:t>(Evidências baseadas em diretrizes da APA e práticas de cuidado centrado no paciente.)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Final da tarde ele começa a ficar irritado, como prevenir ou diminuir esse estresse e medo do entardecer?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irritabilidade no final da tarde em pacientes com Alzheimer, conhecida como "sundowning", pode ser minimizada com as seguintes estratégias baseadas no contexto fornecido:  </w:t>
              <w:br/>
              <w:br/>
              <w:t xml:space="preserve">1. **Manter rotinas**: Evitar mudanças abruptas no ambiente ou atividades (ex.: optar por restaurantes familiares).  </w:t>
              <w:br/>
              <w:t xml:space="preserve">2. **Reduzir estímulos**: Ambientes calmos, com poucas distrações (ex.: evitar locais barulhentos ou com muita movimentação).  </w:t>
              <w:br/>
              <w:t xml:space="preserve">3. **Evitar hipoglicemia**: Oferecer lanches ricos em carboidratos antes do jantar para prevenir irritabilidade.  </w:t>
              <w:br/>
              <w:t xml:space="preserve">4. **Limitar álcool**: O consumo pode piorar desinibição e confusão.  </w:t>
              <w:br/>
              <w:t xml:space="preserve">5. **Antecipar necessidades**: Planejar refeições simples e servir rapidamente para reduzir frustração.  </w:t>
              <w:br/>
              <w:br/>
              <w:t>Se o estresse persistir, avalie com um neurologista para ajuste de medicamentos ou intervenções não farmacológicas.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agitação no final da tarde (sundowning) é comum no Alzheimer. Estratégias:  </w:t>
              <w:br/>
              <w:t xml:space="preserve">- **Rotina**: Mantenha horários regulares para refeições e sono.  </w:t>
              <w:br/>
              <w:t xml:space="preserve">- **Luz ambiente**: Aumente a iluminação para reduzir confusão.  </w:t>
              <w:br/>
              <w:t xml:space="preserve">- **Atividades tranquilas**: Evite estímulos excessivos à noite.  </w:t>
              <w:br/>
              <w:t xml:space="preserve">- **Exercício diurno**: Promova atividade física para reduzir agitação noturna.  </w:t>
              <w:br/>
              <w:t xml:space="preserve">- **Evite cafeína/álcool**: Pioram a desorientação.  </w:t>
              <w:br/>
              <w:br/>
              <w:t>Se persistir, avalie com neurologista para ajuste farmacológico (ex.: antipsicóticos atípicos, se necessário).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Não consegue mais escovar os dentes, como faço a higiene bucal dele?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Para higiene bucal em pacientes com Alzheimer que não conseguem mais escovar os dentes:  </w:t>
              <w:br/>
              <w:br/>
              <w:t xml:space="preserve">1. **Uso de gaze umedecida** (com solução antisséptica bucal sem álcool) para limpeza suave de gengivas, língua e mucosas.  </w:t>
              <w:br/>
              <w:t xml:space="preserve">2. **Remoção de próteses** se soltas (risco de aspiração) e limpeza separada com escova macia.  </w:t>
              <w:br/>
              <w:t xml:space="preserve">3. **Posicionamento** sentado (90°) durante e após a limpeza para evitar aspiração.  </w:t>
              <w:br/>
              <w:t xml:space="preserve">4. **Supervisão profissional** (odontogeriatria domiciliar, se possível) para avaliação periódica e adaptações.  </w:t>
              <w:br/>
              <w:br/>
              <w:t xml:space="preserve">No contexto de alimentação por gastrostomia, atenção redobrada à higiene para prevenir pneumonia aspirativa.  </w:t>
              <w:br/>
              <w:br/>
              <w:t>*(Baseado nas práticas descritas no contexto e em diretrizes de cuidados paliativos orais.)*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**Higiene bucal em Alzheimer avançado:**  </w:t>
              <w:br/>
              <w:br/>
              <w:t xml:space="preserve">- Use escova macia e pequena ou dedeira de silicone.  </w:t>
              <w:br/>
              <w:t xml:space="preserve">- Posicione-se atrás do paciente para melhor acesso.  </w:t>
              <w:br/>
              <w:t xml:space="preserve">- Se resistir, tente em momentos de calma ou com distrações.  </w:t>
              <w:br/>
              <w:t xml:space="preserve">- Use creme dental sem enxágue, se houver risco de engasgo.  </w:t>
              <w:br/>
              <w:t xml:space="preserve">- Limpe suavemente gengivas e língua com gaze umedecida, se necessário.  </w:t>
              <w:br/>
              <w:t xml:space="preserve">- Considere avaliação odontológica regular para evitar infecções.  </w:t>
              <w:br/>
              <w:br/>
              <w:t>(Adapte conforme tolerância do paciente.)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não consegue mais se alimentar, precisa colocar sonda, como vou manusear essa sonda?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**Manuseio da Sonda em Alzheimer Avançado:**  </w:t>
              <w:br/>
              <w:br/>
              <w:t xml:space="preserve">1. **Posicionamento:** Mantenha o paciente em posição semi-sentada (30-45°) durante e até 30 minutos após a alimentação para evitar refluxo e aspiração.  </w:t>
              <w:br/>
              <w:t xml:space="preserve">2. **Higiene da Sonda:**  </w:t>
              <w:br/>
              <w:t xml:space="preserve">   - Limpe o local de inserção (nasal ou gastrostomia) com solução salina ou água esterilizada.  </w:t>
              <w:br/>
              <w:t xml:space="preserve">   - Rotacione diariamente o adesivo da sonda nasal para evitar lesões cutâneas.  </w:t>
              <w:br/>
              <w:t xml:space="preserve">3. **Administração da Dieta:**  </w:t>
              <w:br/>
              <w:t xml:space="preserve">   - Use fórmula enteral prescrita, em temperatura ambiente.  </w:t>
              <w:br/>
              <w:t xml:space="preserve">   - Infunda lentamente (via seringa ou bomba), seguindo volume e velocidade indicados.  </w:t>
              <w:br/>
              <w:t xml:space="preserve">4. **Pós-alimentação:**  </w:t>
              <w:br/>
              <w:t xml:space="preserve">   - Lavar a sonda com 20-30 mL de água filtrada para evitar obstrução.  </w:t>
              <w:br/>
              <w:t xml:space="preserve">   - Fechar a extremidade da sonda para evitar contaminação.  </w:t>
              <w:br/>
              <w:t xml:space="preserve">5. **Cuidados Orais:** Mesmo sem alimentação oral, higienize a boca com gaze umedecida ou escova macia para prevenir infecções.  </w:t>
              <w:br/>
              <w:br/>
              <w:t xml:space="preserve">**Observação:** Treinamento por equipe multidisciplinar (enfermagem/nutrição) é essencial. Monitorar sinais de complicações (ex.: aspiração, obstrução da sonda).  </w:t>
              <w:br/>
              <w:br/>
              <w:t>*Contexto adaptado das práticas descritas nos relatos de cuidadores e diretrizes de enfermagem.*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 sobre Alzheimer e sonda alimentar:**  </w:t>
              <w:br/>
              <w:br/>
              <w:t xml:space="preserve">1. **Indicação da sonda:** Em estágios avançados de Alzheimer, a disfagia e perda de autonomia alimentar podem exigir nutrição enteral (sonda nasogástrica ou gastrostomia - PEG).  </w:t>
              <w:br/>
              <w:br/>
              <w:t xml:space="preserve">2. **Manuseio básico:**  </w:t>
              <w:br/>
              <w:t xml:space="preserve">   - **Higiene:** Lavar as mãos antes de manipular a sonda.  </w:t>
              <w:br/>
              <w:t xml:space="preserve">   - **Verificação posicional:** Checar marcação externa da sonda nasogástrica antes de cada uso (evitar deslocamento).  </w:t>
              <w:br/>
              <w:t xml:space="preserve">   - **Administração:** Usar seringa de 50 mL para dieta/líquidos, em fluxo lento (evitar refluxo/aspiração).  </w:t>
              <w:br/>
              <w:t xml:space="preserve">   - **Cuidados pós-gastrostomia:** Limpar estoma diariamente com soro fisiológico e gaze.  </w:t>
              <w:br/>
              <w:br/>
              <w:t xml:space="preserve">3. **Monitoramento:**  </w:t>
              <w:br/>
              <w:t xml:space="preserve">   - Observar sinais de complicações (ex.: pneumonia aspirativa, obstrução ou infecção no local da PEG).  </w:t>
              <w:br/>
              <w:t xml:space="preserve">   - Manter cabeceira elevada 30° durante e após alimentação.  </w:t>
              <w:br/>
              <w:br/>
              <w:t xml:space="preserve">4. **Suporte profissional:** Enfermeiro ou nutricionista deve treinar cuidadores para técnicas seguras.  </w:t>
              <w:br/>
              <w:br/>
              <w:t xml:space="preserve">*Obs.: A decisão pela sonda deve considerar diretivas antecipadas e qualidade de vida.*  </w:t>
              <w:br/>
              <w:br/>
              <w:t>(Se precisar de fontes ou detalhes específicos, informe.)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está ficando com o corpo rígido e anda se inclinando, caiu várias vezes, existe algum tratamento para ajudar o equilíbrio?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Rigidez e quedas no Alzheimer podem ser causadas por parkinsonismo, distúrbios de marcha ou fraqueza muscular.  </w:t>
              <w:br/>
              <w:br/>
              <w:t xml:space="preserve">**Tratamentos para equilíbrio**:  </w:t>
              <w:br/>
              <w:t xml:space="preserve">- **Fisioterapia**: Exercícios de fortalecimento, treino de marcha e equilíbrio.  </w:t>
              <w:br/>
              <w:t xml:space="preserve">- **Auxílio de mobilidade**: Andadores ou bengalas para estabilidade.  </w:t>
              <w:br/>
              <w:t xml:space="preserve">- **Medicação**: Avaliar ajuste de fármacos que possam piorar o equilíbrio (ex.: benzodiazepínicos).  </w:t>
              <w:br/>
              <w:t xml:space="preserve">- **Segurança ambiental**: Adaptar o lar para reduzir quedas (corrimãos, pisos antiderrapantes).  </w:t>
              <w:br/>
              <w:br/>
              <w:t xml:space="preserve">Se houver parkinsonismo associado, pode-se testar levodopa, mas resposta é variável.  </w:t>
              <w:br/>
              <w:br/>
              <w:t>(Evidências baseadas em diretrizes de manejo de Alzheimer com comorbidades motoras.)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Os sintomas descritos (rigidez, postura inclinada e quedas) podem sugerir **parkinsonismo associado à Doença de Alzheimer** ou uma **comorbidade como Doença de Parkinson/Demência por Corpos de Lewy**.  </w:t>
              <w:br/>
              <w:br/>
              <w:t xml:space="preserve">**Abordagens para equilíbrio:**  </w:t>
              <w:br/>
              <w:t xml:space="preserve">1. **Fisioterapia**: Exercícios específicos para equilíbrio e fortalecimento muscular.  </w:t>
              <w:br/>
              <w:t xml:space="preserve">2. **Ajuste ambiental**: Remover tapetes, usar barras de apoio e calçados antiderrapantes.  </w:t>
              <w:br/>
              <w:t xml:space="preserve">3. **Medicação**:  </w:t>
              <w:br/>
              <w:t xml:space="preserve">   - Se parkinsonismo: Pode-se testar levodopa (resposta variável).  </w:t>
              <w:br/>
              <w:t xml:space="preserve">   - Evitar neurolépticos (pioram rigidez).  </w:t>
              <w:br/>
              <w:t xml:space="preserve">4. **Avaliação multidisciplinar**: Excluir outras causas (hidrocefalia, deficiência de vitamina B12).  </w:t>
              <w:br/>
              <w:br/>
              <w:t>Encaminhar para neurologista para confirmação diagnóstica e ajuste terapêutico.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Machuquei o paciente quando tirei da cama e coloquei na cadeira de rodas, desloquei meu ombro nessa manobra. Existe alguma técnica para mover o paciente sem machucar ele e o cuidador?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Para mover pacientes com Alzheimer de forma segura:  </w:t>
              <w:br/>
              <w:br/>
              <w:t xml:space="preserve">1. **Use técnicas de ergonomia**:  </w:t>
              <w:br/>
              <w:t xml:space="preserve">   - Mantenha a coluna reta, dobre os joelhos e use a força das pernas.  </w:t>
              <w:br/>
              <w:t xml:space="preserve">   - Evite torções do tronco.  </w:t>
              <w:br/>
              <w:br/>
              <w:t xml:space="preserve">2. **Auxílios mecânicos**:  </w:t>
              <w:br/>
              <w:t xml:space="preserve">   - Cintas de transferência, polias ou cadeiras de rodas com apoio de peso (como no caso do robô *high-walker* citado).  </w:t>
              <w:br/>
              <w:br/>
              <w:t xml:space="preserve">3. **Treinamento**:  </w:t>
              <w:br/>
              <w:t xml:space="preserve">   - Capacitação em manuseio seguro de pacientes (ex.: técnicas de *pivot transfer*).  </w:t>
              <w:br/>
              <w:br/>
              <w:t xml:space="preserve">4. **Suporte físico**:  </w:t>
              <w:br/>
              <w:t xml:space="preserve">   - Se o paciente tem instabilidade (como ataxia), considere dispositivos de apoio (ex.: cinta de cintura para evitar quedas).  </w:t>
              <w:br/>
              <w:br/>
              <w:t>Lesões em cuidadores são comuns (dor lombar/ombro), reforçando a necessidade de técnicas e equipamentos adequados.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**Técnicas para mobilização segura no Alzheimer**:  </w:t>
              <w:br/>
              <w:br/>
              <w:t xml:space="preserve">1. **Planejamento**: Avalie a capacidade do paciente (uso de escalas como Braden ou escala de mobilidade).  </w:t>
              <w:br/>
              <w:t xml:space="preserve">2. **Posicionamento**: Mantenha o paciente próximo ao seu centro de gravidade antes de levantar.  </w:t>
              <w:br/>
              <w:t xml:space="preserve">3. **Auxílio mecânico**: Use cintos de transferência ou dispositivos de elevação, se disponíveis.  </w:t>
              <w:br/>
              <w:t xml:space="preserve">4. **Técnica de pivô**: Gire o paciente em um movimento controlado, evitando torções.  </w:t>
              <w:br/>
              <w:t xml:space="preserve">5. **Treinamento**: Cuidador deve aprender técnicas de ergonomia (ex: flexionar joelhos, não dobrar a coluna).  </w:t>
              <w:br/>
              <w:br/>
              <w:t xml:space="preserve">**Prevenção de lesões**:  </w:t>
              <w:br/>
              <w:t xml:space="preserve">- Pacientes com Alzheimer podem ter rigidez muscular ou resistência ao movimento → abordagem calma e comunicação clara.  </w:t>
              <w:br/>
              <w:t xml:space="preserve">- Dor ou confusão podem aumentar a resistência → avalie desconforto antes da mobilização.  </w:t>
              <w:br/>
              <w:br/>
              <w:t>Se necessário, encaminhe para fisioterapia (paciente e cuidador).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só dorme, não consegue ficar acordado e passa o dia e noite dormindo, isso é normal da doença?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No, dormir excessivamente (hipersonia) não é um sintoma típico da Doença de Alzheimer. O padrão mais comum é a fragmentação do sono, insônia ou inversão do ciclo sono-vigília.  </w:t>
              <w:br/>
              <w:br/>
              <w:t xml:space="preserve">Possíveis causas da hipersonia no contexto de demência:  </w:t>
              <w:br/>
              <w:t xml:space="preserve">- **Comorbidades**: Depressão, apneia do sono ou outras condições médicas.  </w:t>
              <w:br/>
              <w:t xml:space="preserve">- **Efeitos colaterais de medicamentos**: Antipsicóticos, benzodiazepínicos ou antidepressivos.  </w:t>
              <w:br/>
              <w:t xml:space="preserve">- **Fase avançada da doença**: Em estágios terminais, pode ocorrer letargia.  </w:t>
              <w:br/>
              <w:br/>
              <w:t xml:space="preserve">Avalie:  </w:t>
              <w:br/>
              <w:t xml:space="preserve">1. Histórico de medicamentos.  </w:t>
              <w:br/>
              <w:t xml:space="preserve">2. Presença de sintomas depressivos.  </w:t>
              <w:br/>
              <w:t xml:space="preserve">3. Polissonografia se houver suspeita de distúrbios do sono.  </w:t>
              <w:br/>
              <w:br/>
              <w:t>(Fontes implícitas: DSM-5, critérios de Alzheimer típico vs. atípico).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Não, sonolência excessiva não é um sintoma típico do Alzheimer em estágios iniciais ou moderados. Pode ocorrer em fases avançadas devido a:  </w:t>
              <w:br/>
              <w:br/>
              <w:t xml:space="preserve">1. **Alterações circadianas** (comum em demências).  </w:t>
              <w:br/>
              <w:t xml:space="preserve">2. **Infecções** (ex.: ITU).  </w:t>
              <w:br/>
              <w:t xml:space="preserve">3. **Efeitos de medicamentos** (ex.: antipsicóticos).  </w:t>
              <w:br/>
              <w:t xml:space="preserve">4. **Comorbidades** (ex.: AVC, depressão).  </w:t>
              <w:br/>
              <w:br/>
              <w:t xml:space="preserve">Avalie:  </w:t>
              <w:br/>
              <w:t xml:space="preserve">- Histórico recente de medicações.  </w:t>
              <w:br/>
              <w:t xml:space="preserve">- Exames para infecções/metabólicos.  </w:t>
              <w:br/>
              <w:t xml:space="preserve">- Neuroimagem se houver suspeita de outras causas.  </w:t>
              <w:br/>
              <w:br/>
              <w:t>Encaminhe para avaliação clínica urgente.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não dorme, delira o tempo todo e está esgotado, que tipo de medicamento pode ajudar a acalmar e dormir?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Para agitação noturna e insônia em Alzheimer, considere:  </w:t>
              <w:br/>
              <w:br/>
              <w:t xml:space="preserve">1. **Antipsicóticos atípicos** (ex.: quetiapina 12,5–50 mg) se houver psicose associada.  </w:t>
              <w:br/>
              <w:t xml:space="preserve">2. **Melatonina** (2–10 mg) para regulação do ciclo sono-vigília.  </w:t>
              <w:br/>
              <w:t xml:space="preserve">3. **Trazodona** (25–100 mg) como antidepressivo sedativo.  </w:t>
              <w:br/>
              <w:t xml:space="preserve">4. **Benzodiazepínicos** (ex.: lorazepam 0,5–1 mg) apenas para uso pontual devido a risco de queda e confusão.  </w:t>
              <w:br/>
              <w:br/>
              <w:t xml:space="preserve">Evite anticolinérgicos (ex.: difenidramina) e priorize ajustes não farmacológicos (higiene do sono, luz natural).  </w:t>
              <w:br/>
              <w:br/>
              <w:t xml:space="preserve">*Contexto adaptado: Melhora do sono do paciente pode reduzir a necessidade de medicamentos no cuidador (ex.: caso Trygve).*  </w:t>
              <w:br/>
              <w:br/>
              <w:t>Se precisar de referências, solicite.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Em casos de agitação, delírios e insônia no Alzheimer, consideram-se:  </w:t>
              <w:br/>
              <w:br/>
              <w:t xml:space="preserve">1. **Antipsicóticos atípicos** (risperidona, quetiapina) para delírios/agitação (monitorar efeitos adversos).  </w:t>
              <w:br/>
              <w:t xml:space="preserve">2. **Melatonina** (3-10 mg) para regulação do sono (evidência moderada).  </w:t>
              <w:br/>
              <w:t xml:space="preserve">3. **Trazodona** (25-100 mg) para insônia/agitação (baixo risco de efeitos colaterais).  </w:t>
              <w:br/>
              <w:t xml:space="preserve">4. **Benzodiazepínicos** (evitar uso crônico; lorazepam em casos agudos).  </w:t>
              <w:br/>
              <w:br/>
              <w:t>Sempre avaliar riscos x benefícios e ajustar à resposta individual.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Está depressivo e só fala em morrer, adiantaria procurar um terapeuta?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O contexto fornecido não está diretamente relacionado à Doença de Alzheimer, mas sim a luto complicado, cuidados paliativos e AVC.  </w:t>
              <w:br/>
              <w:br/>
              <w:t xml:space="preserve">Se a pergunta é sobre um paciente com Alzheimer que está depressivo e com ideação suicida:  </w:t>
              <w:br/>
              <w:t xml:space="preserve">- **Sim**, procurar um terapeuta é essencial.  </w:t>
              <w:br/>
              <w:t xml:space="preserve">- Depressão é comum em Alzheimer e pode piorar declínio cognitivo.  </w:t>
              <w:br/>
              <w:t xml:space="preserve">- Avaliação psiquiátrica é necessária para diferenciar depressão de apatia (comum no Alzheimer).  </w:t>
              <w:br/>
              <w:t xml:space="preserve">- Intervenções incluem terapia não farmacológica (ex.: validação, estimulação) e, se necessário, ISRS (sertralina, citalopram).  </w:t>
              <w:br/>
              <w:br/>
              <w:t>Se a pergunta não envolve Alzheimer, não posso responder adequadamente.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Sim, procurar um terapeuta é essencial.  </w:t>
              <w:br/>
              <w:t xml:space="preserve">- **Depressão** é comum em Alzheimer, especialmente em estágios iniciais.  </w:t>
              <w:br/>
              <w:t xml:space="preserve">- **Ideação suicida** requer avaliação psiquiátrica urgente, pois há risco aumentado em pacientes com declínio cognitivo.  </w:t>
              <w:br/>
              <w:t xml:space="preserve">- Terapia multimodal (farmacológica + psicológica) é recomendada para manejo.  </w:t>
              <w:br/>
              <w:br/>
              <w:t>Se precisar de fontes, posso fornecer.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Não fala mais, está silencioso, olhar parado e parece não reagir à minha presença, o que eu faço?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técnica:**  </w:t>
              <w:br/>
              <w:t xml:space="preserve">O quadro descrito sugere um possível estado de **apragmatismo** ou **abulia** (perda de iniciativa) comum em fases moderadas/avançadas do Alzheimer.  </w:t>
              <w:br/>
              <w:br/>
              <w:t xml:space="preserve">**Ações imediatas:**  </w:t>
              <w:br/>
              <w:t xml:space="preserve">1. **Avalie segurança:** Verifique sinais vitais (febre, desidratação, dor).  </w:t>
              <w:br/>
              <w:t xml:space="preserve">2. **Estimulação sensorial suave:** Toque no braço, fale com calma, use objetos familiares (fotos, música).  </w:t>
              <w:br/>
              <w:t xml:space="preserve">3. **Exclua causas reversíveis:** Infecções urinárias/respiratórias, constipação, efeitos de medicamentos (ex.: benzodiazepínicos).  </w:t>
              <w:br/>
              <w:br/>
              <w:t xml:space="preserve">**Contexto emocional:**  </w:t>
              <w:br/>
              <w:t xml:space="preserve">- Reações como frustração são comuns em cuidadores.  </w:t>
              <w:br/>
              <w:t xml:space="preserve">- Estratégias não-farmacológicas (rotina previsível, ambiente calmo) reduzem estresse.  </w:t>
              <w:br/>
              <w:br/>
              <w:t xml:space="preserve">Se persistir, avalie com neurologista para ajuste terapêutico (ex.: revisão de inibidores de colinesterase).  </w:t>
              <w:br/>
              <w:br/>
              <w:t xml:space="preserve">*(Baseado em guidelines da AAN e IPA 2023)*.  </w:t>
              <w:br/>
              <w:br/>
              <w:t>**Observação:** Fora do escopo do Alzheimer, recomendo buscar avaliação médica urgente para outras causas (ex.: AVC, delirium).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Paciente com possível **alteração aguda do estado mental** (delirium) ou **estágio avançado de Alzheimer**.  </w:t>
              <w:br/>
              <w:br/>
              <w:t xml:space="preserve">**Ações imediatas:**  </w:t>
              <w:br/>
              <w:t xml:space="preserve">1. **Avalie segurança** (queda, engasgo, infecção).  </w:t>
              <w:br/>
              <w:t xml:space="preserve">2. **Verifique sinais vitais** (febre? hipoglicemia?).  </w:t>
              <w:br/>
              <w:t xml:space="preserve">3. **Estimule verbal/tátil suavemente** – observe resposta.  </w:t>
              <w:br/>
              <w:t xml:space="preserve">4. **Busque causas reversíveis** (ITU, desidratação, medicações).  </w:t>
              <w:br/>
              <w:br/>
              <w:t xml:space="preserve">Se persistir: **encaminhe para avaliação médica urgente**.  </w:t>
              <w:br/>
              <w:br/>
              <w:t>(Em Alzheimer avançado, mutismo e apatia são comuns, mas exclua causas agudas primeiro.)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Pneumonia, Infecção urinária, gripe forte... ele não tem resistência e o corpo está falindo. Como eu posso salvá-lo?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O contexto fornecido não está relacionado à Doença de Alzheimer, mas sim a infecções agudas (pneumonia, leptospirose, tuberculose) e complicações sistêmicas. Para orientação sobre Alzheimer, focaria em:  </w:t>
              <w:br/>
              <w:br/>
              <w:t xml:space="preserve">1. **Infecções em Alzheimer**: Pacientes com Alzheimer têm maior risco de infecções (pneumonia, ITU) devido à disfagia, imobilidade e imunossenescência.  </w:t>
              <w:br/>
              <w:t xml:space="preserve">2. **Manejo**:  </w:t>
              <w:br/>
              <w:t xml:space="preserve">   - **Antibioticoterapia**: Escolha empírica baseada em diretrizes (ex.: ceftriaxona para pneumonia).  </w:t>
              <w:br/>
              <w:t xml:space="preserve">   - **Suporte**: Hidratação, oxigenação e nutrição adequada.  </w:t>
              <w:br/>
              <w:t xml:space="preserve">   - **Cuidados paliativos**: Avaliar benefício vs. carga terapêutica em estágios avançados.  </w:t>
              <w:br/>
              <w:br/>
              <w:t>Se precisar de dados específicos sobre Alzheimer, posso ajustar a resposta.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Infecções como pneumonia e ITU são comorbidades graves em pacientes com Alzheimer avançado, devido à imunossenescência e declínio funcional.  </w:t>
              <w:br/>
              <w:br/>
              <w:t xml:space="preserve">**Ações imediatas**:  </w:t>
              <w:br/>
              <w:t xml:space="preserve">1. **Avaliação médica urgente**: Antibioticoterapia dirigida (ex.: ceftriaxona para pneumonia).  </w:t>
              <w:br/>
              <w:t xml:space="preserve">2. **Hidratação**: Correção de desidratação (via oral ou IV se necessário).  </w:t>
              <w:br/>
              <w:t xml:space="preserve">3. **Suporte nutricional**: Suplementos hipercalóricos se houver disfagia/caquexia.  </w:t>
              <w:br/>
              <w:t xml:space="preserve">4. **Cuidados paliativos**: Considerar se o estágio da doença for terminal (evitar sofrimento).  </w:t>
              <w:br/>
              <w:br/>
              <w:t xml:space="preserve">**Prevenção futura**:  </w:t>
              <w:br/>
              <w:t xml:space="preserve">- Vacinação (influenza, pneumococo).  </w:t>
              <w:br/>
              <w:t xml:space="preserve">- Fisioterapia respiratória e mobilização precoce.  </w:t>
              <w:br/>
              <w:br/>
              <w:t>O foco deve ser qualidade de vida, pois infecções são frequentes causas de morte em demência avançada.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está muito mal, mas eu não quero levá-lo ao hospital porque quero perto da família. E se ele morrer em casa, serei culpada pela morte dele? Se ele morrer no hospital longe da família, serei culpada pelo sofrimento dele?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**Resposta técnica sobre Alzheimer no contexto fornecido:**  </w:t>
              <w:br/>
              <w:br/>
              <w:t xml:space="preserve">1. **Cuidados paliativos em casa vs. hospital:**  </w:t>
              <w:br/>
              <w:t xml:space="preserve">   - A escolha entre casa ou hospital depende do estágio da doença, suporte disponível e preferências do paciente/família.  </w:t>
              <w:br/>
              <w:t xml:space="preserve">   - Morte em casa não implica culpa se houver suporte adequado (ex.: equipe de cuidados paliativos, controle de sintomas).  </w:t>
              <w:br/>
              <w:t xml:space="preserve">   - No hospital, a equipe pode manejar complicações agudas, mas o ambiente pode ser menos familiar.  </w:t>
              <w:br/>
              <w:br/>
              <w:t xml:space="preserve">2. **Impacto emocional no cuidador:**  </w:t>
              <w:br/>
              <w:t xml:space="preserve">   - Culpa é comum em cuidadores, mas decisões devem priorizar conforto do paciente e recursos disponíveis.  </w:t>
              <w:br/>
              <w:t xml:space="preserve">   - COVID-19 exacerbou dilemas (isolamento vs. risco de infecção), mas medidas adaptáveis (ex.: visitas seguras) podem equilibrar necessidades.  </w:t>
              <w:br/>
              <w:br/>
              <w:t xml:space="preserve">3. **Exemplo de DLB (Doença por Corpos de Lewy) no contexto:**  </w:t>
              <w:br/>
              <w:t xml:space="preserve">   - Demonstra que ajustes (medicação, repouso, atividade física) podem melhorar qualidade de vida, mesmo em doenças neurodegenerativas.  </w:t>
              <w:br/>
              <w:br/>
              <w:t>**Se precisar de fontes ou detalhes específicos, solicite.**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decisão sobre cuidados no fim da vida no Alzheimer é complexa, mas você não será culpada em nenhum cenário.  </w:t>
              <w:br/>
              <w:br/>
              <w:t xml:space="preserve">- **Morte em casa**: Se o paciente estiver em cuidados paliativos adequados, a morte em casa é válida e não implica culpa. A presença da família pode trazer conforto.  </w:t>
              <w:br/>
              <w:t xml:space="preserve">- **Morte no hospital**: Pode garantir suporte médico, mas o afastamento da família pode ser emocionalmente difícil.  </w:t>
              <w:br/>
              <w:br/>
              <w:t>O importante é priorizar o conforto do paciente e o suporte familiar. Considere discutir com uma equipe de cuidados paliativos para orientação personalizada.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Estou depressiva e esgotada, gostaria de morrer no lugar dele. Onde consigo ajuda para sair deste poço escuro 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Você está enfrentando um esgotamento emocional grave como cuidadora de alguém com Alzheimer. Isso é comum devido à sobrecarga crônica. Procure ajuda imediata:  </w:t>
              <w:br/>
              <w:br/>
              <w:t xml:space="preserve">1. **Suporte profissional**: Consulte um psiquiatra ou psicólogo especializado em cuidadores. Terapia cognitivo-comportamental (TCC) pode ajudar.  </w:t>
              <w:br/>
              <w:t xml:space="preserve">2. **Redes de apoio**: Busque grupos de apoio para cuidadores (ex.: Associação Brasileira de Alzheimer).  </w:t>
              <w:br/>
              <w:t xml:space="preserve">3. **Intervenção médica**: Se há ideação suicida, busque atendimento emergencial (ex.: CVV - 188).  </w:t>
              <w:br/>
              <w:t xml:space="preserve">4. **Auxílio prático**: Peça ajuda a familiares ou serviços de home care para dividir responsabilidades.  </w:t>
              <w:br/>
              <w:br/>
              <w:t>Cuidar de si não é egoísmo, é essencial para continuar cuidando do outro. Você não está sozinha.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>Lamento sua situação, mas meu foco é em Alzheimer e doenças neurodegenerativas. Recomendo buscar ajuda profissional (psiquiatra/psicólogo) ou contatar o CVV (188) para suporte imediato. Você não está sozinha.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Tenho saudades, será que poderia ter feito melhor?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O contexto sugere sentimentos de culpa e inadequação em cuidadores de pacientes com Alzheimer, especialmente após a institucionalização. Essas emoções são comuns devido à progressão implacável da doença, que frequentemente exige cuidados além da capacidade familiar.  </w:t>
              <w:br/>
              <w:br/>
              <w:t xml:space="preserve">**Pontos-chave**:  </w:t>
              <w:br/>
              <w:t xml:space="preserve">1. **Culpa do cuidador**: Comum em decisões como internação, mas a evolução da doença muitas vezes torna os cuidados domiciliares insustentáveis.  </w:t>
              <w:br/>
              <w:t xml:space="preserve">2. **"Neblina" emocional**: Analogia à desorientação no luto pela perda progressiva do ente querido, mesmo antes da morte física.  </w:t>
              <w:br/>
              <w:t xml:space="preserve">3. **Adaptação**: Melhora gradual após ajustes, mas o processo é doloroso.  </w:t>
              <w:br/>
              <w:br/>
              <w:t>A doença de Alzheimer exige revisão constante das estratégias de cuidado, sem espaço para autocobrança excessiva. A prioridade é garantir segurança e qualidade de vida para o paciente e o cuidador.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Sua pergunta parece relacionada a sentimentos de culpa ou arrependimento, mas não está diretamente ligada à Doença de Alzheimer.  </w:t>
              <w:br/>
              <w:br/>
              <w:t xml:space="preserve">Se estiver se referindo a cuidar de alguém com Alzheimer, saiba que é comum familiares questionarem se fizeram o suficiente. A doença é neurodegenerativa e progressiva, e os cuidadores muitas vezes enfrentam desafios emocionais.  </w:t>
              <w:br/>
              <w:br/>
              <w:t>Caso queira informações técnicas sobre Alzheimer, reformule a pergunta. Estou aqui para ajudar.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Acordo assustada ouvindo-o me chamar, mesmo depois de 2 anos que faleceu, preciso de ajuda. Onde consigo profissional que me ajude?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Você está relatando alucinações auditivas (ouvir a voz do falecido) e sofrimento psicológico significativo após luto prolongado. Isso pode indicar **luto complicado** ou **transtorno de estresse pós-traumático (TEPT)** relacionado ao cuidado estressante de um ente querido com doença crônica/terminal.  </w:t>
              <w:br/>
              <w:br/>
              <w:t xml:space="preserve">**Onde buscar ajuda:**  </w:t>
              <w:br/>
              <w:t xml:space="preserve">1. **Psiquiatra** – Para avaliação de sintomas psiquiátricos (ex.: depressão, TEPT) e possível tratamento farmacológico.  </w:t>
              <w:br/>
              <w:t xml:space="preserve">2. **Psicólogo especializado em luto** – Terapias como **Terapia Cognitivo-Comportamental (TCC)** ou **Terapia do Luto Complicado** são eficazes.  </w:t>
              <w:br/>
              <w:t xml:space="preserve">3. **Grupos de apoio** – Organizações como a **Associação Brasileira de Alzheimer (ABRAz)** oferecem suporte a cuidadores enlutados.  </w:t>
              <w:br/>
              <w:br/>
              <w:t xml:space="preserve">**Contexto relevante:** Seu relato sugere **sobrecarga do cuidador** prévia, com sentimentos de medo, solidão e desamparo, fatores de risco para luto patológico. Intervenções focadas no trauma do cuidado podem ser benéficas.  </w:t>
              <w:br/>
              <w:br/>
              <w:t>Se precisar de indicações de profissionais ou serviços específicos na sua região, informe sua localização.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Você está relatando alucinações auditivas, que podem ocorrer no luto, mas também são sintomas precoces em algumas demências, como Alzheimer. Recomendo buscar:  </w:t>
              <w:br/>
              <w:t xml:space="preserve">1. **Neurologista** ou **psiquiatra** para avaliação diagnóstica.  </w:t>
              <w:br/>
              <w:t xml:space="preserve">2. **Psicólogo** especializado em luto ou neuropsicologia.  </w:t>
              <w:br/>
              <w:t xml:space="preserve">3. **Serviços de saúde mental** (CAPS no Brasil) se acesso for limitado.  </w:t>
              <w:br/>
              <w:br/>
              <w:t>Alucinações isoladas são mais comuns em transtornos psiquiátricos, mas avaliação é essencial para descartar causas neurológicas.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Ele foi embora e a casa está vazia, minha vida está vazia. Como consigo recomeçar com esse peso?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A perda de um ente querido com Alzheimer pode deixar um vazio profundo. Baseado no contexto, alguns pontos-chave para recomeçar:  </w:t>
              <w:br/>
              <w:br/>
              <w:t xml:space="preserve">1. **Reconheça o luto**: É normal sentir-se esgotado após anos de cuidados intensivos. Permita-se viver o luto sem culpa.  </w:t>
              <w:br/>
              <w:br/>
              <w:t xml:space="preserve">2. **Busque apoio**: Conecte-se com grupos de apoio para cuidadores enlutados (ex.: Associação Brasileira de Alzheimer). O suporte social reduz isolamento.  </w:t>
              <w:br/>
              <w:br/>
              <w:t xml:space="preserve">3. **Reconstrua rotinas**: Retome atividades abandonadas durante os cuidados, mesmo que gradualmente. Pequenos passos ajudam a ressignificar o cotidiano.  </w:t>
              <w:br/>
              <w:br/>
              <w:t xml:space="preserve">4. **Cuide da saúde**: Exaustão prolongada pode levar a depressão. Considere acompanhamento psicológico e avalie sinais como insônia persistente.  </w:t>
              <w:br/>
              <w:br/>
              <w:t xml:space="preserve">5. **Reencontre propósito**: Muitos cuidadores redirecionam a dedicação a causas relacionadas (voluntariado, advocacy).  </w:t>
              <w:br/>
              <w:br/>
              <w:t>Evidências do contexto mostram que cuidadores frequentemente negligenciam suas próprias necessidades. Agora é hora de priorizar seu bem-estar.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Lamento pela sua dor, mas minha especialidade é em neurologia e Doença de Alzheimer. Para questões emocionais, recomendo procurar um psicólogo ou psiquiatra.  </w:t>
              <w:br/>
              <w:br/>
              <w:t>Se estiver enfrentando esquecimento ou outros sintomas neurológicos, posso ajudar.</w:t>
            </w:r>
          </w:p>
        </w:tc>
      </w:tr>
    </w:tbl>
    <w:p>
      <w:pPr>
        <w:pStyle w:val="662"/>
        <w:pBdr/>
        <w:bidi w:val="false"/>
        <w:spacing/>
        <w:ind/>
        <w:jc w:val="center"/>
        <w:rPr/>
      </w:pPr>
      <w:r/>
      <w:r/>
    </w:p>
    <w:tbl>
      <w:tblPr>
        <w:tblW w:w="5000" w:type="pct"/>
        <w:tblInd w:w="-5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4986"/>
        <w:gridCol w:w="4986"/>
      </w:tblGrid>
      <w:tr>
        <w:trPr/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972" w:type="dxa"/>
            <w:textDirection w:val="lrTb"/>
            <w:noWrap w:val="false"/>
          </w:tcPr>
          <w:p>
            <w:r>
              <w:t>Esqueci o que fui buscar no mercado, será que estou no início do Alzheimer?</w:t>
            </w:r>
          </w:p>
        </w:tc>
      </w:tr>
      <w:tr>
        <w:trPr/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Com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  <w:tc>
          <w:tcPr>
            <w:shd w:val="clear" w:color="auto" w:fill="cccccc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pPr>
              <w:pStyle w:val="669"/>
              <w:pBdr/>
              <w:bidi w:val="false"/>
              <w:spacing/>
              <w:ind/>
              <w:jc w:val="left"/>
              <w:rPr>
                <w:b/>
                <w:bCs/>
                <w:color w:val="000000"/>
                <w:highlight w:val="none"/>
                <w:shd w:val="clear" w:color="auto" w:fill="auto"/>
              </w:rPr>
            </w:pPr>
            <w:r>
              <w:rPr>
                <w:b/>
                <w:bCs/>
                <w:color w:val="000000"/>
                <w:shd w:val="clear" w:color="auto" w:fill="auto"/>
              </w:rPr>
              <w:t xml:space="preserve">Sem RAG</w:t>
            </w:r>
            <w:r>
              <w:rPr>
                <w:b/>
                <w:bCs/>
                <w:color w:val="000000"/>
                <w:highlight w:val="none"/>
                <w:shd w:val="clear" w:color="auto" w:fill="auto"/>
              </w:rPr>
            </w:r>
          </w:p>
        </w:tc>
      </w:tr>
      <w:tr>
        <w:trPr/>
        <w:tc>
          <w:tcPr>
            <w:tcBorders>
              <w:left w:val="single" w:color="000000" w:sz="4" w:space="0"/>
              <w:bottom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Esquecer ocasionalmente o que foi buscar no mercado é comum e não indica necessariamente Alzheimer. Na Doença de Alzheimer, os esquecimentos são persistentes, progressivos e afetam atividades diárias (ex.: esquecer como usar objetos familiares).  </w:t>
              <w:br/>
              <w:br/>
              <w:t xml:space="preserve">Fatores como estresse, ansiedade ou distração podem causar lapsos de memória sem relação com demência. Se houver preocupação, avalie com um neurologista para exames objetivos (ex.: testes cognitivos, biomarcadores).  </w:t>
              <w:br/>
              <w:br/>
              <w:t>*Contexto citado*: Autorrelatos de problemas cognitivos em idosos podem ser influenciados por personalidade, estresse ou sintomas afetivos, não apenas por declínio objetivo.</w:t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986" w:type="dxa"/>
            <w:textDirection w:val="lrTb"/>
            <w:noWrap w:val="false"/>
          </w:tcPr>
          <w:p>
            <w:r>
              <w:t xml:space="preserve">Esquecer ocasionalmente itens no mercado é comum e não indica necessariamente Alzheimer.  </w:t>
              <w:br/>
              <w:t xml:space="preserve">**Sinais de alerta para Alzheimer incluem**:  </w:t>
              <w:br/>
              <w:t xml:space="preserve">- Esquecer informações recentes com frequência.  </w:t>
              <w:br/>
              <w:t xml:space="preserve">- Dificuldade em planejar ou resolver problemas.  </w:t>
              <w:br/>
              <w:t xml:space="preserve">- Desorientação em locais conhecidos.  </w:t>
              <w:br/>
              <w:br/>
              <w:t>Se os esquecimentos forem recorrentes e afetarem atividades diárias, consulte um neurologista para avaliação.</w:t>
            </w:r>
          </w:p>
        </w:tc>
      </w:tr>
    </w:tbl>
    <w:p>
      <w:pPr>
        <w:pStyle w:val="662"/>
        <w:pBdr/>
        <w:bidi w:val="false"/>
        <w:spacing/>
        <w:ind/>
        <w:jc w:val="left"/>
        <w:rPr/>
      </w:pPr>
      <w:r/>
      <w:r/>
    </w:p>
    <w:sectPr>
      <w:footnotePr/>
      <w:endnotePr/>
      <w:type w:val="nextPage"/>
      <w:pgSz w:h="15840" w:orient="portrait" w:w="12240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Noto Sans">
    <w:panose1 w:val="020B0502040504020204"/>
  </w:font>
  <w:font w:name="FreeSans">
    <w:panose1 w:val="020B0504020202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pStyle w:val="663"/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ans" w:cs="FreeSans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2"/>
    <w:basedOn w:val="662"/>
    <w:next w:val="662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2"/>
    <w:next w:val="662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2"/>
    <w:next w:val="662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2"/>
    <w:next w:val="662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2"/>
    <w:next w:val="662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2"/>
    <w:next w:val="662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2"/>
    <w:next w:val="662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2"/>
    <w:next w:val="662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2"/>
    <w:next w:val="662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2"/>
    <w:next w:val="662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2"/>
    <w:next w:val="662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2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2"/>
    <w:next w:val="662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2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2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2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80">
    <w:name w:val="footnote text"/>
    <w:basedOn w:val="662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2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2"/>
    <w:next w:val="662"/>
    <w:uiPriority w:val="39"/>
    <w:unhideWhenUsed/>
    <w:pPr>
      <w:pBdr/>
      <w:spacing w:after="100"/>
      <w:ind/>
    </w:pPr>
  </w:style>
  <w:style w:type="paragraph" w:styleId="189">
    <w:name w:val="toc 2"/>
    <w:basedOn w:val="662"/>
    <w:next w:val="662"/>
    <w:uiPriority w:val="39"/>
    <w:unhideWhenUsed/>
    <w:pPr>
      <w:pBdr/>
      <w:spacing w:after="100"/>
      <w:ind w:left="220"/>
    </w:pPr>
  </w:style>
  <w:style w:type="paragraph" w:styleId="190">
    <w:name w:val="toc 3"/>
    <w:basedOn w:val="662"/>
    <w:next w:val="662"/>
    <w:uiPriority w:val="39"/>
    <w:unhideWhenUsed/>
    <w:pPr>
      <w:pBdr/>
      <w:spacing w:after="100"/>
      <w:ind w:left="440"/>
    </w:pPr>
  </w:style>
  <w:style w:type="paragraph" w:styleId="191">
    <w:name w:val="toc 4"/>
    <w:basedOn w:val="662"/>
    <w:next w:val="662"/>
    <w:uiPriority w:val="39"/>
    <w:unhideWhenUsed/>
    <w:pPr>
      <w:pBdr/>
      <w:spacing w:after="100"/>
      <w:ind w:left="660"/>
    </w:pPr>
  </w:style>
  <w:style w:type="paragraph" w:styleId="192">
    <w:name w:val="toc 5"/>
    <w:basedOn w:val="662"/>
    <w:next w:val="662"/>
    <w:uiPriority w:val="39"/>
    <w:unhideWhenUsed/>
    <w:pPr>
      <w:pBdr/>
      <w:spacing w:after="100"/>
      <w:ind w:left="880"/>
    </w:pPr>
  </w:style>
  <w:style w:type="paragraph" w:styleId="193">
    <w:name w:val="toc 6"/>
    <w:basedOn w:val="662"/>
    <w:next w:val="662"/>
    <w:uiPriority w:val="39"/>
    <w:unhideWhenUsed/>
    <w:pPr>
      <w:pBdr/>
      <w:spacing w:after="100"/>
      <w:ind w:left="1100"/>
    </w:pPr>
  </w:style>
  <w:style w:type="paragraph" w:styleId="194">
    <w:name w:val="toc 7"/>
    <w:basedOn w:val="662"/>
    <w:next w:val="662"/>
    <w:uiPriority w:val="39"/>
    <w:unhideWhenUsed/>
    <w:pPr>
      <w:pBdr/>
      <w:spacing w:after="100"/>
      <w:ind w:left="1320"/>
    </w:pPr>
  </w:style>
  <w:style w:type="paragraph" w:styleId="195">
    <w:name w:val="toc 8"/>
    <w:basedOn w:val="662"/>
    <w:next w:val="662"/>
    <w:uiPriority w:val="39"/>
    <w:unhideWhenUsed/>
    <w:pPr>
      <w:pBdr/>
      <w:spacing w:after="100"/>
      <w:ind w:left="1540"/>
    </w:pPr>
  </w:style>
  <w:style w:type="paragraph" w:styleId="196">
    <w:name w:val="toc 9"/>
    <w:basedOn w:val="662"/>
    <w:next w:val="662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2"/>
    <w:next w:val="662"/>
    <w:uiPriority w:val="99"/>
    <w:unhideWhenUsed/>
    <w:pPr>
      <w:pBdr/>
      <w:spacing w:after="0" w:afterAutospacing="0"/>
      <w:ind/>
    </w:pPr>
  </w:style>
  <w:style w:type="paragraph" w:styleId="662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ans" w:cs="FreeSans"/>
      <w:color w:val="auto"/>
      <w:sz w:val="24"/>
      <w:szCs w:val="24"/>
      <w:lang w:val="en-US" w:eastAsia="zh-CN" w:bidi="hi-IN"/>
    </w:rPr>
  </w:style>
  <w:style w:type="paragraph" w:styleId="663">
    <w:name w:val="Heading 1"/>
    <w:basedOn w:val="664"/>
    <w:next w:val="665"/>
    <w:qFormat/>
    <w:pPr>
      <w:numPr>
        <w:ilvl w:val="0"/>
        <w:numId w:val="1"/>
      </w:numPr>
      <w:pBdr/>
      <w:spacing w:after="120" w:before="240"/>
      <w:ind/>
      <w:outlineLvl w:val="0"/>
    </w:pPr>
    <w:rPr>
      <w:b/>
      <w:bCs/>
      <w:sz w:val="36"/>
      <w:szCs w:val="36"/>
    </w:rPr>
  </w:style>
  <w:style w:type="paragraph" w:styleId="664">
    <w:name w:val="Heading"/>
    <w:basedOn w:val="662"/>
    <w:next w:val="665"/>
    <w:qFormat/>
    <w:pPr>
      <w:keepNext w:val="true"/>
      <w:pBdr/>
      <w:spacing w:after="120" w:before="240"/>
      <w:ind/>
    </w:pPr>
    <w:rPr>
      <w:rFonts w:ascii="Liberation Sans" w:hAnsi="Liberation Sans" w:eastAsia="Noto Sans" w:cs="FreeSans"/>
      <w:sz w:val="28"/>
      <w:szCs w:val="28"/>
    </w:rPr>
  </w:style>
  <w:style w:type="paragraph" w:styleId="665">
    <w:name w:val="Body Text"/>
    <w:basedOn w:val="662"/>
    <w:pPr>
      <w:pBdr/>
      <w:spacing w:after="140" w:before="0" w:line="276" w:lineRule="auto"/>
      <w:ind/>
    </w:pPr>
  </w:style>
  <w:style w:type="paragraph" w:styleId="666">
    <w:name w:val="List"/>
    <w:basedOn w:val="665"/>
    <w:pPr>
      <w:pBdr/>
      <w:spacing/>
      <w:ind/>
    </w:pPr>
    <w:rPr>
      <w:rFonts w:cs="FreeSans"/>
    </w:rPr>
  </w:style>
  <w:style w:type="paragraph" w:styleId="667">
    <w:name w:val="Caption"/>
    <w:basedOn w:val="662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68">
    <w:name w:val="Index"/>
    <w:basedOn w:val="662"/>
    <w:qFormat/>
    <w:pPr>
      <w:suppressLineNumbers w:val="true"/>
      <w:pBdr/>
      <w:spacing/>
      <w:ind/>
    </w:pPr>
    <w:rPr>
      <w:rFonts w:cs="FreeSans"/>
    </w:rPr>
  </w:style>
  <w:style w:type="paragraph" w:styleId="669">
    <w:name w:val="Table Contents"/>
    <w:basedOn w:val="662"/>
    <w:qFormat/>
    <w:pPr>
      <w:widowControl w:val="false"/>
      <w:suppressLineNumbers w:val="true"/>
      <w:pBdr/>
      <w:spacing/>
      <w:ind/>
    </w:pPr>
  </w:style>
  <w:style w:type="paragraph" w:styleId="670">
    <w:name w:val="Table Heading"/>
    <w:basedOn w:val="669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3</cp:revision>
  <dcterms:created xsi:type="dcterms:W3CDTF">2025-06-16T21:55:15Z</dcterms:created>
  <dcterms:modified xsi:type="dcterms:W3CDTF">2025-06-26T02:51:38Z</dcterms:modified>
</cp:coreProperties>
</file>