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63"/>
        <w:pBdr/>
        <w:bidi w:val="false"/>
        <w:spacing w:after="120" w:before="240"/>
        <w:ind w:firstLine="0" w:left="0"/>
        <w:jc w:val="center"/>
        <w:rPr/>
      </w:pPr>
      <w:r>
        <w:t>Gemini</w:t>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Quais exames detectam Alzheimer?</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O diagnóstico da Doença de Alzheimer é complexo e envolve múltiplas abordagens. Não existe um único exame definitivo.  A avaliação inclui:</w:t>
              <w:br/>
              <w:br/>
              <w:t>* **Avaliação clínica:** Histórico médico detalhado, incluindo sintomas cognitivos (perda de memória, dificuldades de linguagem, desorientação) e avaliação do impacto na vida diária. Exame físico e neurológico.</w:t>
              <w:br/>
              <w:t>* **Testes cognitivos:** Instrumentos como o Mini-Exame do Estado Mental (MEEM),  avaliam funções como memória, atenção e linguagem. O BrainCheck, como descrito no contexto, é um exemplo de bateria de testes neuropsicológicos.</w:t>
              <w:br/>
              <w:t>* **Neuroimagem:** Ressonância magnética (RM) do cérebro pode auxiliar a descartar outras causas de demência e identificar atrofia em áreas cerebrais típicas do Alzheimer. Tomografia por Emissão de Pósitrons (PET) com marcadores específicos para placas amiloides e emaranhados tau podem ser utilizados em casos selecionados.</w:t>
              <w:br/>
              <w:t>* **Biomarcadores:**  Análise do líquido cefalorraquidiano (LCR) pode medir níveis de proteínas amiloide e tau, características do Alzheimer.  Exames de sangue para dosagem de biomarcadores estão em desenvolvimento, mas ainda não são amplamente utilizados na prática clínica.</w:t>
              <w:br/>
              <w:t>* **Avaliação genética:**  Testes genéticos como APOE podem indicar predisposição, mas não confirmam o diagnóstico.</w:t>
              <w:br/>
              <w:br/>
              <w:br/>
              <w:t>É importante ressaltar que o diagnóstico é feito por um médico especialista, considerando a combinação dos resultados dessas avaliações.</w:t>
            </w:r>
          </w:p>
        </w:tc>
        <w:tc>
          <w:tcPr>
            <w:tcBorders>
              <w:left w:val="single" w:color="000000" w:sz="4" w:space="0"/>
              <w:bottom w:val="single" w:color="000000" w:sz="4" w:space="0"/>
              <w:right w:val="single" w:color="000000" w:sz="4" w:space="0"/>
            </w:tcBorders>
            <w:tcW w:w="4986" w:type="dxa"/>
            <w:textDirection w:val="lrTb"/>
            <w:noWrap w:val="false"/>
          </w:tcPr>
          <w:p>
            <w:r>
              <w:t>Exames que auxiliam no diagnóstico de Alzheimer incluem:</w:t>
              <w:br/>
              <w:br/>
              <w:t>* **Testes neuropsicológicos:** Avaliam funções cognitivas como memória, linguagem e atenção.</w:t>
              <w:br/>
              <w:t>* **Neuroimagem:** Ressonância magnética (RM) detecta atrofia cerebral, especialmente no hipocampo e lobo temporal. Tomografia por emissão de pósitrons (PET) com marcadores específicos pode visualizar placas amiloides e emaranhados tau.</w:t>
              <w:br/>
              <w:t>* **Exames de sangue:**  Biomarcadores como proteína amiloide e tau no sangue estão em desenvolvimento e podem auxiliar no diagnóstico futuro, mas ainda não são amplamente utilizados na prática clínica.</w:t>
              <w:br/>
              <w:t>* **Análise do líquido cefalorraquidiano (LCR):**  Pode detectar biomarcadores como proteína amiloide e tau, auxiliando no diagnóstico.</w:t>
            </w:r>
          </w:p>
        </w:tc>
      </w:tr>
    </w:tbl>
    <w:p>
      <w:pPr>
        <w:pStyle w:val="662"/>
        <w:pBdr/>
        <w:bidi w:val="false"/>
        <w:spacing/>
        <w:ind/>
        <w:jc w:val="left"/>
        <w:rPr/>
      </w:pPr>
      <w:r/>
      <w:r/>
    </w:p>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Que especialidade médica pode solicitar exames e dar diagnóstico?</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Neurologistas são os especialistas médicos que diagnosticam e acompanham a Doença de Alzheimer.  Geriatras também podem diagnosticar e co-manejar a doença, especialmente em contextos de cuidados primários. Psiquiatras podem estar envolvidos em casos com sintomas neuropsiquiátricos proeminentes.</w:t>
            </w:r>
          </w:p>
        </w:tc>
        <w:tc>
          <w:tcPr>
            <w:tcBorders>
              <w:left w:val="single" w:color="000000" w:sz="4" w:space="0"/>
              <w:bottom w:val="single" w:color="000000" w:sz="4" w:space="0"/>
              <w:right w:val="single" w:color="000000" w:sz="4" w:space="0"/>
            </w:tcBorders>
            <w:tcW w:w="4986" w:type="dxa"/>
            <w:textDirection w:val="lrTb"/>
            <w:noWrap w:val="false"/>
          </w:tcPr>
          <w:p>
            <w:r>
              <w:t>Neurologistas são os especialistas médicos que diagnosticam e acompanham a Doença de Alzheimer.  Geriatras também podem diagnosticar e co-manejar a doença, especialmente em pacientes idosos com múltiplas comorbidades. Psiquiatras podem estar envolvidos no manejo de sintomas neuropsiquiátricos associados.</w:t>
            </w:r>
          </w:p>
        </w:tc>
      </w:tr>
    </w:tbl>
    <w:p>
      <w:pPr>
        <w:pStyle w:val="662"/>
        <w:pBdr/>
        <w:bidi w:val="false"/>
        <w:spacing/>
        <w:ind/>
        <w:jc w:val="left"/>
        <w:rPr/>
      </w:pPr>
      <w:r/>
      <w:r/>
    </w:p>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O que vai acontecer, ele vai esquecer - só isso?</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A Doença de Alzheimer é uma doença neurodegenerativa progressiva.  O sintoma mais marcante é a perda de memória, inicialmente de eventos recentes, progredindo para memórias mais antigas.  Além da memória, outras funções cognitivas são afetadas, como linguagem, orientação espacial, julgamento e raciocínio.  Com a progressão da doença, o indivíduo pode apresentar alterações comportamentais e de personalidade, dificuldades para realizar atividades diárias, como vestir-se e alimentar-se, e, em estágios avançados, pode se tornar totalmente dependente de cuidados.  A progressão da doença varia de pessoa para pessoa.</w:t>
            </w:r>
          </w:p>
        </w:tc>
        <w:tc>
          <w:tcPr>
            <w:tcBorders>
              <w:left w:val="single" w:color="000000" w:sz="4" w:space="0"/>
              <w:bottom w:val="single" w:color="000000" w:sz="4" w:space="0"/>
              <w:right w:val="single" w:color="000000" w:sz="4" w:space="0"/>
            </w:tcBorders>
            <w:tcW w:w="4986" w:type="dxa"/>
            <w:textDirection w:val="lrTb"/>
            <w:noWrap w:val="false"/>
          </w:tcPr>
          <w:p>
            <w:r>
              <w:t>A Doença de Alzheimer causa muito mais que perda de memória.  Afeta progressivamente múltiplas funções cognitivas, como linguagem,  julgamento,  raciocínio e  comportamento.  Impacta a capacidade de realizar atividades diárias e leva à demência.</w:t>
            </w:r>
          </w:p>
        </w:tc>
      </w:tr>
    </w:tbl>
    <w:p>
      <w:pPr>
        <w:pStyle w:val="662"/>
        <w:pBdr/>
        <w:bidi w:val="false"/>
        <w:spacing/>
        <w:ind/>
        <w:jc w:val="left"/>
        <w:rPr/>
      </w:pPr>
      <w:r/>
      <w:r/>
    </w:p>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Tem cura? Tem tratamento para diminuir os sintomas ou retardar o avanço da doença?</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Não há cura para a Doença de Alzheimer. Existem tratamentos que podem ajudar a controlar os sintomas e retardar a progressão da doença, mas não revertem o dano já existente.  A pesquisa continua em busca de novas terapias.</w:t>
            </w:r>
          </w:p>
        </w:tc>
        <w:tc>
          <w:tcPr>
            <w:tcBorders>
              <w:left w:val="single" w:color="000000" w:sz="4" w:space="0"/>
              <w:bottom w:val="single" w:color="000000" w:sz="4" w:space="0"/>
              <w:right w:val="single" w:color="000000" w:sz="4" w:space="0"/>
            </w:tcBorders>
            <w:tcW w:w="4986" w:type="dxa"/>
            <w:textDirection w:val="lrTb"/>
            <w:noWrap w:val="false"/>
          </w:tcPr>
          <w:p>
            <w:r>
              <w:t>Não há cura para a Doença de Alzheimer. Existem tratamentos que podem ajudar a controlar alguns sintomas cognitivos por tempo limitado, como os inibidores da colinesterase (donepezil, rivastigmina e galantamina) e memantina.  No entanto, nenhum tratamento atual modifica a progressão da doença.  Pesquisas com novas terapias modificadoras da doença estão em andamento.</w:t>
            </w:r>
          </w:p>
        </w:tc>
      </w:tr>
    </w:tbl>
    <w:p>
      <w:pPr>
        <w:pStyle w:val="662"/>
        <w:pBdr/>
        <w:bidi w:val="false"/>
        <w:spacing/>
        <w:ind/>
        <w:jc w:val="left"/>
        <w:rPr/>
      </w:pPr>
      <w:r/>
      <w:r/>
    </w:p>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Ele tem quanto tempo de vida?</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A pergunta sobre tempo de vida é pertinente no contexto da Doença de Alzheimer, mas as informações fornecidas descrevem um paciente com demência, mas não especificamente com Alzheimer.  Além disso,  o texto detalha o caso de John, que tem demência e se beneficia de um livro/filme de história de vida, e outro caso com diagnóstico de demência frontotemporal.  Não há informações suficientes para estimar o tempo de vida de nenhum dos pacientes.  A progressão da demência varia de pessoa para pessoa, dependendo de fatores como tipo de demência, idade, saúde geral e resposta a tratamentos.</w:t>
            </w:r>
          </w:p>
        </w:tc>
        <w:tc>
          <w:tcPr>
            <w:tcBorders>
              <w:left w:val="single" w:color="000000" w:sz="4" w:space="0"/>
              <w:bottom w:val="single" w:color="000000" w:sz="4" w:space="0"/>
              <w:right w:val="single" w:color="000000" w:sz="4" w:space="0"/>
            </w:tcBorders>
            <w:tcW w:w="4986" w:type="dxa"/>
            <w:textDirection w:val="lrTb"/>
            <w:noWrap w:val="false"/>
          </w:tcPr>
          <w:p>
            <w:r>
              <w:t>A progressão da Doença de Alzheimer varia, sendo impossível determinar precisamente o tempo de vida restante após o diagnóstico.  A sobrevida média após o diagnóstico varia de 3 a 11 anos, mas alguns indivíduos vivem por 20 anos ou mais.  Diversos fatores influenciam, incluindo idade no diagnóstico, saúde geral, presença de outras comorbidades e resposta a tratamentos.</w:t>
            </w:r>
          </w:p>
        </w:tc>
      </w:tr>
    </w:tbl>
    <w:p>
      <w:pPr>
        <w:pStyle w:val="662"/>
        <w:pBdr/>
        <w:bidi w:val="false"/>
        <w:spacing/>
        <w:ind/>
        <w:jc w:val="left"/>
        <w:rPr/>
      </w:pPr>
      <w:r/>
      <w:r/>
    </w:p>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É hereditário?</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Embora existam formas hereditárias da Doença de Alzheimer (causadas por mutações genéticas específicas), a maioria dos casos não é diretamente herdada de forma mendeliana simples.  Fatores genéticos influenciam o risco, mas a doença provavelmente surge da interação complexa entre múltiplos genes e fatores ambientais.  A idade avançada é o principal fator de risco.</w:t>
            </w:r>
          </w:p>
        </w:tc>
        <w:tc>
          <w:tcPr>
            <w:tcBorders>
              <w:left w:val="single" w:color="000000" w:sz="4" w:space="0"/>
              <w:bottom w:val="single" w:color="000000" w:sz="4" w:space="0"/>
              <w:right w:val="single" w:color="000000" w:sz="4" w:space="0"/>
            </w:tcBorders>
            <w:tcW w:w="4986" w:type="dxa"/>
            <w:textDirection w:val="lrTb"/>
            <w:noWrap w:val="false"/>
          </w:tcPr>
          <w:p>
            <w:r>
              <w:t>Embora a genética desempenhe um papel, a maioria dos casos de Alzheimer não é diretamente herdada de forma mendeliana simples. Existem genes de risco, como o APOE-ε4, que aumentam a suscetibilidade, mas não garantem o desenvolvimento da doença.  Mutações em genes como APP, PSEN1 e PSEN2 causam formas raras de Alzheimer de início precoce, com padrão de herança autossômico dominante.</w:t>
            </w:r>
          </w:p>
        </w:tc>
      </w:tr>
    </w:tbl>
    <w:p>
      <w:pPr>
        <w:pStyle w:val="662"/>
        <w:pBdr/>
        <w:bidi w:val="false"/>
        <w:spacing/>
        <w:ind/>
        <w:jc w:val="left"/>
        <w:rPr/>
      </w:pPr>
      <w:r/>
      <w:r/>
    </w:p>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Ele está estranho, mas continua trabalhando e dirigindo, será que é Alzheimer mesmo?</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A mudança de comportamento e dificuldades com novas tecnologias e alterações na rotina sugerem comprometimento cognitivo, possível sintoma inicial de Alzheimer.  A incapacidade de se adaptar a mudanças de itinerário ou novas regras de trânsito levanta preocupações sobre a segurança na direção.  No entanto, dirigir e trabalhar não excluem a possibilidade de Alzheimer em estágio inicial.  Avaliação médica especializada é crucial para diagnóstico e conduta.</w:t>
            </w:r>
          </w:p>
        </w:tc>
        <w:tc>
          <w:tcPr>
            <w:tcBorders>
              <w:left w:val="single" w:color="000000" w:sz="4" w:space="0"/>
              <w:bottom w:val="single" w:color="000000" w:sz="4" w:space="0"/>
              <w:right w:val="single" w:color="000000" w:sz="4" w:space="0"/>
            </w:tcBorders>
            <w:tcW w:w="4986" w:type="dxa"/>
            <w:textDirection w:val="lrTb"/>
            <w:noWrap w:val="false"/>
          </w:tcPr>
          <w:p>
            <w:r>
              <w:t>Alterações comportamentais podem ser um sinal precoce, mas sozinhas não confirmam o diagnóstico de Alzheimer.  A avaliação médica especializada é crucial para diferenciar de outras condições e determinar a causa exata.  A capacidade de trabalhar e dirigir, apesar das mudanças, não exclui a possibilidade da doença, mas reforça a necessidade de uma investigação clínica completa.</w:t>
            </w:r>
          </w:p>
        </w:tc>
      </w:tr>
    </w:tbl>
    <w:p>
      <w:pPr>
        <w:pStyle w:val="662"/>
        <w:pBdr/>
        <w:bidi w:val="false"/>
        <w:spacing/>
        <w:ind/>
        <w:jc w:val="left"/>
        <w:rPr/>
      </w:pPr>
      <w:r/>
      <w:r/>
    </w:p>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Ele não quer parar de dirigir, o que eu faço? Ele quase atropelou uma senhora quando subiu na calçada.</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A segurança é primordial. Se o paciente insiste em dirigir, mesmo após aconselhamento médico, a família deve tomar medidas para restringir o acesso às chaves do carro.  Dependendo do estágio da doença, notificar o departamento de veículos pode ser necessário.  A situação descrita, com o paciente quase atropelando alguém, demonstra um perigo iminente.  A família deve considerar alternativas de transporte, como táxis, transporte público adaptado ou motoristas particulares.  Em casos extremos,  intervenção legal pode ser necessária para proteger o paciente e o público.</w:t>
            </w:r>
          </w:p>
        </w:tc>
        <w:tc>
          <w:tcPr>
            <w:tcBorders>
              <w:left w:val="single" w:color="000000" w:sz="4" w:space="0"/>
              <w:bottom w:val="single" w:color="000000" w:sz="4" w:space="0"/>
              <w:right w:val="single" w:color="000000" w:sz="4" w:space="0"/>
            </w:tcBorders>
            <w:tcW w:w="4986" w:type="dxa"/>
            <w:textDirection w:val="lrTb"/>
            <w:noWrap w:val="false"/>
          </w:tcPr>
          <w:p>
            <w:r>
              <w:t>A segurança é primordial.  A direção requer múltiplas funções cognitivas comprometidas na Doença de Alzheimer, como julgamento, atenção e processamento visuoespacial.  Recomenda-se avaliação neuropsicológica para determinar a aptidão para dirigir. Notificar o órgão responsável pela emissão de carteiras de motorista (DETRAN) pode ser necessário.  Converse com a família sobre alternativas de transporte e, se necessário, procure aconselhamento jurídico.</w:t>
            </w:r>
          </w:p>
        </w:tc>
      </w:tr>
    </w:tbl>
    <w:p>
      <w:pPr>
        <w:pStyle w:val="662"/>
        <w:pBdr/>
        <w:bidi w:val="false"/>
        <w:spacing/>
        <w:ind/>
        <w:jc w:val="left"/>
        <w:rPr/>
      </w:pPr>
      <w:r/>
      <w:r/>
    </w:p>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Está ficando agressivo e nega que tem alguma doença. Como impedir que saia sozinho?</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O paciente descrito apresenta um quadro de demência frontotemporal variante comportamental,  e não Doença de Alzheimer.  A agressividade e a negação da doença são sintomas comuns nessa condição.  Para evitar que saia sozinho, estratégias como trancas de segurança,  supervisão constante e pulseiras de identificação com GPS podem ser úteis. Em casos de risco de auto ou heteroagressão,  internação pode ser necessária.  A abordagem multidisciplinar com equipe médica,  psicólogos e assistentes sociais é fundamental.</w:t>
            </w:r>
          </w:p>
        </w:tc>
        <w:tc>
          <w:tcPr>
            <w:tcBorders>
              <w:left w:val="single" w:color="000000" w:sz="4" w:space="0"/>
              <w:bottom w:val="single" w:color="000000" w:sz="4" w:space="0"/>
              <w:right w:val="single" w:color="000000" w:sz="4" w:space="0"/>
            </w:tcBorders>
            <w:tcW w:w="4986" w:type="dxa"/>
            <w:textDirection w:val="lrTb"/>
            <w:noWrap w:val="false"/>
          </w:tcPr>
          <w:p>
            <w:r>
              <w:t>A agressividade e a negação da doença são comuns na Doença de Alzheimer. Impedir que o paciente saia desacompanhado requer estratégias multifacetadas:</w:t>
              <w:br/>
              <w:br/>
              <w:t>* **Segurança:** Instalar trancas de segurança, alarmes nas portas e/ou contratar um cuidador.</w:t>
              <w:br/>
              <w:t>* **Rotina:** Manter uma rotina consistente pode reduzir a ansiedade e a agitação.</w:t>
              <w:br/>
              <w:t>* **Comunicação:** Abordar o paciente com calma e validar seus sentimentos, sem confrontá-lo sobre a doença.</w:t>
              <w:br/>
              <w:t>* **Distração:** Redirecionar a atenção para outras atividades quando demonstra intenção de sair.</w:t>
              <w:br/>
              <w:t>* **Avaliação médica:** Consultar o médico para investigar causas da agressividade e ajustar medicações se necessário.  A agressividade pode ser sintoma de uma infecção ou dor.</w:t>
            </w:r>
          </w:p>
        </w:tc>
      </w:tr>
    </w:tbl>
    <w:p>
      <w:pPr>
        <w:pStyle w:val="662"/>
        <w:pBdr/>
        <w:bidi w:val="false"/>
        <w:spacing/>
        <w:ind/>
        <w:jc w:val="left"/>
        <w:rPr/>
      </w:pPr>
      <w:r/>
      <w:r/>
    </w:p>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Não quer ir ao médico, o que eu faço? Como posso convencê-lo?</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A resistência em procurar um médico pode ser frustrante, especialmente quando se trata de uma doença progressiva como o Alzheimer. Abordar a situação com empatia e foco nos benefícios do diagnóstico precoce é crucial.  Explicar que o tratamento precoce pode ajudar a preservar a função cognitiva por mais tempo e que existem recursos disponíveis para apoio pode ser um bom começo.  Se a pessoa se sente sobrecarregada com outras comorbidades, enfatize que um plano de manejo integrado pode ser desenvolvido para lidar com todas as suas condições de saúde.  Envolvê-la nas decisões sobre seu tratamento e oferecer-se para acompanhá-la às consultas também pode ajudar a reduzir a resistência.</w:t>
            </w:r>
          </w:p>
        </w:tc>
        <w:tc>
          <w:tcPr>
            <w:tcBorders>
              <w:left w:val="single" w:color="000000" w:sz="4" w:space="0"/>
              <w:bottom w:val="single" w:color="000000" w:sz="4" w:space="0"/>
              <w:right w:val="single" w:color="000000" w:sz="4" w:space="0"/>
            </w:tcBorders>
            <w:tcW w:w="4986" w:type="dxa"/>
            <w:textDirection w:val="lrTb"/>
            <w:noWrap w:val="false"/>
          </w:tcPr>
          <w:p>
            <w:r>
              <w:t>A Doença de Alzheimer exige diagnóstico e acompanhamento médico especializado.  Explique a ele a importância do diagnóstico precoce para melhor manejo dos sintomas e qualidade de vida. Se a recusa persistir, procure apoio de outros familiares ou amigos próximos que possam influenciar positivamente a decisão dele.  Ressalte que o médico é um aliado para lidar com a doença.</w:t>
            </w:r>
          </w:p>
        </w:tc>
      </w:tr>
    </w:tbl>
    <w:p>
      <w:pPr>
        <w:pStyle w:val="662"/>
        <w:pBdr/>
        <w:bidi w:val="false"/>
        <w:spacing/>
        <w:ind/>
        <w:jc w:val="left"/>
        <w:rPr/>
      </w:pPr>
      <w:r/>
      <w:r/>
    </w:p>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A agressividade ou a sexualidade exacerbada tem algum medicamento para controlar?</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Sim, alterações comportamentais como agressividade e hipersexualidade podem ocorrer na Doença de Alzheimer.  O manejo dessas mudanças  inclui  abordagens não farmacológicas (identificar gatilhos, modificar o ambiente) e, em alguns casos, medicamentos.  Os medicamentos  são prescritos com cautela  e individualmente,  podendo incluir antipsicóticos, estabilizadores de humor ou outros, dependendo da avaliação médica.  É fundamental  consultar um neurologista para  diagnóstico e  tratamento adequados.</w:t>
            </w:r>
          </w:p>
        </w:tc>
        <w:tc>
          <w:tcPr>
            <w:tcBorders>
              <w:left w:val="single" w:color="000000" w:sz="4" w:space="0"/>
              <w:bottom w:val="single" w:color="000000" w:sz="4" w:space="0"/>
              <w:right w:val="single" w:color="000000" w:sz="4" w:space="0"/>
            </w:tcBorders>
            <w:tcW w:w="4986" w:type="dxa"/>
            <w:textDirection w:val="lrTb"/>
            <w:noWrap w:val="false"/>
          </w:tcPr>
          <w:p>
            <w:r>
              <w:t>Sim, alterações comportamentais como agressividade e desinibição sexual são comuns na Doença de Alzheimer.  O manejo inclui abordagens não farmacológicas (identificar gatilhos, modificar o ambiente) e, em alguns casos, medicamentos.  Para agressividade, podem ser considerados antipsicóticos atípicos (risperidona, olanzapina) com cautela devido aos riscos.  Para desinibição sexual,  ISRSs como a sertralina podem ser úteis.  A escolha da medicação e o ajuste de dose devem ser individualizados e monitorados por um médico.</w:t>
            </w:r>
          </w:p>
        </w:tc>
      </w:tr>
    </w:tbl>
    <w:p>
      <w:pPr>
        <w:pStyle w:val="662"/>
        <w:pBdr/>
        <w:bidi w:val="false"/>
        <w:spacing/>
        <w:ind/>
        <w:jc w:val="left"/>
        <w:rPr/>
      </w:pPr>
      <w:r/>
      <w:r/>
    </w:p>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A agitação e os delírios são normais? Ele vê fantasmas e bichos na parede, como devo lidar com isso, sem deixá-lo agressivo?</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Sim, agitação e delírios, incluindo alucinações visuais como as descritas, são comuns na Doença de Alzheimer, especialmente nos estágios moderados a graves.  A abordagem não deve ser confrontativa.  Tentar convencer o paciente de que as alucinações não são reais pode aumentar a agitação e a desconfiança. Em vez disso, valide os sentimentos do paciente sem confirmar a realidade da alucinação.  Distração e redirecionamento para outras atividades podem ser úteis. Ajustes no ambiente, como boa iluminação e redução de estímulos, também podem ajudar.  Em alguns casos, medicação antipsicótica pode ser necessária, mas deve ser usada com cautela devido aos potenciais efeitos colaterais.</w:t>
            </w:r>
          </w:p>
        </w:tc>
        <w:tc>
          <w:tcPr>
            <w:tcBorders>
              <w:left w:val="single" w:color="000000" w:sz="4" w:space="0"/>
              <w:bottom w:val="single" w:color="000000" w:sz="4" w:space="0"/>
              <w:right w:val="single" w:color="000000" w:sz="4" w:space="0"/>
            </w:tcBorders>
            <w:tcW w:w="4986" w:type="dxa"/>
            <w:textDirection w:val="lrTb"/>
            <w:noWrap w:val="false"/>
          </w:tcPr>
          <w:p>
            <w:r>
              <w:t xml:space="preserve">Sim, agitação e delírios, incluindo alucinações visuais (ver fantasmas e bichos), são sintomas comuns na Doença de Alzheimer, especialmente nos estágios moderados e avançados.  </w:t>
              <w:br/>
              <w:br/>
              <w:t>Para lidar com esses comportamentos, mantenha um ambiente calmo e bem iluminado, evite confrontar as alucinações diretamente, valide os sentimentos do paciente sem reforçar o delírio ("Entendo que esteja assustado") e distraia-o com atividades prazerosas. Em alguns casos, medicação antipsicótica pode ser necessária, sob prescrição médica.</w:t>
            </w:r>
          </w:p>
        </w:tc>
      </w:tr>
    </w:tbl>
    <w:p>
      <w:pPr>
        <w:pStyle w:val="662"/>
        <w:pBdr/>
        <w:bidi w:val="false"/>
        <w:spacing/>
        <w:ind/>
        <w:jc w:val="left"/>
        <w:rPr/>
      </w:pPr>
      <w:r/>
      <w:r/>
    </w:p>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Ele acaba de almoçar e quer almoçar novamente, diz que não comeu nada, ou ele se recusa a comer qualquer alimento e beber água. Existe alguma vitamina ou produto que supra a falta de alimento?</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A recusa alimentar e a repetição de pedidos de refeição são comuns na Doença de Alzheimer devido à perda de memória recente e alterações no comportamento. Não existe vitamina ou produto que substitua uma refeição completa. O foco deve estar em estratégias para garantir a ingestão adequada de nutrientes.  A consistência da dieta, horários regulares e ambiente calmo podem ajudar.  Em alguns casos, suplementos nutricionais podem ser necessários, mas sempre com acompanhamento médico.</w:t>
            </w:r>
          </w:p>
        </w:tc>
        <w:tc>
          <w:tcPr>
            <w:tcBorders>
              <w:left w:val="single" w:color="000000" w:sz="4" w:space="0"/>
              <w:bottom w:val="single" w:color="000000" w:sz="4" w:space="0"/>
              <w:right w:val="single" w:color="000000" w:sz="4" w:space="0"/>
            </w:tcBorders>
            <w:tcW w:w="4986" w:type="dxa"/>
            <w:textDirection w:val="lrTb"/>
            <w:noWrap w:val="false"/>
          </w:tcPr>
          <w:p>
            <w:r>
              <w:t>Em pacientes com Alzheimer, a repetição de perguntas e a confusão sobre refeições são comuns devido à perda de memória recente.  A recusa alimentar pode ter múltiplas causas, incluindo alterações no paladar, dificuldade de deglutição, depressão ou simplesmente o esquecimento da necessidade de comer. Não existe uma vitamina ou produto que substitua completamente a alimentação.  O foco deve estar em identificar e abordar a causa da recusa, adaptando a dieta (textura, temperatura, apresentação) e o ambiente das refeições para torná-las mais prazerosas e acessíveis.  Em casos persistentes,  consulta com nutricionista e/ou fonoaudiólogo é recomendada.</w:t>
            </w:r>
          </w:p>
        </w:tc>
      </w:tr>
    </w:tbl>
    <w:p>
      <w:pPr>
        <w:pStyle w:val="662"/>
        <w:pBdr/>
        <w:bidi w:val="false"/>
        <w:spacing/>
        <w:ind/>
        <w:jc w:val="left"/>
        <w:rPr/>
      </w:pPr>
      <w:r/>
      <w:r/>
    </w:p>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Ele não quer tomar banho, como fazer a higiene dele, se não tenho forças para levá-lo ao chuveiro à força?</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A resistência ao banho é comum em pacientes com Alzheimer.  Criar uma rotina consistente, um ambiente calmo e convidativo, com temperatura agradável da água, pode ajudar. Se possível, ofereça opções, como banho de chuveiro ou esponja, e permita que o paciente participe do processo o máximo possível.  Explicar cada etapa do banho também pode minimizar a ansiedade. Se a resistência persistir, um cuidador profissional pode ser necessário.</w:t>
            </w:r>
          </w:p>
        </w:tc>
        <w:tc>
          <w:tcPr>
            <w:tcBorders>
              <w:left w:val="single" w:color="000000" w:sz="4" w:space="0"/>
              <w:bottom w:val="single" w:color="000000" w:sz="4" w:space="0"/>
              <w:right w:val="single" w:color="000000" w:sz="4" w:space="0"/>
            </w:tcBorders>
            <w:tcW w:w="4986" w:type="dxa"/>
            <w:textDirection w:val="lrTb"/>
            <w:noWrap w:val="false"/>
          </w:tcPr>
          <w:p>
            <w:r>
              <w:t>A resistência ao banho é comum em pacientes com Alzheimer devido à confusão, medo ou desconforto sensorial.  Evite confrontos. Tente:</w:t>
              <w:br/>
              <w:br/>
              <w:t>* **Rotina:** Estabeleça horários fixos para o banho, criando previsibilidade.</w:t>
              <w:br/>
              <w:t>* **Ambiente calmo:** Música suave, iluminação adequada e temperatura agradável podem ajudar.</w:t>
              <w:br/>
              <w:t>* **Simplificação:** Divida a tarefa em etapas menores, explicando cada uma com calma.</w:t>
              <w:br/>
              <w:t>* **Auxílios:** Esponjas de cabo longo, chuveirinho e cadeira de banho facilitam o processo.</w:t>
              <w:br/>
              <w:t>* **Profissional:**  Considere um cuidador profissional se a situação for muito difícil.  A segurança do paciente e a sua própria saúde física e mental são importantes.</w:t>
            </w:r>
          </w:p>
        </w:tc>
      </w:tr>
    </w:tbl>
    <w:p>
      <w:pPr>
        <w:pStyle w:val="662"/>
        <w:pBdr/>
        <w:bidi w:val="false"/>
        <w:spacing/>
        <w:ind/>
        <w:jc w:val="left"/>
        <w:rPr/>
      </w:pPr>
      <w:r/>
      <w:r/>
    </w:p>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Ele me perguntou quem sou eu. Não sabe que é meu pai, em algum momento ele vai me reconhecer novamente?</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A Doença de Alzheimer causa perda de memória progressiva, o que pode levar à dificuldade em reconhecer pessoas, mesmo familiares próximos.  Não é possível prever se seu pai irá reconhecê-la novamente, pois a progressão da doença varia em cada indivíduo.  É importante oferecer apoio emocional e manter rotinas familiares, o que pode proporcionar conforto e segurança, mesmo que o reconhecimento não seja consistente.</w:t>
            </w:r>
          </w:p>
        </w:tc>
        <w:tc>
          <w:tcPr>
            <w:tcBorders>
              <w:left w:val="single" w:color="000000" w:sz="4" w:space="0"/>
              <w:bottom w:val="single" w:color="000000" w:sz="4" w:space="0"/>
              <w:right w:val="single" w:color="000000" w:sz="4" w:space="0"/>
            </w:tcBorders>
            <w:tcW w:w="4986" w:type="dxa"/>
            <w:textDirection w:val="lrTb"/>
            <w:noWrap w:val="false"/>
          </w:tcPr>
          <w:p>
            <w:r>
              <w:t xml:space="preserve">Na Doença de Alzheimer, a perda de memória e a confusão mental são progressivas e, infelizmente, irreversíveis.  Embora possa haver momentos de lucidez,  não há garantia de que seu pai irá reconhecê-la consistentemente novamente.  Recomendo que procure apoio de grupos de apoio ou associações de Alzheimer para ajudá-la a lidar com a situação.  </w:t>
            </w:r>
          </w:p>
        </w:tc>
      </w:tr>
    </w:tbl>
    <w:p>
      <w:pPr>
        <w:pStyle w:val="662"/>
        <w:pBdr/>
        <w:bidi w:val="false"/>
        <w:spacing/>
        <w:ind/>
        <w:jc w:val="left"/>
        <w:rPr/>
      </w:pPr>
      <w:r/>
      <w:r/>
    </w:p>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Quer voltar para casa, insiste que aqui não é a casa dele, como acalmá-lo e mostrar que está na sua casa?</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A confusão sobre o local onde se encontra é comum em pacientes com Alzheimer.  Validar o sentimento do paciente, ao invés de confrontá-lo com a realidade, pode ser mais eficaz. Frases como "Entendo que você queira ir para casa.  Este lugar deve parecer estranho" demonstram empatia. Distraí-lo com uma atividade familiar ou uma conversa sobre um tópico agradável também pode ajudar a redirecionar o foco e reduzir a ansiedade.  Criar um ambiente familiar com fotos e objetos pessoais pode auxiliar na sensação de pertencimento.</w:t>
            </w:r>
          </w:p>
        </w:tc>
        <w:tc>
          <w:tcPr>
            <w:tcBorders>
              <w:left w:val="single" w:color="000000" w:sz="4" w:space="0"/>
              <w:bottom w:val="single" w:color="000000" w:sz="4" w:space="0"/>
              <w:right w:val="single" w:color="000000" w:sz="4" w:space="0"/>
            </w:tcBorders>
            <w:tcW w:w="4986" w:type="dxa"/>
            <w:textDirection w:val="lrTb"/>
            <w:noWrap w:val="false"/>
          </w:tcPr>
          <w:p>
            <w:r>
              <w:t>Redirecione a atenção do paciente para uma atividade familiar e reconfortante.  Evite confrontar a crença de que ele não está em casa, pois isso pode aumentar a agitação.  Valide os sentimentos dele dizendo, por exemplo, "Eu entendo que você queira ir para casa.  Vamos olhar algumas fotos da sua família aqui".</w:t>
            </w:r>
          </w:p>
        </w:tc>
      </w:tr>
    </w:tbl>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Final da tarde ele começa a ficar irritado, como prevenir ou diminuir esse estresse e medo do entardecer?</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A irritabilidade ao final da tarde, conhecida como "síndrome do pôr do sol", é comum em pacientes com Alzheimer.  Para minimizar esse sintoma, recomenda-se:</w:t>
              <w:br/>
              <w:br/>
              <w:t>* **Rotina consistente:** Manter horários regulares para refeições, atividades e sono.</w:t>
              <w:br/>
              <w:t>* **Ambiente calmo:** Reduzir estímulos sensoriais excessivos, como barulho e luzes fortes, no final da tarde.</w:t>
              <w:br/>
              <w:t>* **Exposição à luz natural:**  Garantir exposição adequada à luz solar durante o dia para regular o ciclo circadiano.</w:t>
              <w:br/>
              <w:t xml:space="preserve">* **Atividades relaxantes:**  Incluir atividades como música suave, leitura ou um banho quente no final da tarde. </w:t>
              <w:br/>
              <w:t>* **Identificar gatilhos:** Observar e anotar possíveis gatilhos que desencadeiam a irritação, como fome, dor ou cansaço.</w:t>
              <w:br/>
              <w:t>* **Consultar o médico:**  O médico pode avaliar a necessidade de medicações para controlar a agitação e a ansiedade.</w:t>
              <w:br/>
              <w:br/>
              <w:br/>
              <w:t>É importante lembrar que cada paciente é único e o manejo da síndrome do pôr do sol deve ser individualizado.</w:t>
            </w:r>
          </w:p>
        </w:tc>
        <w:tc>
          <w:tcPr>
            <w:tcBorders>
              <w:left w:val="single" w:color="000000" w:sz="4" w:space="0"/>
              <w:bottom w:val="single" w:color="000000" w:sz="4" w:space="0"/>
              <w:right w:val="single" w:color="000000" w:sz="4" w:space="0"/>
            </w:tcBorders>
            <w:tcW w:w="4986" w:type="dxa"/>
            <w:textDirection w:val="lrTb"/>
            <w:noWrap w:val="false"/>
          </w:tcPr>
          <w:p>
            <w:r>
              <w:t>A "Síndrome do Pôr do Sol" (SP) é comum em pacientes com Alzheimer.  Caracteriza-se por aumento da confusão, agitação, ansiedade e irritabilidade no final da tarde e início da noite.  Embora a causa exata seja desconhecida,  algumas estratégias podem ajudar:</w:t>
              <w:br/>
              <w:br/>
              <w:t>* **Rotina:** Manter uma rotina regular de sono, refeições e atividades pode minimizar a desorientação.</w:t>
              <w:br/>
              <w:t>* **Exposição à luz natural:**  Aumentar a exposição à luz solar durante o dia pode ajudar a regular o ciclo circadiano.</w:t>
              <w:br/>
              <w:t>* **Minimizar cochilos:** Cochilos longos ou frequentes durante o dia podem interferir no sono noturno e piorar a SP.</w:t>
              <w:br/>
              <w:t>* **Ambiente calmo:** Criar um ambiente tranquilo e relaxante no final da tarde, com pouca estimulação sensorial, pode ser benéfico.</w:t>
              <w:br/>
              <w:t>* **Identificar gatilhos:** Observar e anotar possíveis gatilhos, como fome, dor, cansaço ou excesso de atividades, pode ajudar a preveni-los.</w:t>
              <w:br/>
              <w:t xml:space="preserve">* **Gerenciamento de medicamentos:** Em alguns casos, o médico pode ajustar a medicação ou prescrever medicamentos específicos para controlar os sintomas da SP. </w:t>
              <w:br/>
              <w:t>* **Atividades relaxantes:** Atividades como música suave, leitura ou um banho quente podem ajudar a acalmar o paciente.</w:t>
            </w:r>
          </w:p>
        </w:tc>
      </w:tr>
    </w:tbl>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Não consegue mais escovar os dentes, como faço a higiene bucal dele?</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A higiene bucal em pacientes com Alzheimer avançado, que não conseguem mais realizar a escovação sozinhos, requer auxílio do cuidador.  Utilize gaze ou escova macia com creme dental fluoretado, umedecidos em água ou antisséptico bucal sem álcool. Limpe delicadamente todas as superfícies dos dentes, gengivas e língua. Se o paciente usa prótese, retire-a para higienizá-la separadamente.  A limpeza deve ser feita após as refeições e antes de dormir.  Em casos de dificuldade, consulte um dentista ou profissional de saúde bucal para orientações personalizadas.</w:t>
            </w:r>
          </w:p>
        </w:tc>
        <w:tc>
          <w:tcPr>
            <w:tcBorders>
              <w:left w:val="single" w:color="000000" w:sz="4" w:space="0"/>
              <w:bottom w:val="single" w:color="000000" w:sz="4" w:space="0"/>
              <w:right w:val="single" w:color="000000" w:sz="4" w:space="0"/>
            </w:tcBorders>
            <w:tcW w:w="4986" w:type="dxa"/>
            <w:textDirection w:val="lrTb"/>
            <w:noWrap w:val="false"/>
          </w:tcPr>
          <w:p>
            <w:r>
              <w:t>A dificuldade em realizar tarefas rotineiras como escovar os dentes é um sintoma comum na progressão da Doença de Alzheimer. Sugere-se adaptar o ambiente e a técnica de escovação. Use escovas com cabo adaptado,  demonstre os movimentos, divida a tarefa em etapas menores e ofereça auxílio físico, se necessário.  Estimule a independência o máximo possível. Consulte um dentista para orientações adicionais e considere o uso de  antissépticos bucais.</w:t>
            </w:r>
          </w:p>
        </w:tc>
      </w:tr>
    </w:tbl>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Ele não consegue mais se alimentar, precisa colocar sonda, como vou manusear essa sonda?</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A pergunta se refere ao manejo de sonda alimentar, presumivelmente uma gastrostomia, em um paciente com Doença de Alzheimer em estágio avançado.  O manejo da sonda requer treinamento específico por um profissional de saúde (enfermeiro ou médico) para garantir a administração segura da alimentação e evitar complicações como infecções ou deslocamento da sonda.  A higiene oral também é crucial e deve ser realizada regularmente.  Não fornecerei instruções detalhadas sobre o procedimento, pois isso deve ser demonstrado e supervisionado por um profissional.  Procure orientação da equipe médica que acompanha o paciente.</w:t>
            </w:r>
          </w:p>
        </w:tc>
        <w:tc>
          <w:tcPr>
            <w:tcBorders>
              <w:left w:val="single" w:color="000000" w:sz="4" w:space="0"/>
              <w:bottom w:val="single" w:color="000000" w:sz="4" w:space="0"/>
              <w:right w:val="single" w:color="000000" w:sz="4" w:space="0"/>
            </w:tcBorders>
            <w:tcW w:w="4986" w:type="dxa"/>
            <w:textDirection w:val="lrTb"/>
            <w:noWrap w:val="false"/>
          </w:tcPr>
          <w:p>
            <w:r>
              <w:t>A colocação e o manuseio de sonda de alimentação requerem treinamento especializado.  Um enfermeiro ou médico irá demonstrar as técnicas adequadas de higiene, administração da dieta e cuidados com a sonda para prevenir infecções.  Entre em contato com a equipe de saúde responsável pelo paciente para receber as instruções e o suporte necessários.  Eles poderão orientá-lo sobre o manuseio específico da sonda escolhida para o paciente.</w:t>
            </w:r>
          </w:p>
        </w:tc>
      </w:tr>
    </w:tbl>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Ele está ficando com o corpo rígido e anda se inclinando, caiu várias vezes, existe algum tratamento para ajudar o equilíbrio?</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Rigidez, inclinação e quedas frequentes podem ser sintomas da progressão da Doença de Alzheimer, especialmente nos estágios moderados a graves.  Embora não haja cura, existem  tratamentos que podem ajudar a controlar esses sintomas. Fisioterapia e terapia ocupacional podem melhorar o equilíbrio e a força.  Em alguns casos, medicações podem ser prescritas para controlar outros sintomas que contribuem para as quedas, como agitação ou confusão.  É importante consultar um médico para avaliar a situação específica e determinar o melhor plano de tratamento.</w:t>
            </w:r>
          </w:p>
        </w:tc>
        <w:tc>
          <w:tcPr>
            <w:tcBorders>
              <w:left w:val="single" w:color="000000" w:sz="4" w:space="0"/>
              <w:bottom w:val="single" w:color="000000" w:sz="4" w:space="0"/>
              <w:right w:val="single" w:color="000000" w:sz="4" w:space="0"/>
            </w:tcBorders>
            <w:tcW w:w="4986" w:type="dxa"/>
            <w:textDirection w:val="lrTb"/>
            <w:noWrap w:val="false"/>
          </w:tcPr>
          <w:p>
            <w:r>
              <w:t>Rigidez e quedas frequentes em pacientes com Alzheimer podem indicar progressão da doença com comprometimento motor.  Fisioterapia, terapia ocupacional e exercícios específicos para equilíbrio podem ajudar.  Em alguns casos, medicação para tratar espasticidade pode ser considerada por um médico.  É importante investigar outras causas de quedas, como efeitos colaterais de medicamentos ou problemas de visão.</w:t>
            </w:r>
          </w:p>
        </w:tc>
      </w:tr>
    </w:tbl>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Machuquei o paciente quando tirei da cama e coloquei na cadeira de rodas, desloquei meu ombro nessa manobra. Existe alguma técnica para mover o paciente sem machucar ele e o cuidador?</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A transferência inadequada de pacientes com Alzheimer pode causar lesões tanto no paciente quanto no cuidador. Recomenda-se o uso de técnicas e equipamentos adequados para minimizar o risco.  Existem diversos recursos disponíveis, como cintos de transferência, elevadores hidráulicos e treinamentos específicos para cuidadores. Técnicas como a de pivô, em que o paciente gira com o apoio do cuidador, minimizam o esforço.  A avaliação por um fisioterapeuta ou terapeuta ocupacional pode auxiliar na identificação da melhor estratégia para cada caso, considerando as habilidades físicas do paciente e do cuidador.</w:t>
            </w:r>
          </w:p>
        </w:tc>
        <w:tc>
          <w:tcPr>
            <w:tcBorders>
              <w:left w:val="single" w:color="000000" w:sz="4" w:space="0"/>
              <w:bottom w:val="single" w:color="000000" w:sz="4" w:space="0"/>
              <w:right w:val="single" w:color="000000" w:sz="4" w:space="0"/>
            </w:tcBorders>
            <w:tcW w:w="4986" w:type="dxa"/>
            <w:textDirection w:val="lrTb"/>
            <w:noWrap w:val="false"/>
          </w:tcPr>
          <w:p>
            <w:r>
              <w:t>Pacientes com Alzheimer em estágios avançados podem apresentar resistência à mobilização.  Técnicas de transferência assistida, como o uso de  cintos de transferência e  pivô com apoio, minimizam o risco de lesões para o paciente e o cuidador. Fisioterapeutas podem treinar cuidadores nessas técnicas.</w:t>
            </w:r>
          </w:p>
        </w:tc>
      </w:tr>
    </w:tbl>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Ele só dorme, não consegue ficar acordado e passa o dia e noite dormindo, isso é normal da doença?</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Sonolência excessiva pode ocorrer em fases mais avançadas da Doença de Alzheimer, mas não é um sintoma inicial típico.  Outras causas devem ser investigadas, como infecções, distúrbios metabólicos, efeitos colaterais de medicamentos ou apneia do sono.  Uma avaliação médica completa é crucial para determinar a causa da sonolência e descartar outras condições.</w:t>
            </w:r>
          </w:p>
        </w:tc>
        <w:tc>
          <w:tcPr>
            <w:tcBorders>
              <w:left w:val="single" w:color="000000" w:sz="4" w:space="0"/>
              <w:bottom w:val="single" w:color="000000" w:sz="4" w:space="0"/>
              <w:right w:val="single" w:color="000000" w:sz="4" w:space="0"/>
            </w:tcBorders>
            <w:tcW w:w="4986" w:type="dxa"/>
            <w:textDirection w:val="lrTb"/>
            <w:noWrap w:val="false"/>
          </w:tcPr>
          <w:p>
            <w:r>
              <w:t>Sonolência excessiva e mudanças no padrão de sono podem ocorrer na Doença de Alzheimer, especialmente em estágios mais avançados.  No entanto,  não é um sintoma isolado que define a doença e pode ter outras causas.  Uma avaliação médica completa é essencial para um diagnóstico preciso.</w:t>
            </w:r>
          </w:p>
        </w:tc>
      </w:tr>
    </w:tbl>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Ele não dorme, delira o tempo todo e está esgotado, que tipo de medicamento pode ajudar a acalmar e dormir?</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Distúrbios do sono, incluindo delírios noturnos, são comuns na Doença de Alzheimer.  A abordagem envolve identificar a causa subjacente do delírio e tratá-la. Medicações específicas para o Alzheimer não tratam diretamente os delírios, mas podem ajudar a controlar os sintomas cognitivos que os agravam.  Em alguns casos, medicações para o sono ou antipsicóticos podem ser considerados, mas com cautela devido aos potenciais efeitos colaterais em idosos.  Ajustes na rotina, terapia de luz e um ambiente calmo podem ser benéficos. Consulte um médico para avaliação e um plano de tratamento individualizado.</w:t>
            </w:r>
          </w:p>
        </w:tc>
        <w:tc>
          <w:tcPr>
            <w:tcBorders>
              <w:left w:val="single" w:color="000000" w:sz="4" w:space="0"/>
              <w:bottom w:val="single" w:color="000000" w:sz="4" w:space="0"/>
              <w:right w:val="single" w:color="000000" w:sz="4" w:space="0"/>
            </w:tcBorders>
            <w:tcW w:w="4986" w:type="dxa"/>
            <w:textDirection w:val="lrTb"/>
            <w:noWrap w:val="false"/>
          </w:tcPr>
          <w:p>
            <w:r>
              <w:t>Em pacientes com Doença de Alzheimer, distúrbios do sono e delírios são comuns.  Não posso recomendar medicamentos específicos,  um médico deve avaliar o paciente para determinar a causa desses sintomas e prescrever o tratamento adequado.  Medicações para o Alzheimer em si  não tratam diretamente esses sintomas, podendo ser necessário o uso de outros medicamentos para o manejo dos distúrbios de sono e delírios.</w:t>
            </w:r>
          </w:p>
        </w:tc>
      </w:tr>
    </w:tbl>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Está depressivo e só fala em morrer, adiantaria procurar um terapeuta?</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A depressão é um sintoma comum na Doença de Alzheimer, especialmente nos estágios iniciais.  A terapia, com um profissional qualificado, pode ser benéfica para ajudar o indivíduo a lidar com os desafios emocionais e comportamentais associados à doença.  Entretanto, depressão e ideação suicida requerem atenção médica imediata, independente de um diagnóstico de Alzheimer.  É crucial buscar ajuda profissional de um médico ou psiquiatra para avaliar a situação e determinar o tratamento adequado, que pode incluir medicação, terapia ou uma combinação de ambos.</w:t>
            </w:r>
          </w:p>
        </w:tc>
        <w:tc>
          <w:tcPr>
            <w:tcBorders>
              <w:left w:val="single" w:color="000000" w:sz="4" w:space="0"/>
              <w:bottom w:val="single" w:color="000000" w:sz="4" w:space="0"/>
              <w:right w:val="single" w:color="000000" w:sz="4" w:space="0"/>
            </w:tcBorders>
            <w:tcW w:w="4986" w:type="dxa"/>
            <w:textDirection w:val="lrTb"/>
            <w:noWrap w:val="false"/>
          </w:tcPr>
          <w:p>
            <w:r>
              <w:t>Embora a depressão possa ser um sintoma da Doença de Alzheimer, especialmente em estágios iniciais, ela também pode existir independentemente.  Um terapeuta pode auxiliar no diagnóstico diferencial e oferecer suporte, independente da causa da depressão.  A ideação suicida é séria e requer atenção imediata.  Procure ajuda profissional de um terapeuta ou psiquiatra, e em casos de emergência, ligue para o serviço de emergência local (ex: 192 no Brasil, 911 nos EUA).</w:t>
            </w:r>
          </w:p>
        </w:tc>
      </w:tr>
    </w:tbl>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Não fala mais, está silencioso, olhar parado e parece não reagir à minha presença, o que eu faço?</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 xml:space="preserve">O comportamento descrito sugere um estágio avançado da Doença de Alzheimer.  A apatia, a falta de comunicação verbal e a ausência de resposta a estímulos externos são comuns.  Recomenda-se uma avaliação médica para descartar outras condições e discutir cuidados paliativos, focando no conforto e bem-estar do paciente.  </w:t>
            </w:r>
          </w:p>
        </w:tc>
        <w:tc>
          <w:tcPr>
            <w:tcBorders>
              <w:left w:val="single" w:color="000000" w:sz="4" w:space="0"/>
              <w:bottom w:val="single" w:color="000000" w:sz="4" w:space="0"/>
              <w:right w:val="single" w:color="000000" w:sz="4" w:space="0"/>
            </w:tcBorders>
            <w:tcW w:w="4986" w:type="dxa"/>
            <w:textDirection w:val="lrTb"/>
            <w:noWrap w:val="false"/>
          </w:tcPr>
          <w:p>
            <w:r>
              <w:t>Esses sintomas podem indicar progressão da Doença de Alzheimer para estágios mais avançados.  É crucial consultar um neurologista imediatamente para avaliação e ajustes no plano de cuidados.  A comunicação e interação podem estar comprometidas, mas ainda é importante oferecer conforto e estímulo sensorial.</w:t>
            </w:r>
          </w:p>
        </w:tc>
      </w:tr>
    </w:tbl>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Pneumonia, Infecção urinária, gripe forte... ele não tem resistência e o corpo está falindo. Como eu posso salvá-lo?</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Infecções recorrentes em pacientes com Alzheimer avançado, como pneumonia, infecção urinária e gripe, são comuns devido à  disfunção progressiva do sistema imunológico, dificuldade de deglutição (o que aumenta o risco de pneumonia aspirativa) e mobilidade reduzida.  Aumentar a resistência do paciente com foco em conforto e qualidade de vida é crucial nesta fase.  Infelizmente, não há como "salvar" o paciente no sentido de reverter a doença neurodegenerativa. O foco deve ser em cuidados paliativos,  prevenção de infecções (como vacinação e higiene adequada) e manejo dos sintomas para garantir o bem-estar.</w:t>
            </w:r>
          </w:p>
        </w:tc>
        <w:tc>
          <w:tcPr>
            <w:tcBorders>
              <w:left w:val="single" w:color="000000" w:sz="4" w:space="0"/>
              <w:bottom w:val="single" w:color="000000" w:sz="4" w:space="0"/>
              <w:right w:val="single" w:color="000000" w:sz="4" w:space="0"/>
            </w:tcBorders>
            <w:tcW w:w="4986" w:type="dxa"/>
            <w:textDirection w:val="lrTb"/>
            <w:noWrap w:val="false"/>
          </w:tcPr>
          <w:p>
            <w:r>
              <w:t>Infecções recorrentes em pacientes com Alzheimer avançado são comuns devido à deterioração do sistema imunológico e dificuldades de deglutição, aumentando o risco de pneumonia aspirativa.  O foco dos cuidados paliativos nesses casos  visa o conforto e a qualidade de vida,  controlando os sintomas e prevenindo novas infecções.  Converse com a equipe médica sobre  antibióticos,  suporte nutricional e  cuidados respiratórios para alívio dos sintomas.</w:t>
            </w:r>
          </w:p>
        </w:tc>
      </w:tr>
    </w:tbl>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Ele está muito mal, mas eu não quero levá-lo ao hospital porque quero perto da família. E se ele morrer em casa, serei culpada pela morte dele? Se ele morrer no hospital longe da família, serei culpada pelo sofrimento dele?</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A Doença de Alzheimer é uma doença neurodegenerativa progressiva que causa declínio cognitivo, afetando memória, pensamento e comportamento.  Não há cura, e o foco do tratamento é controlar os sintomas e melhorar a qualidade de vida.  A decisão sobre o local de cuidado, em casa ou hospital, deve ser baseada nas necessidades do paciente, disponibilidade de suporte familiar e recursos, e em consulta com a equipe médica.  O sentimento de culpa é comum entre cuidadores, mas lembre-se que você está fazendo o melhor possível em uma situação difícil.  O importante é garantir o conforto e bem-estar do paciente, independentemente do local de cuidado.</w:t>
            </w:r>
          </w:p>
        </w:tc>
        <w:tc>
          <w:tcPr>
            <w:tcBorders>
              <w:left w:val="single" w:color="000000" w:sz="4" w:space="0"/>
              <w:bottom w:val="single" w:color="000000" w:sz="4" w:space="0"/>
              <w:right w:val="single" w:color="000000" w:sz="4" w:space="0"/>
            </w:tcBorders>
            <w:tcW w:w="4986" w:type="dxa"/>
            <w:textDirection w:val="lrTb"/>
            <w:noWrap w:val="false"/>
          </w:tcPr>
          <w:p>
            <w:r>
              <w:t>Entendo sua preocupação e o conflito emocional que está enfrentando. A Doença de Alzheimer em estágio avançado exige cuidados complexos, e a decisão sobre o local de cuidado deve considerar o bem-estar do paciente e o suporte disponível.  O importante é que ele receba os cuidados paliativos adequados para garantir conforto e dignidade, seja em casa ou em um hospital.  Não se culpe.  O foco deve estar em proporcionar o melhor cuidado possível a ele neste momento difícil, com apoio de profissionais de saúde e da família.  Conversar com a equipe médica sobre suas preocupações pode ajudar a encontrar a melhor solução para todos.</w:t>
            </w:r>
          </w:p>
        </w:tc>
      </w:tr>
    </w:tbl>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Estou depressiva e esgotada, gostaria de morrer no lugar dele. Onde consigo ajuda para sair deste poço escuro ?</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A depressão e o esgotamento são comuns entre cuidadores de pessoas com Alzheimer. É crucial buscar ajuda. Existem grupos de apoio, terapia individual e familiar, e recursos online que podem auxiliar a lidar com essas emoções. Organizações como a Associação Brasileira de Alzheimer (ABRAZ) oferecem suporte e informações.  Procure um profissional de saúde mental para avaliação e tratamento adequados.</w:t>
            </w:r>
          </w:p>
        </w:tc>
        <w:tc>
          <w:tcPr>
            <w:tcBorders>
              <w:left w:val="single" w:color="000000" w:sz="4" w:space="0"/>
              <w:bottom w:val="single" w:color="000000" w:sz="4" w:space="0"/>
              <w:right w:val="single" w:color="000000" w:sz="4" w:space="0"/>
            </w:tcBorders>
            <w:tcW w:w="4986" w:type="dxa"/>
            <w:textDirection w:val="lrTb"/>
            <w:noWrap w:val="false"/>
          </w:tcPr>
          <w:p>
            <w:r>
              <w:t>Compreendo sua angústia e exaustão. Cuidar de alguém com Alzheimer é uma tarefa desafiadora.  Embora eu não possa fornecer aconselhamento sobre depressão ou ideações suicidas, posso orientá-la a buscar ajuda. Recomendo que você converse com um profissional de saúde mental, como um psicólogo ou psiquiatra.  Existem também grupos de apoio para cuidadores de pessoas com Alzheimer que podem oferecer suporte emocional e prático.  A Associação Brasileira de Alzheimer (ABRAZ) pode ser um bom ponto de partida para encontrar recursos e informações.  Lembre-se, você não está sozinha. Buscar ajuda é um sinal de força, e existem pessoas prontas para apoiá-la.</w:t>
            </w:r>
          </w:p>
        </w:tc>
      </w:tr>
    </w:tbl>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Tenho saudades, será que poderia ter feito melhor?</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A questão das saudades e a reflexão sobre se poderia ter feito melhor são comuns em cuidadores de pessoas com Alzheimer.  A doença impõe limitações e desafios que podem gerar culpa e frustração.  É importante lembrar que o Alzheimer é uma doença progressiva e incurável, e que o foco deve estar em proporcionar o melhor cuidado possível dentro das circunstâncias. Buscar apoio de grupos de apoio, terapia ou aconselhamento pode ajudar a lidar com esses sentimentos.</w:t>
            </w:r>
          </w:p>
        </w:tc>
        <w:tc>
          <w:tcPr>
            <w:tcBorders>
              <w:left w:val="single" w:color="000000" w:sz="4" w:space="0"/>
              <w:bottom w:val="single" w:color="000000" w:sz="4" w:space="0"/>
              <w:right w:val="single" w:color="000000" w:sz="4" w:space="0"/>
            </w:tcBorders>
            <w:tcW w:w="4986" w:type="dxa"/>
            <w:textDirection w:val="lrTb"/>
            <w:noWrap w:val="false"/>
          </w:tcPr>
          <w:p>
            <w:r>
              <w:t>A Doença de Alzheimer é uma doença neurodegenerativa progressiva que afeta a memória, o pensamento e o comportamento.  Infelizmente, não há cura e seu curso é inexorável.  Sentimentos de culpa e questionamentos sobre o passado são comuns entre familiares e cuidadores. É importante lembrar que o Alzheimer é uma doença e você fez o melhor que pôde dentro das circunstâncias. Buscar apoio em grupos de apoio ou terapia pode ser benéfico para lidar com esses sentimentos.</w:t>
            </w:r>
          </w:p>
        </w:tc>
      </w:tr>
    </w:tbl>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Acordo assustada ouvindo-o me chamar, mesmo depois de 2 anos que faleceu, preciso de ajuda. Onde consigo profissional que me ajude?</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Alucinações auditivas, como ouvir a voz de alguém falecido, podem ocorrer em estágios mais avançados da Doença de Alzheimer.  Recomendo que procure um geriatra, neurologista ou psiquiatra para avaliação e diagnóstico.  Um psicólogo ou terapeuta também pode ajudar no manejo do luto e das dificuldades emocionais associadas.</w:t>
            </w:r>
          </w:p>
        </w:tc>
        <w:tc>
          <w:tcPr>
            <w:tcBorders>
              <w:left w:val="single" w:color="000000" w:sz="4" w:space="0"/>
              <w:bottom w:val="single" w:color="000000" w:sz="4" w:space="0"/>
              <w:right w:val="single" w:color="000000" w:sz="4" w:space="0"/>
            </w:tcBorders>
            <w:tcW w:w="4986" w:type="dxa"/>
            <w:textDirection w:val="lrTb"/>
            <w:noWrap w:val="false"/>
          </w:tcPr>
          <w:p>
            <w:r>
              <w:t xml:space="preserve">Sinto muito pela sua perda. Alucinações auditivas, como ouvir a voz de alguém falecido, podem ocorrer em estágios mais avançados da Doença de Alzheimer.  Um geriatra ou neurologista pode avaliar os sintomas e  fornecer o diagnóstico e tratamento adequado.  Um psicólogo ou psiquiatra também pode ajudar no manejo do sofrimento emocional associado a essas experiências.  </w:t>
            </w:r>
          </w:p>
        </w:tc>
      </w:tr>
    </w:tbl>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Ele foi embora e a casa está vazia, minha vida está vazia. Como consigo recomeçar com esse peso?</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A sobrecarga do cuidador é um aspecto crítico da Doença de Alzheimer.  O cuidador frequentemente negligencia suas próprias necessidades para atender as do paciente, resultando em exaustão física e emocional.  A perda da vida social, o isolamento e a constante preocupação com o ente querido agravam o sofrimento.  Buscar apoio de grupos de apoio, terapia e serviços de assistência domiciliar pode auxiliar a lidar com a situação e permitir momentos de respiro.  O sentimento de vazio após a progressão da doença ou falecimento é natural e faz parte do processo de luto. Recomeçar exige tempo, paciência e apoio.  Concentrar-se em atividades prazerosas, reconstruir laços sociais e buscar ajuda profissional para processar o luto são passos importantes para reconstruir a vida.</w:t>
            </w:r>
          </w:p>
        </w:tc>
        <w:tc>
          <w:tcPr>
            <w:tcBorders>
              <w:left w:val="single" w:color="000000" w:sz="4" w:space="0"/>
              <w:bottom w:val="single" w:color="000000" w:sz="4" w:space="0"/>
              <w:right w:val="single" w:color="000000" w:sz="4" w:space="0"/>
            </w:tcBorders>
            <w:tcW w:w="4986" w:type="dxa"/>
            <w:textDirection w:val="lrTb"/>
            <w:noWrap w:val="false"/>
          </w:tcPr>
          <w:p>
            <w:r>
              <w:t>Sinto muito pela sua perda. A pergunta sugere um sofrimento emocional profundo, possivelmente relacionado à demência, que pode ser um fator de estresse para cuidadores.  Recomendo que busque apoio psicológico e grupos de apoio para cuidadores, que podem auxiliar no processo de luto e readaptação à nova realidade.  Existem também associações de Alzheimer que oferecem recursos e informações.  Embora eu possa informar sobre a doença, não posso oferecer aconselhamento sobre questões pessoais ou emocionais.</w:t>
            </w:r>
          </w:p>
        </w:tc>
      </w:tr>
    </w:tbl>
    <w:p>
      <w:pPr>
        <w:pStyle w:val="662"/>
        <w:pBdr/>
        <w:bidi w:val="false"/>
        <w:spacing/>
        <w:ind/>
        <w:jc w:val="center"/>
        <w:rPr/>
      </w:pPr>
      <w:r/>
      <w:r/>
    </w:p>
    <w:tbl>
      <w:tblPr>
        <w:tblW w:w="5000" w:type="pct"/>
        <w:tblInd w:w="-5" w:type="dxa"/>
        <w:tblBorders/>
        <w:tblLayout w:type="fixed"/>
        <w:tblCellMar>
          <w:left w:w="55" w:type="dxa"/>
          <w:top w:w="55" w:type="dxa"/>
          <w:right w:w="55" w:type="dxa"/>
          <w:bottom w:w="55" w:type="dxa"/>
        </w:tblCellMar>
        <w:tblLook w:val="04A0" w:firstRow="1" w:lastRow="0" w:firstColumn="1" w:lastColumn="0" w:noHBand="0" w:noVBand="1"/>
      </w:tblPr>
      <w:tblGrid>
        <w:gridCol w:w="4986"/>
        <w:gridCol w:w="4986"/>
      </w:tblGrid>
      <w:tr>
        <w:trPr/>
        <w:tc>
          <w:tcPr>
            <w:gridSpan w:val="2"/>
            <w:tcBorders>
              <w:top w:val="single" w:color="000000" w:sz="4" w:space="0"/>
              <w:left w:val="single" w:color="000000" w:sz="4" w:space="0"/>
              <w:bottom w:val="single" w:color="000000" w:sz="4" w:space="0"/>
              <w:right w:val="single" w:color="000000" w:sz="4" w:space="0"/>
            </w:tcBorders>
            <w:tcW w:w="9972" w:type="dxa"/>
            <w:textDirection w:val="lrTb"/>
            <w:noWrap w:val="false"/>
          </w:tcPr>
          <w:p>
            <w:r>
              <w:t>Esqueci o que fui buscar no mercado, será que estou no início do Alzheimer?</w:t>
            </w:r>
          </w:p>
        </w:tc>
      </w:tr>
      <w:tr>
        <w:trPr/>
        <w:tc>
          <w:tcPr>
            <w:shd w:val="clear" w:color="auto" w:fill="cccccc"/>
            <w:tcBorders>
              <w:left w:val="single" w:color="000000" w:sz="4" w:space="0"/>
              <w:bottom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Com RAG</w:t>
            </w:r>
            <w:r>
              <w:rPr>
                <w:b/>
                <w:bCs/>
                <w:color w:val="000000"/>
                <w:highlight w:val="none"/>
                <w:shd w:val="clear" w:color="auto" w:fill="auto"/>
              </w:rPr>
            </w:r>
          </w:p>
        </w:tc>
        <w:tc>
          <w:tcPr>
            <w:shd w:val="clear" w:color="auto" w:fill="cccccc"/>
            <w:tcBorders>
              <w:left w:val="single" w:color="000000" w:sz="4" w:space="0"/>
              <w:bottom w:val="single" w:color="000000" w:sz="4" w:space="0"/>
              <w:right w:val="single" w:color="000000" w:sz="4" w:space="0"/>
            </w:tcBorders>
            <w:tcW w:w="4986" w:type="dxa"/>
            <w:textDirection w:val="lrTb"/>
            <w:noWrap w:val="false"/>
          </w:tcPr>
          <w:p>
            <w:pPr>
              <w:pStyle w:val="669"/>
              <w:pBdr/>
              <w:bidi w:val="false"/>
              <w:spacing/>
              <w:ind/>
              <w:jc w:val="left"/>
              <w:rPr>
                <w:b/>
                <w:bCs/>
                <w:color w:val="000000"/>
                <w:highlight w:val="none"/>
                <w:shd w:val="clear" w:color="auto" w:fill="auto"/>
              </w:rPr>
            </w:pPr>
            <w:r>
              <w:rPr>
                <w:b/>
                <w:bCs/>
                <w:color w:val="000000"/>
                <w:shd w:val="clear" w:color="auto" w:fill="auto"/>
              </w:rPr>
              <w:t xml:space="preserve">Sem RAG</w:t>
            </w:r>
            <w:r>
              <w:rPr>
                <w:b/>
                <w:bCs/>
                <w:color w:val="000000"/>
                <w:highlight w:val="none"/>
                <w:shd w:val="clear" w:color="auto" w:fill="auto"/>
              </w:rPr>
            </w:r>
          </w:p>
        </w:tc>
      </w:tr>
      <w:tr>
        <w:trPr/>
        <w:tc>
          <w:tcPr>
            <w:tcBorders>
              <w:left w:val="single" w:color="000000" w:sz="4" w:space="0"/>
              <w:bottom w:val="single" w:color="000000" w:sz="4" w:space="0"/>
            </w:tcBorders>
            <w:tcW w:w="4986" w:type="dxa"/>
            <w:textDirection w:val="lrTb"/>
            <w:noWrap w:val="false"/>
          </w:tcPr>
          <w:p>
            <w:r>
              <w:t>Esquecer algo ocasionalmente, como o que foi comprar no mercado, não significa necessariamente o início da Doença de Alzheimer.  Lapsos de memória são comuns e podem ocorrer por diversos motivos, como estresse, cansaço ou distração.  A Doença de Alzheimer envolve um declínio cognitivo persistente e progressivo que afeta múltiplas áreas da cognição, incluindo memória, linguagem,  julgamento e raciocínio.  Se a sua preocupação persistir ou se você notar outros sintomas, como dificuldade em realizar tarefas familiares,  perda de iniciativa e mudanças de humor, consulte um médico neurologista para uma avaliação adequada.</w:t>
            </w:r>
          </w:p>
        </w:tc>
        <w:tc>
          <w:tcPr>
            <w:tcBorders>
              <w:left w:val="single" w:color="000000" w:sz="4" w:space="0"/>
              <w:bottom w:val="single" w:color="000000" w:sz="4" w:space="0"/>
              <w:right w:val="single" w:color="000000" w:sz="4" w:space="0"/>
            </w:tcBorders>
            <w:tcW w:w="4986" w:type="dxa"/>
            <w:textDirection w:val="lrTb"/>
            <w:noWrap w:val="false"/>
          </w:tcPr>
          <w:p>
            <w:r>
              <w:t>Esquecer itens ocasionalmente não é indicativo de Alzheimer.  A doença envolve declínio cognitivo persistente e progressivo em múltiplas áreas, afetando significativamente a vida diária.  Consulte um médico para avaliação se a sua preocupação persistir ou se surgirem outros sintomas.</w:t>
            </w:r>
          </w:p>
        </w:tc>
      </w:tr>
    </w:tbl>
    <w:p>
      <w:pPr>
        <w:pStyle w:val="662"/>
        <w:pBdr/>
        <w:bidi w:val="false"/>
        <w:spacing/>
        <w:ind/>
        <w:jc w:val="left"/>
        <w:rPr/>
      </w:pPr>
      <w:r/>
      <w:r/>
    </w:p>
    <w:sectPr>
      <w:footnotePr/>
      <w:endnotePr/>
      <w:type w:val="nextPage"/>
      <w:pgSz w:h="15840" w:orient="portrait" w:w="12240"/>
      <w:pgMar w:top="1134" w:right="1134" w:bottom="1134" w:left="1134"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Arial">
    <w:panose1 w:val="020B0604020202020204"/>
  </w:font>
  <w:font w:name="Noto Sans">
    <w:panose1 w:val="020B0502040504020204"/>
  </w:font>
  <w:font w:name="FreeSans">
    <w:panose1 w:val="020B0504020202020204"/>
  </w:font>
  <w:font w:name="Liberation Serif">
    <w:panose1 w:val="020206030504050203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numFmt w:val="none"/>
      <w:pPr>
        <w:pBdr/>
        <w:tabs>
          <w:tab w:val="num" w:leader="none" w:pos="0"/>
        </w:tabs>
        <w:spacing/>
        <w:ind w:firstLine="0" w:left="0"/>
      </w:pPr>
      <w:pStyle w:val="663"/>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autoHyphenation w:val="true"/>
  <w:hyphenationZone w:val="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oto Sans" w:cs="FreeSans"/>
        <w:sz w:val="24"/>
        <w:szCs w:val="24"/>
        <w:lang w:val="en-US" w:eastAsia="zh-CN" w:bidi="hi-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cbf04"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43f03"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3feba" w:themeFill="accent1" w:themeFillTint="34"/>
    </w:tblPr>
    <w:tcPr>
      <w:tcBorders/>
    </w:tcPr>
    <w:tblStylePr w:type="band1Horz">
      <w:pPr>
        <w:pBdr/>
        <w:spacing/>
        <w:ind/>
      </w:pPr>
      <w:tblPr>
        <w:tblBorders/>
      </w:tblPr>
      <w:tcPr>
        <w:shd w:val="clear" w:color="ffffff" w:themeColor="accent1" w:themeTint="75" w:fill="78fc64" w:themeFill="accent1" w:themeFillTint="75"/>
        <w:tcBorders/>
      </w:tcPr>
    </w:tblStylePr>
    <w:tblStylePr w:type="band1Vert">
      <w:pPr>
        <w:pBdr/>
        <w:spacing/>
        <w:ind/>
      </w:pPr>
      <w:tblPr>
        <w:tblBorders/>
      </w:tblPr>
      <w:tcPr>
        <w:shd w:val="clear" w:color="ffffff" w:themeColor="accent1" w:themeTint="75" w:fill="78fc6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8a303" w:themeFill="accent1"/>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rFonts w:ascii="Arial" w:hAnsi="Arial"/>
        <w:b/>
        <w:color w:val="ffffff"/>
        <w:sz w:val="22"/>
      </w:rPr>
      <w:pPr>
        <w:pBdr/>
        <w:spacing/>
        <w:ind/>
      </w:pPr>
      <w:tblPr>
        <w:tblBorders/>
      </w:tblPr>
      <w:tcPr>
        <w:shd w:val="clear" w:color="ffffff" w:themeColor="accent1" w:fill="18a303" w:themeFill="accent1"/>
        <w:tcBorders/>
      </w:tcPr>
    </w:tblStylePr>
    <w:tblStylePr w:type="lastRow">
      <w:rPr>
        <w:rFonts w:ascii="Arial" w:hAnsi="Arial"/>
        <w:b/>
        <w:color w:val="ffffff"/>
        <w:sz w:val="22"/>
      </w:rPr>
      <w:pPr>
        <w:pBdr/>
        <w:spacing/>
        <w:ind/>
      </w:pPr>
      <w:tblPr>
        <w:tblBorders/>
      </w:tblPr>
      <w:tcPr>
        <w:shd w:val="clear" w:color="ffffff" w:themeColor="accent1" w:fill="18a303"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bde6fe" w:themeFill="accent2" w:themeFillTint="32"/>
    </w:tblPr>
    <w:tcPr>
      <w:tcBorders/>
    </w:tcPr>
    <w:tblStylePr w:type="band1Horz">
      <w:pPr>
        <w:pBdr/>
        <w:spacing/>
        <w:ind/>
      </w:pPr>
      <w:tblPr>
        <w:tblBorders/>
      </w:tblPr>
      <w:tcPr>
        <w:shd w:val="clear" w:color="ffffff" w:themeColor="accent2" w:themeTint="75" w:fill="64c5fc" w:themeFill="accent2" w:themeFillTint="75"/>
        <w:tcBorders/>
      </w:tcPr>
    </w:tblStylePr>
    <w:tblStylePr w:type="band1Vert">
      <w:pPr>
        <w:pBdr/>
        <w:spacing/>
        <w:ind/>
      </w:pPr>
      <w:tblPr>
        <w:tblBorders/>
      </w:tblPr>
      <w:tcPr>
        <w:shd w:val="clear" w:color="ffffff" w:themeColor="accent2" w:themeTint="75" w:fill="64c5f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0369a3" w:themeFill="accent2"/>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rFonts w:ascii="Arial" w:hAnsi="Arial"/>
        <w:b/>
        <w:color w:val="ffffff"/>
        <w:sz w:val="22"/>
      </w:rPr>
      <w:pPr>
        <w:pBdr/>
        <w:spacing/>
        <w:ind/>
      </w:pPr>
      <w:tblPr>
        <w:tblBorders/>
      </w:tblPr>
      <w:tcPr>
        <w:shd w:val="clear" w:color="ffffff" w:themeColor="accent2" w:fill="0369a3" w:themeFill="accent2"/>
        <w:tcBorders/>
      </w:tcPr>
    </w:tblStylePr>
    <w:tblStylePr w:type="lastRow">
      <w:rPr>
        <w:rFonts w:ascii="Arial" w:hAnsi="Arial"/>
        <w:b/>
        <w:color w:val="ffffff"/>
        <w:sz w:val="22"/>
      </w:rPr>
      <w:pPr>
        <w:pBdr/>
        <w:spacing/>
        <w:ind/>
      </w:pPr>
      <w:tblPr>
        <w:tblBorders/>
      </w:tblPr>
      <w:tcPr>
        <w:shd w:val="clear" w:color="ffffff" w:themeColor="accent2" w:fill="0369a3"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ed3ba" w:themeFill="accent3" w:themeFillTint="34"/>
    </w:tblPr>
    <w:tcPr>
      <w:tcBorders/>
    </w:tcPr>
    <w:tblStylePr w:type="band1Horz">
      <w:pPr>
        <w:pBdr/>
        <w:spacing/>
        <w:ind/>
      </w:pPr>
      <w:tblPr>
        <w:tblBorders/>
      </w:tblPr>
      <w:tcPr>
        <w:shd w:val="clear" w:color="ffffff" w:themeColor="accent3" w:themeTint="75" w:fill="fc9c64" w:themeFill="accent3" w:themeFillTint="75"/>
        <w:tcBorders/>
      </w:tcPr>
    </w:tblStylePr>
    <w:tblStylePr w:type="band1Vert">
      <w:pPr>
        <w:pBdr/>
        <w:spacing/>
        <w:ind/>
      </w:pPr>
      <w:tblPr>
        <w:tblBorders/>
      </w:tblPr>
      <w:tcPr>
        <w:shd w:val="clear" w:color="ffffff" w:themeColor="accent3" w:themeTint="75" w:fill="fc9c64"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33e03" w:themeFill="accent3"/>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rFonts w:ascii="Arial" w:hAnsi="Arial"/>
        <w:b/>
        <w:color w:val="ffffff"/>
        <w:sz w:val="22"/>
      </w:rPr>
      <w:pPr>
        <w:pBdr/>
        <w:spacing/>
        <w:ind/>
      </w:pPr>
      <w:tblPr>
        <w:tblBorders/>
      </w:tblPr>
      <w:tcPr>
        <w:shd w:val="clear" w:color="ffffff" w:themeColor="accent3" w:fill="a33e03" w:themeFill="accent3"/>
        <w:tcBorders/>
      </w:tcPr>
    </w:tblStylePr>
    <w:tblStylePr w:type="lastRow">
      <w:rPr>
        <w:rFonts w:ascii="Arial" w:hAnsi="Arial"/>
        <w:b/>
        <w:color w:val="ffffff"/>
        <w:sz w:val="22"/>
      </w:rPr>
      <w:pPr>
        <w:pBdr/>
        <w:spacing/>
        <w:ind/>
      </w:pPr>
      <w:tblPr>
        <w:tblBorders/>
      </w:tblPr>
      <w:tcPr>
        <w:shd w:val="clear" w:color="ffffff" w:themeColor="accent3" w:fill="a33e03"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5bafe" w:themeFill="accent4" w:themeFillTint="34"/>
    </w:tblPr>
    <w:tcPr>
      <w:tcBorders/>
    </w:tcPr>
    <w:tblStylePr w:type="band1Horz">
      <w:pPr>
        <w:pBdr/>
        <w:spacing/>
        <w:ind/>
      </w:pPr>
      <w:tblPr>
        <w:tblBorders/>
      </w:tblPr>
      <w:tcPr>
        <w:shd w:val="clear" w:color="ffffff" w:themeColor="accent4" w:themeTint="75" w:fill="e864fc" w:themeFill="accent4" w:themeFillTint="75"/>
        <w:tcBorders/>
      </w:tcPr>
    </w:tblStylePr>
    <w:tblStylePr w:type="band1Vert">
      <w:pPr>
        <w:pBdr/>
        <w:spacing/>
        <w:ind/>
      </w:pPr>
      <w:tblPr>
        <w:tblBorders/>
      </w:tblPr>
      <w:tcPr>
        <w:shd w:val="clear" w:color="ffffff" w:themeColor="accent4" w:themeTint="75" w:fill="e864fc"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e03a3" w:themeFill="accent4"/>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rFonts w:ascii="Arial" w:hAnsi="Arial"/>
        <w:b/>
        <w:color w:val="ffffff"/>
        <w:sz w:val="22"/>
      </w:rPr>
      <w:pPr>
        <w:pBdr/>
        <w:spacing/>
        <w:ind/>
      </w:pPr>
      <w:tblPr>
        <w:tblBorders/>
      </w:tblPr>
      <w:tcPr>
        <w:shd w:val="clear" w:color="ffffff" w:themeColor="accent4" w:fill="8e03a3" w:themeFill="accent4"/>
        <w:tcBorders/>
      </w:tcPr>
    </w:tblStylePr>
    <w:tblStylePr w:type="lastRow">
      <w:rPr>
        <w:rFonts w:ascii="Arial" w:hAnsi="Arial"/>
        <w:b/>
        <w:color w:val="ffffff"/>
        <w:sz w:val="22"/>
      </w:rPr>
      <w:pPr>
        <w:pBdr/>
        <w:spacing/>
        <w:ind/>
      </w:pPr>
      <w:tblPr>
        <w:tblBorders/>
      </w:tblPr>
      <w:tcPr>
        <w:shd w:val="clear" w:color="ffffff" w:themeColor="accent4" w:fill="8e03a3"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ff1c0" w:themeFill="accent5" w:themeFillTint="34"/>
    </w:tblPr>
    <w:tcPr>
      <w:tcBorders/>
    </w:tcPr>
    <w:tblStylePr w:type="band1Horz">
      <w:pPr>
        <w:pBdr/>
        <w:spacing/>
        <w:ind/>
      </w:pPr>
      <w:tblPr>
        <w:tblBorders/>
      </w:tblPr>
      <w:tcPr>
        <w:shd w:val="clear" w:color="ffffff" w:themeColor="accent5" w:themeTint="75" w:fill="ffdf71" w:themeFill="accent5" w:themeFillTint="75"/>
        <w:tcBorders/>
      </w:tcPr>
    </w:tblStylePr>
    <w:tblStylePr w:type="band1Vert">
      <w:pPr>
        <w:pBdr/>
        <w:spacing/>
        <w:ind/>
      </w:pPr>
      <w:tblPr>
        <w:tblBorders/>
      </w:tblPr>
      <w:tcPr>
        <w:shd w:val="clear" w:color="ffffff" w:themeColor="accent5" w:themeTint="75" w:fill="ffdf71"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c99c00" w:themeFill="accent5"/>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rFonts w:ascii="Arial" w:hAnsi="Arial"/>
        <w:b/>
        <w:color w:val="ffffff"/>
        <w:sz w:val="22"/>
      </w:rPr>
      <w:pPr>
        <w:pBdr/>
        <w:spacing/>
        <w:ind/>
      </w:pPr>
      <w:tblPr>
        <w:tblBorders/>
      </w:tblPr>
      <w:tcPr>
        <w:shd w:val="clear" w:color="ffffff" w:themeColor="accent5" w:fill="c99c00" w:themeFill="accent5"/>
        <w:tcBorders/>
      </w:tcPr>
    </w:tblStylePr>
    <w:tblStylePr w:type="lastRow">
      <w:rPr>
        <w:rFonts w:ascii="Arial" w:hAnsi="Arial"/>
        <w:b/>
        <w:color w:val="ffffff"/>
        <w:sz w:val="22"/>
      </w:rPr>
      <w:pPr>
        <w:pBdr/>
        <w:spacing/>
        <w:ind/>
      </w:pPr>
      <w:tblPr>
        <w:tblBorders/>
      </w:tblPr>
      <w:tcPr>
        <w:shd w:val="clear" w:color="ffffff" w:themeColor="accent5" w:fill="c99c00"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8cecd" w:themeFill="accent6" w:themeFillTint="34"/>
    </w:tblPr>
    <w:tcPr>
      <w:tcBorders/>
    </w:tcPr>
    <w:tblStylePr w:type="band1Horz">
      <w:pPr>
        <w:pBdr/>
        <w:spacing/>
        <w:ind/>
      </w:pPr>
      <w:tblPr>
        <w:tblBorders/>
      </w:tblPr>
      <w:tcPr>
        <w:shd w:val="clear" w:color="ffffff" w:themeColor="accent6" w:themeTint="75" w:fill="ee9190" w:themeFill="accent6" w:themeFillTint="75"/>
        <w:tcBorders/>
      </w:tcPr>
    </w:tblStylePr>
    <w:tblStylePr w:type="band1Vert">
      <w:pPr>
        <w:pBdr/>
        <w:spacing/>
        <w:ind/>
      </w:pPr>
      <w:tblPr>
        <w:tblBorders/>
      </w:tblPr>
      <w:tcPr>
        <w:shd w:val="clear" w:color="ffffff" w:themeColor="accent6" w:themeTint="75" w:fill="ee9190"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c9211e" w:themeFill="accent6"/>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rFonts w:ascii="Arial" w:hAnsi="Arial"/>
        <w:b/>
        <w:color w:val="ffffff"/>
        <w:sz w:val="22"/>
      </w:rPr>
      <w:pPr>
        <w:pBdr/>
        <w:spacing/>
        <w:ind/>
      </w:pPr>
      <w:tblPr>
        <w:tblBorders/>
      </w:tblPr>
      <w:tcPr>
        <w:shd w:val="clear" w:color="ffffff" w:themeColor="accent6" w:fill="c9211e" w:themeFill="accent6"/>
        <w:tcBorders/>
      </w:tcPr>
    </w:tblStylePr>
    <w:tblStylePr w:type="lastRow">
      <w:rPr>
        <w:rFonts w:ascii="Arial" w:hAnsi="Arial"/>
        <w:b/>
        <w:color w:val="ffffff"/>
        <w:sz w:val="22"/>
      </w:rPr>
      <w:pPr>
        <w:pBdr/>
        <w:spacing/>
        <w:ind/>
      </w:pPr>
      <w:tblPr>
        <w:tblBorders/>
      </w:tblPr>
      <w:tcPr>
        <w:shd w:val="clear" w:color="ffffff" w:themeColor="accent6" w:fill="c9211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cc103" w:themeColor="accent1" w:themeTint="80" w:themeShade="95"/>
      </w:rPr>
      <w:pPr>
        <w:pBdr/>
        <w:spacing/>
        <w:ind/>
      </w:pPr>
      <w:tblPr>
        <w:tblBorders/>
      </w:tblPr>
      <w:tcPr>
        <w:tcBorders/>
      </w:tcPr>
    </w:tblStylePr>
    <w:tblStylePr w:type="firstRow">
      <w:rPr>
        <w:b/>
        <w:color w:val="1cc103" w:themeColor="accent1" w:themeTint="80" w:themeShade="95"/>
      </w:rPr>
      <w:pPr>
        <w:pBdr/>
        <w:spacing/>
        <w:ind/>
      </w:pPr>
      <w:tblPr>
        <w:tblBorders/>
      </w:tblPr>
      <w:tcPr>
        <w:tcBorders>
          <w:bottom w:val="single" w:color="000000" w:themeColor="accent1" w:themeTint="80" w:sz="12" w:space="0"/>
        </w:tcBorders>
      </w:tcPr>
    </w:tblStylePr>
    <w:tblStylePr w:type="lastCol">
      <w:rPr>
        <w:b/>
        <w:color w:val="1cc103" w:themeColor="accent1" w:themeTint="80" w:themeShade="95"/>
      </w:rPr>
      <w:pPr>
        <w:pBdr/>
        <w:spacing/>
        <w:ind/>
      </w:pPr>
      <w:tblPr>
        <w:tblBorders/>
      </w:tblPr>
      <w:tcPr>
        <w:tcBorders/>
      </w:tcPr>
    </w:tblStylePr>
    <w:tblStylePr w:type="lastRow">
      <w:rPr>
        <w:b/>
        <w:color w:val="1cc10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12"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2502" w:themeColor="accent3" w:themeTint="FE" w:themeShade="95"/>
      </w:rPr>
      <w:pPr>
        <w:pBdr/>
        <w:spacing/>
        <w:ind/>
      </w:pPr>
      <w:tblPr>
        <w:tblBorders/>
      </w:tblPr>
      <w:tcPr>
        <w:tcBorders/>
      </w:tcPr>
    </w:tblStylePr>
    <w:tblStylePr w:type="firstRow">
      <w:rPr>
        <w:b/>
        <w:color w:val="602502" w:themeColor="accent3" w:themeTint="FE" w:themeShade="95"/>
      </w:rPr>
      <w:pPr>
        <w:pBdr/>
        <w:spacing/>
        <w:ind/>
      </w:pPr>
      <w:tblPr>
        <w:tblBorders/>
      </w:tblPr>
      <w:tcPr>
        <w:tcBorders>
          <w:bottom w:val="single" w:color="000000" w:themeColor="accent3" w:themeTint="FE" w:sz="12" w:space="0"/>
        </w:tcBorders>
      </w:tcPr>
    </w:tblStylePr>
    <w:tblStylePr w:type="lastCol">
      <w:rPr>
        <w:b/>
        <w:color w:val="602502" w:themeColor="accent3" w:themeTint="FE" w:themeShade="95"/>
      </w:rPr>
      <w:pPr>
        <w:pBdr/>
        <w:spacing/>
        <w:ind/>
      </w:pPr>
      <w:tblPr>
        <w:tblBorders/>
      </w:tblPr>
      <w:tcPr>
        <w:tcBorders/>
      </w:tcPr>
    </w:tblStylePr>
    <w:tblStylePr w:type="lastRow">
      <w:rPr>
        <w:b/>
        <w:color w:val="602502"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12"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5"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6"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cc103"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1cc10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cc103"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cc103"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0471af"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2502"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602502"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2502"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2502"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9703ad"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755b0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755b0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5b00"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755b00"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755b00"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755b00"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751312" w:themeColor="accent6"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751312"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1312"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751312"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751312"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751312"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fb7f36"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ffd544"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e9706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8a303" w:themeFill="accent1"/>
    </w:tblPr>
    <w:tcPr>
      <w:tcBorders/>
    </w:tcPr>
    <w:tblStylePr w:type="band1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8a303"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8a303"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37b4fb" w:themeFill="accent2" w:themeFillTint="97"/>
    </w:tblPr>
    <w:tcPr>
      <w:tcBorders/>
    </w:tcPr>
    <w:tblStylePr w:type="band1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37b4fb"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37b4fb"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fb7f36" w:themeFill="accent3" w:themeFillTint="98"/>
    </w:tblPr>
    <w:tcPr>
      <w:tcBorders/>
    </w:tcPr>
    <w:tblStylePr w:type="band1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fb7f36"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fb7f36"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e133fb" w:themeFill="accent4" w:themeFillTint="9A"/>
    </w:tblPr>
    <w:tcPr>
      <w:tcBorders/>
    </w:tcPr>
    <w:tblStylePr w:type="band1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e133fb"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e133fb"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ffd544" w:themeFill="accent5" w:themeFillTint="9A"/>
    </w:tblPr>
    <w:tcPr>
      <w:tcBorders/>
    </w:tcPr>
    <w:tblStylePr w:type="band1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ffd544"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ffd544"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9706e" w:themeFill="accent6" w:themeFillTint="98"/>
    </w:tblPr>
    <w:tcPr>
      <w:tcBorders/>
    </w:tcPr>
    <w:tblStylePr w:type="band1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e9706e"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e9706e"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e5f02" w:themeColor="accent1" w:themeShade="95"/>
      </w:rPr>
      <w:pPr>
        <w:pBdr/>
        <w:spacing/>
        <w:ind/>
      </w:pPr>
      <w:tblPr>
        <w:tblBorders/>
      </w:tblPr>
      <w:tcPr>
        <w:tcBorders/>
      </w:tcPr>
    </w:tblStylePr>
    <w:tblStylePr w:type="firstRow">
      <w:rPr>
        <w:b/>
        <w:color w:val="0e5f02" w:themeColor="accent1" w:themeShade="95"/>
      </w:rPr>
      <w:pPr>
        <w:pBdr/>
        <w:spacing/>
        <w:ind/>
      </w:pPr>
      <w:tblPr>
        <w:tblBorders/>
      </w:tblPr>
      <w:tcPr>
        <w:tcBorders>
          <w:bottom w:val="single" w:color="000000" w:themeColor="accent1" w:sz="4" w:space="0"/>
        </w:tcBorders>
      </w:tcPr>
    </w:tblStylePr>
    <w:tblStylePr w:type="lastCol">
      <w:rPr>
        <w:b/>
        <w:color w:val="0e5f02" w:themeColor="accent1" w:themeShade="95"/>
      </w:rPr>
      <w:pPr>
        <w:pBdr/>
        <w:spacing/>
        <w:ind/>
      </w:pPr>
      <w:tblPr>
        <w:tblBorders/>
      </w:tblPr>
      <w:tcPr>
        <w:tcBorders/>
      </w:tcPr>
    </w:tblStylePr>
    <w:tblStylePr w:type="lastRow">
      <w:rPr>
        <w:b/>
        <w:color w:val="0e5f0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4"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f4303" w:themeColor="accent3" w:themeTint="98" w:themeShade="95"/>
      </w:rPr>
      <w:pPr>
        <w:pBdr/>
        <w:spacing/>
        <w:ind/>
      </w:pPr>
      <w:tblPr>
        <w:tblBorders/>
      </w:tblPr>
      <w:tcPr>
        <w:tcBorders/>
      </w:tcPr>
    </w:tblStylePr>
    <w:tblStylePr w:type="firstRow">
      <w:rPr>
        <w:b/>
        <w:color w:val="af4303" w:themeColor="accent3" w:themeTint="98" w:themeShade="95"/>
      </w:rPr>
      <w:pPr>
        <w:pBdr/>
        <w:spacing/>
        <w:ind/>
      </w:pPr>
      <w:tblPr>
        <w:tblBorders/>
      </w:tblPr>
      <w:tcPr>
        <w:tcBorders>
          <w:bottom w:val="single" w:color="000000" w:themeColor="accent3" w:themeTint="98" w:sz="4" w:space="0"/>
        </w:tcBorders>
      </w:tcPr>
    </w:tblStylePr>
    <w:tblStylePr w:type="lastCol">
      <w:rPr>
        <w:b/>
        <w:color w:val="af4303" w:themeColor="accent3" w:themeTint="98" w:themeShade="95"/>
      </w:rPr>
      <w:pPr>
        <w:pBdr/>
        <w:spacing/>
        <w:ind/>
      </w:pPr>
      <w:tblPr>
        <w:tblBorders/>
      </w:tblPr>
      <w:tcPr>
        <w:tcBorders/>
      </w:tcPr>
    </w:tblStylePr>
    <w:tblStylePr w:type="lastRow">
      <w:rPr>
        <w:b/>
        <w:color w:val="af4303"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4"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d9200" w:themeColor="accent5" w:themeTint="9A" w:themeShade="95"/>
      </w:rPr>
      <w:pPr>
        <w:pBdr/>
        <w:spacing/>
        <w:ind/>
      </w:pPr>
      <w:tblPr>
        <w:tblBorders/>
      </w:tblPr>
      <w:tcPr>
        <w:tcBorders/>
      </w:tcPr>
    </w:tblStylePr>
    <w:tblStylePr w:type="firstRow">
      <w:rPr>
        <w:b/>
        <w:color w:val="bd9200" w:themeColor="accent5" w:themeTint="9A" w:themeShade="95"/>
      </w:rPr>
      <w:pPr>
        <w:pBdr/>
        <w:spacing/>
        <w:ind/>
      </w:pPr>
      <w:tblPr>
        <w:tblBorders/>
      </w:tblPr>
      <w:tcPr>
        <w:tcBorders>
          <w:bottom w:val="single" w:color="000000" w:themeColor="accent5" w:themeTint="9A" w:sz="4" w:space="0"/>
        </w:tcBorders>
      </w:tcPr>
    </w:tblStylePr>
    <w:tblStylePr w:type="lastCol">
      <w:rPr>
        <w:b/>
        <w:color w:val="bd9200" w:themeColor="accent5" w:themeTint="9A" w:themeShade="95"/>
      </w:rPr>
      <w:pPr>
        <w:pBdr/>
        <w:spacing/>
        <w:ind/>
      </w:pPr>
      <w:tblPr>
        <w:tblBorders/>
      </w:tblPr>
      <w:tcPr>
        <w:tcBorders/>
      </w:tcPr>
    </w:tblStylePr>
    <w:tblStylePr w:type="lastRow">
      <w:rPr>
        <w:b/>
        <w:color w:val="bd920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e1d1a" w:themeColor="accent6" w:themeTint="98" w:themeShade="95"/>
      </w:rPr>
      <w:pPr>
        <w:pBdr/>
        <w:spacing/>
        <w:ind/>
      </w:pPr>
      <w:tblPr>
        <w:tblBorders/>
      </w:tblPr>
      <w:tcPr>
        <w:tcBorders/>
      </w:tcPr>
    </w:tblStylePr>
    <w:tblStylePr w:type="firstRow">
      <w:rPr>
        <w:b/>
        <w:color w:val="ae1d1a" w:themeColor="accent6" w:themeTint="98" w:themeShade="95"/>
      </w:rPr>
      <w:pPr>
        <w:pBdr/>
        <w:spacing/>
        <w:ind/>
      </w:pPr>
      <w:tblPr>
        <w:tblBorders/>
      </w:tblPr>
      <w:tcPr>
        <w:tcBorders>
          <w:bottom w:val="single" w:color="000000" w:themeColor="accent6" w:themeTint="98" w:sz="4" w:space="0"/>
        </w:tcBorders>
      </w:tcPr>
    </w:tblStylePr>
    <w:tblStylePr w:type="lastCol">
      <w:rPr>
        <w:b/>
        <w:color w:val="ae1d1a" w:themeColor="accent6" w:themeTint="98" w:themeShade="95"/>
      </w:rPr>
      <w:pPr>
        <w:pBdr/>
        <w:spacing/>
        <w:ind/>
      </w:pPr>
      <w:tblPr>
        <w:tblBorders/>
      </w:tblPr>
      <w:tcPr>
        <w:tcBorders/>
      </w:tcPr>
    </w:tblStylePr>
    <w:tblStylePr w:type="lastRow">
      <w:rPr>
        <w:b/>
        <w:color w:val="ae1d1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e5f02"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0e5f0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e5f0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e5f0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e5f0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e5f0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e5f0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0471af"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471af"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af4303"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af4303"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f4303"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af4303"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f4303"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9703ad"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703ad"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bd920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bd920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d920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bd920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d9200"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ae1d1a"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ae1d1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e1d1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ae1d1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e1d1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2"/>
    <w:basedOn w:val="662"/>
    <w:next w:val="662"/>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2"/>
    <w:next w:val="662"/>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2"/>
    <w:next w:val="662"/>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2"/>
    <w:next w:val="662"/>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2"/>
    <w:next w:val="662"/>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2"/>
    <w:next w:val="662"/>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2"/>
    <w:next w:val="662"/>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2"/>
    <w:next w:val="662"/>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numbering" w:styleId="148" w:default="1">
    <w:name w:val="No List"/>
    <w:uiPriority w:val="99"/>
    <w:semiHidden/>
    <w:unhideWhenUsed/>
    <w:pPr>
      <w:pBdr/>
      <w:spacing/>
      <w:ind/>
    </w:pPr>
  </w:style>
  <w:style w:type="character" w:styleId="149">
    <w:name w:val="Heading 1 Char"/>
    <w:basedOn w:val="147"/>
    <w:link w:val="663"/>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2"/>
    <w:next w:val="662"/>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2"/>
    <w:next w:val="662"/>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2"/>
    <w:next w:val="662"/>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paragraph" w:styleId="164">
    <w:name w:val="List Paragraph"/>
    <w:basedOn w:val="662"/>
    <w:uiPriority w:val="34"/>
    <w:qFormat/>
    <w:pPr>
      <w:pBdr/>
      <w:spacing/>
      <w:ind w:left="720"/>
      <w:contextualSpacing w:val="true"/>
    </w:p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2"/>
    <w:next w:val="662"/>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paragraph" w:styleId="169">
    <w:name w:val="No Spacing"/>
    <w:basedOn w:val="662"/>
    <w:uiPriority w:val="1"/>
    <w:qFormat/>
    <w:pPr>
      <w:pBdr/>
      <w:spacing w:after="0" w:line="240" w:lineRule="auto"/>
      <w:ind/>
    </w:p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2"/>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2"/>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80">
    <w:name w:val="footnote text"/>
    <w:basedOn w:val="662"/>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2"/>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2"/>
    <w:next w:val="662"/>
    <w:uiPriority w:val="39"/>
    <w:unhideWhenUsed/>
    <w:pPr>
      <w:pBdr/>
      <w:spacing w:after="100"/>
      <w:ind/>
    </w:pPr>
  </w:style>
  <w:style w:type="paragraph" w:styleId="189">
    <w:name w:val="toc 2"/>
    <w:basedOn w:val="662"/>
    <w:next w:val="662"/>
    <w:uiPriority w:val="39"/>
    <w:unhideWhenUsed/>
    <w:pPr>
      <w:pBdr/>
      <w:spacing w:after="100"/>
      <w:ind w:left="220"/>
    </w:pPr>
  </w:style>
  <w:style w:type="paragraph" w:styleId="190">
    <w:name w:val="toc 3"/>
    <w:basedOn w:val="662"/>
    <w:next w:val="662"/>
    <w:uiPriority w:val="39"/>
    <w:unhideWhenUsed/>
    <w:pPr>
      <w:pBdr/>
      <w:spacing w:after="100"/>
      <w:ind w:left="440"/>
    </w:pPr>
  </w:style>
  <w:style w:type="paragraph" w:styleId="191">
    <w:name w:val="toc 4"/>
    <w:basedOn w:val="662"/>
    <w:next w:val="662"/>
    <w:uiPriority w:val="39"/>
    <w:unhideWhenUsed/>
    <w:pPr>
      <w:pBdr/>
      <w:spacing w:after="100"/>
      <w:ind w:left="660"/>
    </w:pPr>
  </w:style>
  <w:style w:type="paragraph" w:styleId="192">
    <w:name w:val="toc 5"/>
    <w:basedOn w:val="662"/>
    <w:next w:val="662"/>
    <w:uiPriority w:val="39"/>
    <w:unhideWhenUsed/>
    <w:pPr>
      <w:pBdr/>
      <w:spacing w:after="100"/>
      <w:ind w:left="880"/>
    </w:pPr>
  </w:style>
  <w:style w:type="paragraph" w:styleId="193">
    <w:name w:val="toc 6"/>
    <w:basedOn w:val="662"/>
    <w:next w:val="662"/>
    <w:uiPriority w:val="39"/>
    <w:unhideWhenUsed/>
    <w:pPr>
      <w:pBdr/>
      <w:spacing w:after="100"/>
      <w:ind w:left="1100"/>
    </w:pPr>
  </w:style>
  <w:style w:type="paragraph" w:styleId="194">
    <w:name w:val="toc 7"/>
    <w:basedOn w:val="662"/>
    <w:next w:val="662"/>
    <w:uiPriority w:val="39"/>
    <w:unhideWhenUsed/>
    <w:pPr>
      <w:pBdr/>
      <w:spacing w:after="100"/>
      <w:ind w:left="1320"/>
    </w:pPr>
  </w:style>
  <w:style w:type="paragraph" w:styleId="195">
    <w:name w:val="toc 8"/>
    <w:basedOn w:val="662"/>
    <w:next w:val="662"/>
    <w:uiPriority w:val="39"/>
    <w:unhideWhenUsed/>
    <w:pPr>
      <w:pBdr/>
      <w:spacing w:after="100"/>
      <w:ind w:left="1540"/>
    </w:pPr>
  </w:style>
  <w:style w:type="paragraph" w:styleId="196">
    <w:name w:val="toc 9"/>
    <w:basedOn w:val="662"/>
    <w:next w:val="662"/>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2"/>
    <w:next w:val="662"/>
    <w:uiPriority w:val="99"/>
    <w:unhideWhenUsed/>
    <w:pPr>
      <w:pBdr/>
      <w:spacing w:after="0" w:afterAutospacing="0"/>
      <w:ind/>
    </w:pPr>
  </w:style>
  <w:style w:type="paragraph" w:styleId="662" w:default="1">
    <w:name w:val="Normal"/>
    <w:qFormat/>
    <w:pPr>
      <w:widowControl w:val="true"/>
      <w:pBdr/>
      <w:bidi w:val="false"/>
      <w:spacing/>
      <w:ind/>
    </w:pPr>
    <w:rPr>
      <w:rFonts w:ascii="Liberation Serif" w:hAnsi="Liberation Serif" w:eastAsia="Noto Sans" w:cs="FreeSans"/>
      <w:color w:val="auto"/>
      <w:sz w:val="24"/>
      <w:szCs w:val="24"/>
      <w:lang w:val="en-US" w:eastAsia="zh-CN" w:bidi="hi-IN"/>
    </w:rPr>
  </w:style>
  <w:style w:type="paragraph" w:styleId="663">
    <w:name w:val="Heading 1"/>
    <w:basedOn w:val="664"/>
    <w:next w:val="665"/>
    <w:qFormat/>
    <w:pPr>
      <w:numPr>
        <w:ilvl w:val="0"/>
        <w:numId w:val="1"/>
      </w:numPr>
      <w:pBdr/>
      <w:spacing w:after="120" w:before="240"/>
      <w:ind/>
      <w:outlineLvl w:val="0"/>
    </w:pPr>
    <w:rPr>
      <w:b/>
      <w:bCs/>
      <w:sz w:val="36"/>
      <w:szCs w:val="36"/>
    </w:rPr>
  </w:style>
  <w:style w:type="paragraph" w:styleId="664">
    <w:name w:val="Heading"/>
    <w:basedOn w:val="662"/>
    <w:next w:val="665"/>
    <w:qFormat/>
    <w:pPr>
      <w:keepNext w:val="true"/>
      <w:pBdr/>
      <w:spacing w:after="120" w:before="240"/>
      <w:ind/>
    </w:pPr>
    <w:rPr>
      <w:rFonts w:ascii="Liberation Sans" w:hAnsi="Liberation Sans" w:eastAsia="Noto Sans" w:cs="FreeSans"/>
      <w:sz w:val="28"/>
      <w:szCs w:val="28"/>
    </w:rPr>
  </w:style>
  <w:style w:type="paragraph" w:styleId="665">
    <w:name w:val="Body Text"/>
    <w:basedOn w:val="662"/>
    <w:pPr>
      <w:pBdr/>
      <w:spacing w:after="140" w:before="0" w:line="276" w:lineRule="auto"/>
      <w:ind/>
    </w:pPr>
  </w:style>
  <w:style w:type="paragraph" w:styleId="666">
    <w:name w:val="List"/>
    <w:basedOn w:val="665"/>
    <w:pPr>
      <w:pBdr/>
      <w:spacing/>
      <w:ind/>
    </w:pPr>
    <w:rPr>
      <w:rFonts w:cs="FreeSans"/>
    </w:rPr>
  </w:style>
  <w:style w:type="paragraph" w:styleId="667">
    <w:name w:val="Caption"/>
    <w:basedOn w:val="662"/>
    <w:qFormat/>
    <w:pPr>
      <w:suppressLineNumbers w:val="true"/>
      <w:pBdr/>
      <w:spacing w:after="120" w:before="120"/>
      <w:ind/>
    </w:pPr>
    <w:rPr>
      <w:rFonts w:cs="FreeSans"/>
      <w:i/>
      <w:iCs/>
      <w:sz w:val="24"/>
      <w:szCs w:val="24"/>
    </w:rPr>
  </w:style>
  <w:style w:type="paragraph" w:styleId="668">
    <w:name w:val="Index"/>
    <w:basedOn w:val="662"/>
    <w:qFormat/>
    <w:pPr>
      <w:suppressLineNumbers w:val="true"/>
      <w:pBdr/>
      <w:spacing/>
      <w:ind/>
    </w:pPr>
    <w:rPr>
      <w:rFonts w:cs="FreeSans"/>
    </w:rPr>
  </w:style>
  <w:style w:type="paragraph" w:styleId="669">
    <w:name w:val="Table Contents"/>
    <w:basedOn w:val="662"/>
    <w:qFormat/>
    <w:pPr>
      <w:widowControl w:val="false"/>
      <w:suppressLineNumbers w:val="true"/>
      <w:pBdr/>
      <w:spacing/>
      <w:ind/>
    </w:pPr>
  </w:style>
  <w:style w:type="paragraph" w:styleId="670">
    <w:name w:val="Table Heading"/>
    <w:basedOn w:val="669"/>
    <w:qFormat/>
    <w:pPr>
      <w:suppressLineNumbers w:val="true"/>
      <w:pBdr/>
      <w:spacing/>
      <w:ind/>
      <w:jc w:val="center"/>
    </w:pPr>
    <w:rPr>
      <w:b/>
      <w:bCs/>
    </w:rPr>
  </w:style>
</w:styles>
</file>

<file path=word/webSettings.xml><?xml version="1.0" encoding="utf-8"?>
<w:webSetting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Application>ONLYOFFICE/8.3.3.21</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3</cp:revision>
  <dcterms:created xsi:type="dcterms:W3CDTF">2025-06-16T21:55:15Z</dcterms:created>
  <dcterms:modified xsi:type="dcterms:W3CDTF">2025-06-26T02:51:38Z</dcterms:modified>
</cp:coreProperties>
</file>