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77567" w14:textId="2E9A7EFA" w:rsidR="00DF0534" w:rsidRDefault="00DD4225" w:rsidP="00D140CC">
      <w:pPr>
        <w:pStyle w:val="Title"/>
      </w:pPr>
      <w:r>
        <w:t xml:space="preserve">Innovative </w:t>
      </w:r>
      <w:r w:rsidR="0000204C">
        <w:t xml:space="preserve">Public Transportation </w:t>
      </w:r>
      <w:r w:rsidR="00871C79">
        <w:t>Policy</w:t>
      </w:r>
      <w:r w:rsidR="00D140CC">
        <w:t xml:space="preserve"> Causes </w:t>
      </w:r>
      <w:r w:rsidR="00295B06">
        <w:t xml:space="preserve">Local-Level </w:t>
      </w:r>
      <w:r w:rsidR="00D140CC">
        <w:t>Retrospective Voting</w:t>
      </w:r>
    </w:p>
    <w:p w14:paraId="530BE7D2" w14:textId="77777777" w:rsidR="000B330C" w:rsidRDefault="000B330C" w:rsidP="000B330C">
      <w:pPr>
        <w:pStyle w:val="Heading1"/>
      </w:pPr>
    </w:p>
    <w:p w14:paraId="3D2D3BC5" w14:textId="7BB46822" w:rsidR="000B330C" w:rsidRDefault="000B330C" w:rsidP="000B330C">
      <w:pPr>
        <w:pStyle w:val="Heading1"/>
      </w:pPr>
      <w:r>
        <w:t>Introduction</w:t>
      </w:r>
    </w:p>
    <w:p w14:paraId="35478B3C" w14:textId="792AA606" w:rsidR="0000204C" w:rsidRDefault="0071462E" w:rsidP="0000204C">
      <w:r>
        <w:t xml:space="preserve">Does policy innovation </w:t>
      </w:r>
      <w:r w:rsidR="003E056B">
        <w:t>cause</w:t>
      </w:r>
      <w:r>
        <w:t xml:space="preserve"> retrospective voting? Voters often reward politicians for successful policymaking </w:t>
      </w:r>
      <w:r>
        <w:fldChar w:fldCharType="begin"/>
      </w:r>
      <w:r w:rsidR="00FC1407">
        <w:instrText xml:space="preserve"> ADDIN ZOTERO_ITEM CSL_CITATION {"citationID":"8Q55ltZs","properties":{"formattedCitation":"(Burnett &amp; Kogan, 2017; Fiorina, 1978; Healy &amp; Malhotra, 2013; Hopkins &amp; Pettingill, 2018)","plainCitation":"(Burnett &amp; Kogan, 2017; Fiorina, 1978; Healy &amp; Malhotra, 2013; Hopkins &amp; Pettingill, 2018)","noteIndex":0},"citationItems":[{"id":2421,"uris":["http://zotero.org/users/5602238/items/LSUR7MEF"],"itemData":{"id":2421,"type":"article-journal","abstract":"By conditioning their support for political incumbents on observed performance outcomes, voters can motivate elected officials to represent their interests faithfully while in office. Whether elections serve this function in subnational US government remains unclear, however, because much of the existing research on retrospective voting in these contexts focuses on outcomes that are not obviously salient to voters or over which the relevant government officials have limited influence. In this study, we examine one outcome—the quality of local roads—that is both salient and unquestionably under the control of city government. Our analysis leverages within-city variation in the number of pothole complaints in one of America’s largest cities and shows that such variation can explain neighborhood-level differences in support for incumbents in two political offices—mayor and city council—across several electoral cycles.","container-title":"The Journal of Politics","DOI":"10.1086/688736","ISSN":"0022-3816","issue":"1","note":"publisher: The University of Chicago Press","page":"302-314","source":"journals.uchicago.edu (Atypon)","title":"The Politics of Potholes: Service Quality and Retrospective Voting in Local Elections","title-short":"The Politics of Potholes","volume":"79","author":[{"family":"Burnett","given":"Craig M."},{"family":"Kogan","given":"Vladimir"}],"issued":{"date-parts":[["2017",1]]}}},{"id":2414,"uris":["http://zotero.org/users/5602238/items/83RUS5JI"],"itemData":{"id":2414,"type":"article-journal","abstract":"A number of recent studies examine the traditional hypothesis that the electoral fortunes of the incumbent president's party rise and fall in direct relation to fluctuations in the state of the national economy. Typically these studies employ a longitudinal design in which a party's aggregate congressional vote serves as the dependent variable, and various economic indicators serve as independent variables. On balance, the election returns appear to bear some relation to economic conditions, although various disagreements exist. Using data from the 1956 to 1974 SRC election studies this paper attempts to uncover an individual-level basis for the macro-relationship found by earlier studies. Specifically, do citizens vote for or against the incumbent president's party as a function of their personal economic condition? The survey data permit us to conclude that a citizen's personal economic condition affects his presidential vote. For congressional voting, however, the findings are positive until 1960 and negative thereafter. And contrary to some previous research, we find no systematic relationship between a citizen's personal economic condition and his decision to vote or abstain.","container-title":"American Journal of Political Science","DOI":"10.2307/2110623","ISSN":"0092-5853","issue":"2","note":"publisher: [Midwest Political Science Association, Wiley]","page":"426-443","source":"JSTOR","title":"Economic Retrospective Voting in American National Elections: A Micro-Analysis","title-short":"Economic Retrospective Voting in American National Elections","volume":"22","author":[{"family":"Fiorina","given":"Morris P."}],"issued":{"date-parts":[["1978"]]}}},{"id":2409,"uris":["http://zotero.org/users/5602238/items/ZCXY8YGB"],"itemData":{"id":2409,"type":"article-journal","abstract":"We review advances in the study of retrospective voting, or how citizens evaluate and act on their perceptions of government performance. As a whole, the recent literature provides a more complete and nuanced picture of the retrospective voter as sometimes, but not always, effectively incentivizing elected officials to enhance public welfare. Leveraging examples of retrospective voting in areas other than the economy, the field is heading toward a middle ground in which voters resemble decision makers in many other domains. In many cases, a coherent logic governs voters' choices. In other instances, voters make mistakes, often in predictable ways subject to well-known psychological biases. Understanding the circumstances under which retrospective voting achieves effective democratic accountability and when it fails to do so is an important task for subsequent research. We discuss two additional issues for future exploration: a better understanding of normative benchmarks, and increased attention to the relationship between retrospective voting behavior and policy outcomes.","container-title":"Annual Review of Political Science","DOI":"10.1146/annurev-polisci-032211-212920","issue":"1","note":"_eprint: https://doi.org/10.1146/annurev-polisci-032211-212920","page":"285-306","source":"Annual Reviews","title":"Retrospective Voting Reconsidered","volume":"16","author":[{"family":"Healy","given":"Andrew J."},{"family":"Malhotra","given":"Neil"}],"issued":{"date-parts":[["2013"]]}}},{"id":2419,"uris":["http://zotero.org/users/5602238/items/Y9P949M8"],"itemData":{"id":2419,"type":"article-journal","abstract":"Retrospective voting is a central explanation for voters’ support of incumbents. Yet, despite the variety of conditions facing American cities, past research has devoted little attention to retrospective voting for mayors. This paper first develops hypotheses about how local retrospective voting might differ from its national analog, due to both differing information sources and the presence of national benchmarks. It then analyzes retrospective voting using the largest data set on big-city mayoral elections between 1990 and 2011 to date. Neither crime rates nor property values consistently influence incumbent mayors’ vote shares, nor do changes in local conditions. However, low city-level unemployment relative to national unemployment correlates with higher incumbent support. The urban voter is a particular type of retrospective voter, one who compares local economic performance to conditions elsewhere. Moreover, these effects appear to be present only in cities that dominate their media markets, suggesting media outlets’ role in facilitating retrospective voting.","container-title":"Political Science Research and Methods","DOI":"10.1017/psrm.2016.54","ISSN":"2049-8470, 2049-8489","issue":"4","language":"en","note":"publisher: Cambridge University Press","page":"697-714","source":"Cambridge University Press","title":"Retrospective Voting in Big-City US Mayoral Elections","volume":"6","author":[{"family":"Hopkins","given":"Daniel J."},{"family":"Pettingill","given":"Lindsay M."}],"issued":{"date-parts":[["2018",10]]}}}],"schema":"https://github.com/citation-style-language/schema/raw/master/csl-citation.json"} </w:instrText>
      </w:r>
      <w:r>
        <w:fldChar w:fldCharType="separate"/>
      </w:r>
      <w:r w:rsidR="00FC1407">
        <w:rPr>
          <w:noProof/>
        </w:rPr>
        <w:t>(Burnett &amp; Kogan, 2017; Fiorina, 1978; Healy &amp; Malhotra, 2013; Hopkins &amp; Pettingill, 2018)</w:t>
      </w:r>
      <w:r>
        <w:fldChar w:fldCharType="end"/>
      </w:r>
      <w:r>
        <w:t xml:space="preserve">. However, they may fail to do so if their perceptions are biased by partisan preferences </w:t>
      </w:r>
      <w:r w:rsidR="00496F3D">
        <w:fldChar w:fldCharType="begin"/>
      </w:r>
      <w:r w:rsidR="00FC1407">
        <w:instrText xml:space="preserve"> ADDIN ZOTERO_ITEM CSL_CITATION {"citationID":"WmMdbEgB","properties":{"formattedCitation":"(Healy et al., 2017; Sigelman et al., 1991)","plainCitation":"(Healy et al., 2017; Sigelman et al., 1991)","noteIndex":0},"citationItems":[{"id":2437,"uris":["http://zotero.org/users/5602238/items/VVYQLND8"],"itemData":{"id":2437,"type":"article-journal","abstract":"To paint a fuller picture of economic voters, we combine personal income records with a representative election survey. We examine three central topics in the economic voting literature: pocketbook versus sociotropic voting, the effects of partisanship on economic evaluations, and voter myopia. First, we show that voters who appear in survey data to be voting based on the national economy are, in fact, voting equally on the basis of their personal financial conditions. Second, there is strong evidence of both partisan bias and economic information in economic evaluations, but personal economic data is required to separate the two. Third, although in experiments and aggregate historical data recent economic conditions appear to drive vote choice, we find no evidence of myopia when we examine actual personal economic data.","container-title":"American Political Science Review","DOI":"10.1017/S0003055417000314","ISSN":"0003-0554, 1537-5943","issue":"4","language":"en","note":"publisher: Cambridge University Press","page":"771-785","source":"Cambridge University Press","title":"Digging into the Pocketbook: Evidence on Economic Voting from Income Registry Data Matched to a Voter Survey","title-short":"Digging into the Pocketbook","volume":"111","author":[{"family":"Healy","given":"Andrew J."},{"family":"Persson","given":"Mikael"},{"family":"Snowberg","given":"Erik"}],"issued":{"date-parts":[["2017",11]]}}},{"id":2435,"uris":["http://zotero.org/users/5602238/items/Y4HXSVZJ"],"itemData":{"id":2435,"type":"article-journal","abstract":"Despite its deep theoretical roots, the idea that voters reward or punish incumbents in national elections for trends in their personal financial circumstances has not fared well when subjected to empirical test. This paper poses an experimental test of the leading explanations for the surprisingly weak showing of pocketbook influences on vote choice. According to certain of these explanations, the answer lies in distinguishing between sociotropic and self-interested economic voting, or between retrospective and prospective economic voting, or between perceptions of economic trends in general and perceptions of the electorally relevant component of these trends. However, expectations based on these explanations are generally not borne out in the laboratory setting. Consistent with the observed pattern of effects, however, is the idea that pocketbook voting displays little independent impact because economic perceptions and attributions are epiphenomena—strongly biased by the voter's preexisting political commitments.","container-title":"Political Behavior","DOI":"10.1007/BF00992293","ISSN":"1573-6687","issue":"2","journalAbbreviation":"Polit Behav","language":"en","page":"129-149","source":"Springer Link","title":"Reconsidering pocketbook voting: An experimental approach","title-short":"Reconsidering pocketbook voting","volume":"13","author":[{"family":"Sigelman","given":"Lee"},{"family":"Sigelman","given":"Carol K."},{"family":"Bullock","given":"David"}],"issued":{"date-parts":[["1991",6,1]]}}}],"schema":"https://github.com/citation-style-language/schema/raw/master/csl-citation.json"} </w:instrText>
      </w:r>
      <w:r w:rsidR="00496F3D">
        <w:fldChar w:fldCharType="separate"/>
      </w:r>
      <w:r w:rsidR="00FC1407">
        <w:rPr>
          <w:noProof/>
        </w:rPr>
        <w:t>(Healy et al., 2017; Sigelman et al., 1991)</w:t>
      </w:r>
      <w:r w:rsidR="00496F3D">
        <w:fldChar w:fldCharType="end"/>
      </w:r>
      <w:r w:rsidR="00496F3D">
        <w:t xml:space="preserve"> </w:t>
      </w:r>
      <w:r>
        <w:t xml:space="preserve">and they cannot clearly identify who was responsible for </w:t>
      </w:r>
      <w:r w:rsidR="00EC3AF0">
        <w:t>the policy design and implementation</w:t>
      </w:r>
      <w:r w:rsidR="00496F3D">
        <w:t xml:space="preserve"> </w:t>
      </w:r>
      <w:r w:rsidR="00496F3D">
        <w:fldChar w:fldCharType="begin"/>
      </w:r>
      <w:r w:rsidR="00496F3D">
        <w:instrText xml:space="preserve"> ADDIN ZOTERO_ITEM CSL_CITATION {"citationID":"UUaJJzSZ","properties":{"formattedCitation":"(Jilke, 2018)","plainCitation":"(Jilke, 2018)","noteIndex":0},"citationItems":[{"id":2382,"uris":["http://zotero.org/users/5602238/items/2AC2MVYG"],"itemData":{"id":2382,"type":"article-journal","abstract":"There exists a gap in our understanding of what citizen satisfaction evaluations actually represent. While recent years have witnessed a move away from performance-based models to cognitive-implicit models of citizen satisfaction, the inherent political nature of government, its institutions, and services has been largely ignored. Drawing on the functional responsibility chain between political principals and governmental, public-service-delivering institutions, we outline a theory of citizen satisfaction that accounts for the political nature of these institutions. In the context of two consecutive general elections, we find a partisan bias in citizen satisfaction with government and the legislative branch, but not for institutions that are more clearly separated from national government. These mixed findings are suggestive of a dispersion effect of the partisan bias in citizen satisfaction, namely, that citizens are less likely to use their partisan lenses in cases where the responsibility of political principals is dispersed across multiple actors.","container-title":"Governance","DOI":"10.1111/gove.12317","ISSN":"1468-0491","issue":"3","language":"en","license":"© 2017 Wiley Periodicals, Inc.","note":"_eprint: https://onlinelibrary.wiley.com/doi/pdf/10.1111/gove.12317","page":"515-533","source":"Wiley Online Library","title":"Citizen satisfaction under changing political leadership: The role of partisan motivated reasoning","title-short":"Citizen satisfaction under changing political leadership","volume":"31","author":[{"family":"Jilke","given":"Sebastian"}],"issued":{"date-parts":[["2018"]]}}}],"schema":"https://github.com/citation-style-language/schema/raw/master/csl-citation.json"} </w:instrText>
      </w:r>
      <w:r w:rsidR="00496F3D">
        <w:fldChar w:fldCharType="separate"/>
      </w:r>
      <w:r w:rsidR="00496F3D">
        <w:rPr>
          <w:noProof/>
        </w:rPr>
        <w:t>(Jilke, 2018)</w:t>
      </w:r>
      <w:r w:rsidR="00496F3D">
        <w:fldChar w:fldCharType="end"/>
      </w:r>
      <w:r>
        <w:t>.</w:t>
      </w:r>
      <w:r w:rsidR="00496F3D">
        <w:t xml:space="preserve"> These barriers pose a challenge to politicians who want to engage </w:t>
      </w:r>
      <w:r w:rsidR="002F3FE6">
        <w:t>in</w:t>
      </w:r>
      <w:r w:rsidR="00496F3D">
        <w:t xml:space="preserve"> policy innovation</w:t>
      </w:r>
      <w:r w:rsidR="00EC3AF0">
        <w:t>. B</w:t>
      </w:r>
      <w:r w:rsidR="00496F3D">
        <w:t xml:space="preserve">eyond the risk of failing to improve voters’ life conditions, </w:t>
      </w:r>
      <w:r w:rsidR="00EC3AF0">
        <w:t xml:space="preserve">incumbents </w:t>
      </w:r>
      <w:r w:rsidR="00496F3D">
        <w:t xml:space="preserve">may not be rewarded for successful policymaking </w:t>
      </w:r>
      <w:r w:rsidR="00496F3D">
        <w:fldChar w:fldCharType="begin"/>
      </w:r>
      <w:r w:rsidR="00496F3D">
        <w:instrText xml:space="preserve"> ADDIN ZOTERO_ITEM CSL_CITATION {"citationID":"moYSGplP","properties":{"formattedCitation":"(Hong et al., 2022; Mullin &amp; Hansen, 2023)","plainCitation":"(Hong et al., 2022; Mullin &amp; Hansen, 2023)","noteIndex":0},"citationItems":[{"id":2342,"uris":["http://zotero.org/users/5602238/items/XINVR8P8"],"itemData":{"id":2342,"type":"article-journal","abstract":"This study explores the determinants of digital innovation in the public sector. Focusing specifically on new digital technologies, such as big data, artificial intelligence, Internet of things, and augmented reality, we explained the wide variation in how Korean local governments used these technologies to transform their services. We found support for four theoretical mechanisms. First, our findings support the existence of demand-pull innovation in the public sector: public organizations respond to citizen demands or needs for innovation. Second, we also find support for an electoral incentive hypothesis, which posits that local governments' motivation for digital innovation is influenced by local politicians' electoral incentives. Third, our results show the existence of isomorphic pressure as a driver for public sector innovation: public organizations emulate their neighbors in adopting innovative practices. Fourth, the results support the upper echelons theory, as younger policymakers are more active innovators.","container-title":"Government Information Quarterly","DOI":"10.1016/j.giq.2022.101723","ISSN":"0740-624X","issue":"4","journalAbbreviation":"Government Information Quarterly","page":"101723","source":"ScienceDirect","title":"Determinants of digital innovation in the public sector","volume":"39","author":[{"family":"Hong","given":"Sounman"},{"family":"Kim","given":"Sun Hyoung"},{"family":"Kwon","given":"Myungjung"}],"issued":{"date-parts":[["2022",10,1]]}}},{"id":2345,"uris":["http://zotero.org/users/5602238/items/UAKGISDH"],"itemData":{"id":2345,"type":"article-journal","container-title":"American Political Science Review","issue":"3","page":"1145-1150","title":"Local News and the Electoral Incentive to Invest in Infrastructure","volume":"117","author":[{"family":"Mullin","given":"Megan"},{"family":"Hansen","given":"Katy"}],"issued":{"date-parts":[["2023"]]}}}],"schema":"https://github.com/citation-style-language/schema/raw/master/csl-citation.json"} </w:instrText>
      </w:r>
      <w:r w:rsidR="00496F3D">
        <w:fldChar w:fldCharType="separate"/>
      </w:r>
      <w:r w:rsidR="00496F3D">
        <w:rPr>
          <w:noProof/>
        </w:rPr>
        <w:t>(Hong et al., 2022; Mullin &amp; Hansen, 2023)</w:t>
      </w:r>
      <w:r w:rsidR="00496F3D">
        <w:fldChar w:fldCharType="end"/>
      </w:r>
      <w:r w:rsidR="00496F3D">
        <w:t>.</w:t>
      </w:r>
    </w:p>
    <w:p w14:paraId="2EB94B22" w14:textId="0C7ADDB7" w:rsidR="00496F3D" w:rsidRDefault="00496F3D" w:rsidP="00496F3D">
      <w:r>
        <w:t xml:space="preserve">In this paper, we propose three innovations to answer this research question. First, rather than </w:t>
      </w:r>
      <w:r w:rsidR="00EC3AF0">
        <w:t>considering</w:t>
      </w:r>
      <w:r>
        <w:t xml:space="preserve"> </w:t>
      </w:r>
      <w:r w:rsidR="00EC3AF0">
        <w:t xml:space="preserve">national-level </w:t>
      </w:r>
      <w:r>
        <w:t xml:space="preserve">economic policy </w:t>
      </w:r>
      <w:r w:rsidR="00EC3AF0">
        <w:t xml:space="preserve">as traditional studies </w:t>
      </w:r>
      <w:r w:rsidR="00EA71F3">
        <w:t xml:space="preserve">of retrospective voting </w:t>
      </w:r>
      <w:r w:rsidR="00EC3AF0">
        <w:t>often do</w:t>
      </w:r>
      <w:r w:rsidR="007B7FCC">
        <w:t xml:space="preserve"> </w:t>
      </w:r>
      <w:r w:rsidR="007B7FCC">
        <w:fldChar w:fldCharType="begin"/>
      </w:r>
      <w:r w:rsidR="007B7FCC">
        <w:instrText xml:space="preserve"> ADDIN ZOTERO_ITEM CSL_CITATION {"citationID":"lFscolDs","properties":{"formattedCitation":"(e.g., Fiorina, 1978)","plainCitation":"(e.g., Fiorina, 1978)","noteIndex":0},"citationItems":[{"id":2414,"uris":["http://zotero.org/users/5602238/items/83RUS5JI"],"itemData":{"id":2414,"type":"article-journal","abstract":"A number of recent studies examine the traditional hypothesis that the electoral fortunes of the incumbent president's party rise and fall in direct relation to fluctuations in the state of the national economy. Typically these studies employ a longitudinal design in which a party's aggregate congressional vote serves as the dependent variable, and various economic indicators serve as independent variables. On balance, the election returns appear to bear some relation to economic conditions, although various disagreements exist. Using data from the 1956 to 1974 SRC election studies this paper attempts to uncover an individual-level basis for the macro-relationship found by earlier studies. Specifically, do citizens vote for or against the incumbent president's party as a function of their personal economic condition? The survey data permit us to conclude that a citizen's personal economic condition affects his presidential vote. For congressional voting, however, the findings are positive until 1960 and negative thereafter. And contrary to some previous research, we find no systematic relationship between a citizen's personal economic condition and his decision to vote or abstain.","container-title":"American Journal of Political Science","DOI":"10.2307/2110623","ISSN":"0092-5853","issue":"2","note":"publisher: [Midwest Political Science Association, Wiley]","page":"426-443","source":"JSTOR","title":"Economic Retrospective Voting in American National Elections: A Micro-Analysis","title-short":"Economic Retrospective Voting in American National Elections","volume":"22","author":[{"family":"Fiorina","given":"Morris P."}],"issued":{"date-parts":[["1978"]]}},"label":"page","prefix":"e.g., "}],"schema":"https://github.com/citation-style-language/schema/raw/master/csl-citation.json"} </w:instrText>
      </w:r>
      <w:r w:rsidR="007B7FCC">
        <w:fldChar w:fldCharType="separate"/>
      </w:r>
      <w:r w:rsidR="007B7FCC">
        <w:rPr>
          <w:noProof/>
        </w:rPr>
        <w:t>(e.g., Fiorina, 1978)</w:t>
      </w:r>
      <w:r w:rsidR="007B7FCC">
        <w:fldChar w:fldCharType="end"/>
      </w:r>
      <w:r>
        <w:t xml:space="preserve">, we follow Burnett and Kogan </w:t>
      </w:r>
      <w:r>
        <w:fldChar w:fldCharType="begin"/>
      </w:r>
      <w:r>
        <w:instrText xml:space="preserve"> ADDIN ZOTERO_ITEM CSL_CITATION {"citationID":"lP5Etr8M","properties":{"formattedCitation":"(2017)","plainCitation":"(2017)","noteIndex":0},"citationItems":[{"id":2421,"uris":["http://zotero.org/users/5602238/items/LSUR7MEF"],"itemData":{"id":2421,"type":"article-journal","abstract":"By conditioning their support for political incumbents on observed performance outcomes, voters can motivate elected officials to represent their interests faithfully while in office. Whether elections serve this function in subnational US government remains unclear, however, because much of the existing research on retrospective voting in these contexts focuses on outcomes that are not obviously salient to voters or over which the relevant government officials have limited influence. In this study, we examine one outcome—the quality of local roads—that is both salient and unquestionably under the control of city government. Our analysis leverages within-city variation in the number of pothole complaints in one of America’s largest cities and shows that such variation can explain neighborhood-level differences in support for incumbents in two political offices—mayor and city council—across several electoral cycles.","container-title":"The Journal of Politics","DOI":"10.1086/688736","ISSN":"0022-3816","issue":"1","note":"publisher: The University of Chicago Press","page":"302-314","source":"journals.uchicago.edu (Atypon)","title":"The Politics of Potholes: Service Quality and Retrospective Voting in Local Elections","title-short":"The Politics of Potholes","volume":"79","author":[{"family":"Burnett","given":"Craig M."},{"family":"Kogan","given":"Vladimir"}],"issued":{"date-parts":[["2017",1]]}},"label":"page","suppress-author":true}],"schema":"https://github.com/citation-style-language/schema/raw/master/csl-citation.json"} </w:instrText>
      </w:r>
      <w:r>
        <w:fldChar w:fldCharType="separate"/>
      </w:r>
      <w:r>
        <w:rPr>
          <w:noProof/>
        </w:rPr>
        <w:t>(2017)</w:t>
      </w:r>
      <w:r>
        <w:fldChar w:fldCharType="end"/>
      </w:r>
      <w:r>
        <w:t xml:space="preserve"> by focusing on local-level transportation issues. </w:t>
      </w:r>
      <w:r w:rsidR="00EA71F3">
        <w:t>These authors</w:t>
      </w:r>
      <w:r>
        <w:t xml:space="preserve"> investigated the electoral returns of road quality (e.g., potholes) in </w:t>
      </w:r>
      <w:r w:rsidR="00EA71F3">
        <w:t>American cities. Here,</w:t>
      </w:r>
      <w:r>
        <w:t xml:space="preserve"> we investigate the implementation of </w:t>
      </w:r>
      <w:r w:rsidR="00EA71F3">
        <w:t>a major innovation</w:t>
      </w:r>
      <w:r>
        <w:t xml:space="preserve"> </w:t>
      </w:r>
      <w:r w:rsidR="002F3FE6">
        <w:t>in</w:t>
      </w:r>
      <w:r>
        <w:t xml:space="preserve"> public transportation in the developing world. Our policy of choice (the </w:t>
      </w:r>
      <w:proofErr w:type="spellStart"/>
      <w:r w:rsidRPr="00036C48">
        <w:t>Bilhete</w:t>
      </w:r>
      <w:proofErr w:type="spellEnd"/>
      <w:r w:rsidRPr="00036C48">
        <w:t xml:space="preserve"> </w:t>
      </w:r>
      <w:proofErr w:type="spellStart"/>
      <w:r w:rsidRPr="00036C48">
        <w:t>Único</w:t>
      </w:r>
      <w:proofErr w:type="spellEnd"/>
      <w:r>
        <w:t xml:space="preserve"> of São Paulo, Brazil) introduced, among other </w:t>
      </w:r>
      <w:r w:rsidR="00EA71F3">
        <w:t>improvements</w:t>
      </w:r>
      <w:r>
        <w:t>, a smart card</w:t>
      </w:r>
      <w:r w:rsidR="00036C48">
        <w:t xml:space="preserve"> </w:t>
      </w:r>
      <w:r>
        <w:t xml:space="preserve">that replaced </w:t>
      </w:r>
      <w:r w:rsidR="007B7FCC">
        <w:t>cash payments</w:t>
      </w:r>
      <w:r>
        <w:t xml:space="preserve">. With this solution, the municipality of São Paulo allowed </w:t>
      </w:r>
      <w:r w:rsidR="007B7FCC">
        <w:t xml:space="preserve">millions of </w:t>
      </w:r>
      <w:r>
        <w:t xml:space="preserve">voters (mostly working-class individuals) to use multiple </w:t>
      </w:r>
      <w:r w:rsidR="002F3FE6">
        <w:t>buses</w:t>
      </w:r>
      <w:r>
        <w:t xml:space="preserve"> at the cost of one trip when commuting to work, school, or leisure. This </w:t>
      </w:r>
      <w:r w:rsidR="00036C48">
        <w:t xml:space="preserve">automated fare collection system for integrated ticketing </w:t>
      </w:r>
      <w:r>
        <w:t xml:space="preserve">drastically reduced the time spent in public transportation, as well as </w:t>
      </w:r>
      <w:r w:rsidR="00EA71F3">
        <w:t>users’</w:t>
      </w:r>
      <w:r>
        <w:t xml:space="preserve"> costs.</w:t>
      </w:r>
    </w:p>
    <w:p w14:paraId="66477258" w14:textId="652D8F01" w:rsidR="00496F3D" w:rsidRDefault="007B7FCC" w:rsidP="00496F3D">
      <w:r>
        <w:t xml:space="preserve">Second, instead </w:t>
      </w:r>
      <w:r w:rsidR="002F3FE6">
        <w:t>of</w:t>
      </w:r>
      <w:r>
        <w:t xml:space="preserve"> focusing on entire electoral districts </w:t>
      </w:r>
      <w:r>
        <w:fldChar w:fldCharType="begin"/>
      </w:r>
      <w:r>
        <w:instrText xml:space="preserve"> ADDIN ZOTERO_ITEM CSL_CITATION {"citationID":"bO7PL4Kl","properties":{"formattedCitation":"(e.g., Burnett &amp; Kogan, 2017; Hopkins &amp; Pettingill, 2018)","plainCitation":"(e.g., Burnett &amp; Kogan, 2017; Hopkins &amp; Pettingill, 2018)","noteIndex":0},"citationItems":[{"id":2421,"uris":["http://zotero.org/users/5602238/items/LSUR7MEF"],"itemData":{"id":2421,"type":"article-journal","abstract":"By conditioning their support for political incumbents on observed performance outcomes, voters can motivate elected officials to represent their interests faithfully while in office. Whether elections serve this function in subnational US government remains unclear, however, because much of the existing research on retrospective voting in these contexts focuses on outcomes that are not obviously salient to voters or over which the relevant government officials have limited influence. In this study, we examine one outcome—the quality of local roads—that is both salient and unquestionably under the control of city government. Our analysis leverages within-city variation in the number of pothole complaints in one of America’s largest cities and shows that such variation can explain neighborhood-level differences in support for incumbents in two political offices—mayor and city council—across several electoral cycles.","container-title":"The Journal of Politics","DOI":"10.1086/688736","ISSN":"0022-3816","issue":"1","note":"publisher: The University of Chicago Press","page":"302-314","source":"journals.uchicago.edu (Atypon)","title":"The Politics of Potholes: Service Quality and Retrospective Voting in Local Elections","title-short":"The Politics of Potholes","volume":"79","author":[{"family":"Burnett","given":"Craig M."},{"family":"Kogan","given":"Vladimir"}],"issued":{"date-parts":[["2017",1]]}},"label":"page","prefix":"e.g., "},{"id":2419,"uris":["http://zotero.org/users/5602238/items/Y9P949M8"],"itemData":{"id":2419,"type":"article-journal","abstract":"Retrospective voting is a central explanation for voters’ support of incumbents. Yet, despite the variety of conditions facing American cities, past research has devoted little attention to retrospective voting for mayors. This paper first develops hypotheses about how local retrospective voting might differ from its national analog, due to both differing information sources and the presence of national benchmarks. It then analyzes retrospective voting using the largest data set on big-city mayoral elections between 1990 and 2011 to date. Neither crime rates nor property values consistently influence incumbent mayors’ vote shares, nor do changes in local conditions. However, low city-level unemployment relative to national unemployment correlates with higher incumbent support. The urban voter is a particular type of retrospective voter, one who compares local economic performance to conditions elsewhere. Moreover, these effects appear to be present only in cities that dominate their media markets, suggesting media outlets’ role in facilitating retrospective voting.","container-title":"Political Science Research and Methods","DOI":"10.1017/psrm.2016.54","ISSN":"2049-8470, 2049-8489","issue":"4","language":"en","note":"publisher: Cambridge University Press","page":"697-714","source":"Cambridge University Press","title":"Retrospective Voting in Big-City US Mayoral Elections","volume":"6","author":[{"family":"Hopkins","given":"Daniel J."},{"family":"Pettingill","given":"Lindsay M."}],"issued":{"date-parts":[["2018",10]]}}}],"schema":"https://github.com/citation-style-language/schema/raw/master/csl-citation.json"} </w:instrText>
      </w:r>
      <w:r>
        <w:fldChar w:fldCharType="separate"/>
      </w:r>
      <w:r>
        <w:rPr>
          <w:noProof/>
        </w:rPr>
        <w:t>(e.g., Burnett &amp; Kogan, 2017; Hopkins &amp; Pettingill, 2018)</w:t>
      </w:r>
      <w:r>
        <w:fldChar w:fldCharType="end"/>
      </w:r>
      <w:r>
        <w:t xml:space="preserve">, we use georeferencing tools to compare the electoral outcomes of policy innovation in different </w:t>
      </w:r>
      <w:r w:rsidR="00EA71F3">
        <w:t>regions</w:t>
      </w:r>
      <w:r>
        <w:t xml:space="preserve"> of </w:t>
      </w:r>
      <w:r w:rsidR="00EA71F3">
        <w:t>the same municipality</w:t>
      </w:r>
      <w:r>
        <w:t xml:space="preserve">. More specifically, we identify the number of beneficiaries in each neighborhood of São Paulo and how many votes the incumbent obtained in each of them in the elections before and after the policy implementation. We are, </w:t>
      </w:r>
      <w:r>
        <w:lastRenderedPageBreak/>
        <w:t xml:space="preserve">then, able to causally infer that retrospective voting occurred </w:t>
      </w:r>
      <w:r w:rsidR="00EA71F3">
        <w:t>predominantly</w:t>
      </w:r>
      <w:r>
        <w:t xml:space="preserve"> </w:t>
      </w:r>
      <w:r w:rsidR="00EA71F3">
        <w:t xml:space="preserve">in the neighborhoods with </w:t>
      </w:r>
      <w:r w:rsidR="002F3FE6">
        <w:t xml:space="preserve">the </w:t>
      </w:r>
      <w:r w:rsidR="00EA71F3">
        <w:t>most smart-card users</w:t>
      </w:r>
      <w:r>
        <w:t>, compared both to other neighborhoods</w:t>
      </w:r>
      <w:r w:rsidR="00EA71F3">
        <w:t xml:space="preserve"> (with </w:t>
      </w:r>
      <w:r w:rsidR="002F3FE6">
        <w:t>fewer</w:t>
      </w:r>
      <w:r w:rsidR="00EA71F3">
        <w:t xml:space="preserve"> beneficiaries) and</w:t>
      </w:r>
      <w:r>
        <w:t xml:space="preserve"> the same neighborhoods in the previous election.</w:t>
      </w:r>
    </w:p>
    <w:p w14:paraId="3528360D" w14:textId="2DF69AE1" w:rsidR="00496F3D" w:rsidRDefault="007B7FCC" w:rsidP="00496F3D">
      <w:r>
        <w:t>Third, we demonstrate that these effects go beyond the</w:t>
      </w:r>
      <w:r w:rsidR="00851E23">
        <w:t xml:space="preserve"> traditional outcomes of pork-barreling policies. Public transportation reforms often consider economic, technical, and political aspects </w:t>
      </w:r>
      <w:r w:rsidR="00851E23">
        <w:fldChar w:fldCharType="begin"/>
      </w:r>
      <w:r w:rsidR="00851E23">
        <w:instrText xml:space="preserve"> ADDIN ZOTERO_ITEM CSL_CITATION {"citationID":"ywWJZ20c","properties":{"formattedCitation":"(Yoo &amp; Lee, 2023)","plainCitation":"(Yoo &amp; Lee, 2023)","noteIndex":0},"citationItems":[{"id":2366,"uris":["http://zotero.org/users/5602238/items/8MF8ZBRS"],"itemData":{"id":2366,"type":"article-journal","abstract":"Traditional bus route design tools mainly aim to minimise a cost-based objective such as passenger travel times and/or operator costs. These approaches favour high-demand areas in distributing transit services and benefit densely populated areas. Public transport must provide viable transport services to socially disadvantaged people to allow them to undertake essential social and economic activities. This study uses a transit accessibility measure in the route design objective and demonstrates its impacts and implications through a case study in Penrith, an area in Sydney, Australia. The results reveal a limitation of using accessibility as the sole design objective. An equity measure called the transit service need index is incorporated in the objective to revise and redistribute bus services to improve accessibility in areas with more transport disadvantaged people. Reinforcement learning is used for bus route optimisation. The route design tool could be useful for transit planners and operators in route planning and evaluation. The study demonstrates some different approaches of route design objective formulations to meet increasingly diverse needs and expectations for public transport.","container-title":"Journal of Public Transportation","DOI":"10.1016/j.jpubtr.2023.100041","ISSN":"1077-291X","journalAbbreviation":"Journal of Public Transportation","page":"100041","source":"ScienceDirect","title":"Revising bus routes to improve access for the transport disadvantaged: A reinforcement learning approach","title-short":"Revising bus routes to improve access for the transport disadvantaged","volume":"25","author":[{"family":"Yoo","given":"Sunhyung"},{"family":"Lee","given":"Jinwoo"}],"issued":{"date-parts":[["2023",1,1]]}}}],"schema":"https://github.com/citation-style-language/schema/raw/master/csl-citation.json"} </w:instrText>
      </w:r>
      <w:r w:rsidR="00851E23">
        <w:fldChar w:fldCharType="separate"/>
      </w:r>
      <w:r w:rsidR="00851E23">
        <w:rPr>
          <w:noProof/>
        </w:rPr>
        <w:t>(Yoo &amp; Lee, 2023)</w:t>
      </w:r>
      <w:r w:rsidR="00851E23">
        <w:fldChar w:fldCharType="end"/>
      </w:r>
      <w:r w:rsidR="00851E23">
        <w:t xml:space="preserve">. It attempts to reduce operational costs (and the costs to users), </w:t>
      </w:r>
      <w:r w:rsidR="00EA71F3">
        <w:t>shorten</w:t>
      </w:r>
      <w:r w:rsidR="00851E23">
        <w:t xml:space="preserve"> commuting time and reduce traffic, and improve performance standards that were set also considering the incumbent’s and the bureaucracy’s preferences. Given the multiple stakes at play</w:t>
      </w:r>
      <w:r w:rsidR="00EA71F3">
        <w:t xml:space="preserve"> in major urban cities</w:t>
      </w:r>
      <w:r w:rsidR="00851E23">
        <w:t xml:space="preserve">, it is harder to use public transportation as a </w:t>
      </w:r>
      <w:r w:rsidR="002F3FE6">
        <w:t>pork barrel</w:t>
      </w:r>
      <w:r w:rsidR="00851E23">
        <w:t xml:space="preserve"> tool if compared to other policy sectors. Our models, thus, account for other policies implemented by the same administration with clearer vote-grabbing intentions. We verify that, despite the technical motivations of </w:t>
      </w:r>
      <w:proofErr w:type="spellStart"/>
      <w:r w:rsidR="00851E23" w:rsidRPr="00036C48">
        <w:t>Bilhete</w:t>
      </w:r>
      <w:proofErr w:type="spellEnd"/>
      <w:r w:rsidR="00851E23" w:rsidRPr="00036C48">
        <w:t xml:space="preserve"> </w:t>
      </w:r>
      <w:proofErr w:type="spellStart"/>
      <w:r w:rsidR="00851E23" w:rsidRPr="00036C48">
        <w:t>Único</w:t>
      </w:r>
      <w:proofErr w:type="spellEnd"/>
      <w:r w:rsidR="00851E23">
        <w:t>, its causal effects remain robust after this and other sensitivity tests.</w:t>
      </w:r>
    </w:p>
    <w:p w14:paraId="0C987394" w14:textId="7B77B4BE" w:rsidR="0000204C" w:rsidRPr="0000204C" w:rsidRDefault="001C3CD4" w:rsidP="0000204C">
      <w:pPr>
        <w:pStyle w:val="Heading1"/>
      </w:pPr>
      <w:r>
        <w:t>Public Transportation and Policy Innovation</w:t>
      </w:r>
    </w:p>
    <w:p w14:paraId="197B70BE" w14:textId="156CE48E" w:rsidR="00725F1B" w:rsidRDefault="000F200A" w:rsidP="0000204C">
      <w:r>
        <w:t>Public</w:t>
      </w:r>
      <w:r w:rsidR="001D5BDA">
        <w:t xml:space="preserve"> transportation is among the most complex</w:t>
      </w:r>
      <w:r w:rsidR="009B753D">
        <w:t xml:space="preserve"> and contentious</w:t>
      </w:r>
      <w:r w:rsidR="001D5BDA">
        <w:t xml:space="preserve"> issues of metropolitan governance. </w:t>
      </w:r>
      <w:r>
        <w:t>In brief, its “</w:t>
      </w:r>
      <w:r w:rsidRPr="000F200A">
        <w:t xml:space="preserve">most important role </w:t>
      </w:r>
      <w:r>
        <w:t>(…)</w:t>
      </w:r>
      <w:r w:rsidRPr="000F200A">
        <w:t xml:space="preserve"> is to provide mobility options for those without the ability to secure transportation at market rates</w:t>
      </w:r>
      <w:r>
        <w:t>”</w:t>
      </w:r>
      <w:r w:rsidR="00142476">
        <w:t xml:space="preserve"> </w:t>
      </w:r>
      <w:r w:rsidR="00142476">
        <w:fldChar w:fldCharType="begin"/>
      </w:r>
      <w:r w:rsidR="00142476">
        <w:instrText xml:space="preserve"> ADDIN ZOTERO_ITEM CSL_CITATION {"citationID":"IjmpLtag","properties":{"formattedCitation":"(Polzin, 2018, p. 45)","plainCitation":"(Polzin, 2018, p. 45)","noteIndex":0},"citationItems":[{"id":2358,"uris":["http://zotero.org/users/5602238/items/NSXNXAV9"],"itemData":{"id":2358,"type":"article-journal","container-title":"Journal of Public Transportation","issue":"1","page":"43-52","title":"Just Around the Corner: The Future of U.S. Public Transportation","volume":"21","author":[{"family":"Polzin","given":"Steven E."}],"issued":{"date-parts":[["2018"]]}},"locator":"45","label":"page"}],"schema":"https://github.com/citation-style-language/schema/raw/master/csl-citation.json"} </w:instrText>
      </w:r>
      <w:r w:rsidR="00142476">
        <w:fldChar w:fldCharType="separate"/>
      </w:r>
      <w:r w:rsidR="00142476">
        <w:rPr>
          <w:noProof/>
        </w:rPr>
        <w:t>(Polzin, 2018, p. 45)</w:t>
      </w:r>
      <w:r w:rsidR="00142476">
        <w:fldChar w:fldCharType="end"/>
      </w:r>
      <w:r w:rsidR="00142476">
        <w:t>.</w:t>
      </w:r>
      <w:r>
        <w:t xml:space="preserve"> </w:t>
      </w:r>
      <w:r w:rsidR="001F51BF">
        <w:t>T</w:t>
      </w:r>
      <w:r w:rsidR="001D5BDA">
        <w:t>here are studies dating from the early 20</w:t>
      </w:r>
      <w:r w:rsidR="001D5BDA" w:rsidRPr="001D5BDA">
        <w:rPr>
          <w:vertAlign w:val="superscript"/>
        </w:rPr>
        <w:t>th</w:t>
      </w:r>
      <w:r w:rsidR="001D5BDA">
        <w:t xml:space="preserve"> century discussing </w:t>
      </w:r>
      <w:r w:rsidR="002F3FE6">
        <w:t xml:space="preserve">the </w:t>
      </w:r>
      <w:r w:rsidR="001D5BDA">
        <w:t xml:space="preserve">inadequacies </w:t>
      </w:r>
      <w:r w:rsidR="00142476">
        <w:t>of the</w:t>
      </w:r>
      <w:r w:rsidR="001D5BDA">
        <w:t xml:space="preserve"> </w:t>
      </w:r>
      <w:r w:rsidR="00142476">
        <w:t xml:space="preserve">existing </w:t>
      </w:r>
      <w:r w:rsidR="001D5BDA">
        <w:t>solutions</w:t>
      </w:r>
      <w:r w:rsidR="00142476">
        <w:t xml:space="preserve"> in this policy sector</w:t>
      </w:r>
      <w:r w:rsidR="001D5BDA">
        <w:t>.</w:t>
      </w:r>
      <w:r w:rsidR="001F51BF">
        <w:t xml:space="preserve"> According to Coker </w:t>
      </w:r>
      <w:r w:rsidR="001F51BF">
        <w:fldChar w:fldCharType="begin"/>
      </w:r>
      <w:r w:rsidR="001F51BF">
        <w:instrText xml:space="preserve"> ADDIN ZOTERO_ITEM CSL_CITATION {"citationID":"R5OYGsrz","properties":{"formattedCitation":"(1920)","plainCitation":"(1920)","noteIndex":0},"citationItems":[{"id":2347,"uris":["http://zotero.org/users/5602238/items/82KMLF4H"],"itemData":{"id":2347,"type":"article-journal","container-title":"American Political Science Review","issue":"4","page":"688-696","title":"Street-railway Problems","volume":"14","author":[{"family":"Coker","given":"F. W."}],"issued":{"date-parts":[["1920"]]}},"label":"page","suppress-author":true}],"schema":"https://github.com/citation-style-language/schema/raw/master/csl-citation.json"} </w:instrText>
      </w:r>
      <w:r w:rsidR="001F51BF">
        <w:fldChar w:fldCharType="separate"/>
      </w:r>
      <w:r w:rsidR="001F51BF">
        <w:rPr>
          <w:noProof/>
        </w:rPr>
        <w:t>(1920)</w:t>
      </w:r>
      <w:r w:rsidR="001F51BF">
        <w:fldChar w:fldCharType="end"/>
      </w:r>
      <w:r w:rsidR="001F51BF">
        <w:t xml:space="preserve">, street railways were a salient issue in the 1910s, when growing U.S. cities debated the regulation and public ownership of </w:t>
      </w:r>
      <w:r w:rsidR="00437AA0">
        <w:t xml:space="preserve">urban </w:t>
      </w:r>
      <w:r w:rsidR="001F51BF">
        <w:t xml:space="preserve">transportation systems. </w:t>
      </w:r>
      <w:r w:rsidR="006D6967">
        <w:t>S</w:t>
      </w:r>
      <w:r w:rsidR="001F51BF">
        <w:t>ome authors</w:t>
      </w:r>
      <w:r w:rsidR="003E5A7A">
        <w:t xml:space="preserve"> </w:t>
      </w:r>
      <w:r w:rsidR="003E5A7A">
        <w:fldChar w:fldCharType="begin"/>
      </w:r>
      <w:r w:rsidR="006B0AF9">
        <w:instrText xml:space="preserve"> ADDIN ZOTERO_ITEM CSL_CITATION {"citationID":"hiCIqgUy","properties":{"formattedCitation":"(e.g., Castells, 1978; Dunleavy, 1979)","plainCitation":"(e.g., Castells, 1978; Dunleavy, 1979)","noteIndex":0},"citationItems":[{"id":2348,"uris":["http://zotero.org/users/5602238/items/MWXX8CW9"],"itemData":{"id":2348,"type":"book","abstract":"Urban problems are increasingly at the heart of political debate in industrial capitalist societies. The Italian Left obtained a majority in the 1975 municipal elections in all the large towns, in part on the basis of urban protests and partly on the strength of being an alternative form of local government. The same phenomenon occurred in Japan, where socialists and communists, because they have given priority to urban and environmental issues, govern the most important cities. In the United States, the crisis of New York is only the most spectacular manifestation of a series of social contradictions which question a model of urban development which nevertheless remains indispensable for the organisation of an existence centred around the dominant interests of American society. In France, urban and regional policies are one of the clearest indicators of the cleavages and struggles between different political forces, as could be observed during the debate on the Galley Bill (which in 1975 tried to tax more heavily speculative use of land and triggered widespread opposition from the business circles), or yet still, in the successive measures which have been adopted with respect to public transport and urban-renewal programmes. The middle classes are living increasingly in the grands ensembles and some observers have gone as far as to attribute the success of the Left in the 1976 district elections to their dissatisfaction with the lifestyle in these new residential milieux. As we shall see, this process is in fact more complex.","event-place":"London","ISBN":"978-1-349-27923-4","language":"en","note":"DOI: 10.1007/978-1-349-27923-4_8","publisher":"Macmillan Education UK","publisher-place":"London","source":"Springer Link","title":"City, Class and Power","URL":"https://doi.org/10.1007/978-1-349-27923-4_8","author":[{"family":"Castells","given":"Manuel"}],"accessed":{"date-parts":[["2023",10,31]]},"issued":{"date-parts":[["1978"]]}},"label":"page","prefix":"e.g.,"},{"id":2349,"uris":["http://zotero.org/users/5602238/items/TFSIURUC"],"itemData":{"id":2349,"type":"article-journal","container-title":"British Journal of Political Science","issue":"4","page":"409-443","title":"The Urban Basis of Political Alignment: Social Class, Domestic Property Ownership, and State Intervention in Consumption Processes","volume":"9","author":[{"family":"Dunleavy","given":"Patrick"}],"issued":{"date-parts":[["1979"]]}}}],"schema":"https://github.com/citation-style-language/schema/raw/master/csl-citation.json"} </w:instrText>
      </w:r>
      <w:r w:rsidR="003E5A7A">
        <w:fldChar w:fldCharType="separate"/>
      </w:r>
      <w:r w:rsidR="003E5A7A">
        <w:rPr>
          <w:noProof/>
        </w:rPr>
        <w:t>(e.g., Castells, 1978; Dunleavy, 1979)</w:t>
      </w:r>
      <w:r w:rsidR="003E5A7A">
        <w:fldChar w:fldCharType="end"/>
      </w:r>
      <w:r w:rsidR="001F51BF">
        <w:t xml:space="preserve"> suggest that mass transport systems </w:t>
      </w:r>
      <w:r w:rsidR="00142476">
        <w:t>have long been</w:t>
      </w:r>
      <w:r w:rsidR="001F51BF">
        <w:t xml:space="preserve"> at the center of political disputes of capitalist urbanization</w:t>
      </w:r>
      <w:r w:rsidR="00142476">
        <w:t xml:space="preserve"> because</w:t>
      </w:r>
      <w:r w:rsidR="001F51BF">
        <w:t xml:space="preserve"> these are commodities </w:t>
      </w:r>
      <w:r w:rsidR="00437AA0">
        <w:t>predominantly</w:t>
      </w:r>
      <w:r w:rsidR="001F51BF">
        <w:t xml:space="preserve"> consumed by the working class. Castells</w:t>
      </w:r>
      <w:r w:rsidR="00DF400B">
        <w:t xml:space="preserve"> </w:t>
      </w:r>
      <w:r w:rsidR="00DF400B">
        <w:fldChar w:fldCharType="begin"/>
      </w:r>
      <w:r w:rsidR="006B0AF9">
        <w:instrText xml:space="preserve"> ADDIN ZOTERO_ITEM CSL_CITATION {"citationID":"jFRZmfuI","properties":{"formattedCitation":"(1978, p. 170)","plainCitation":"(1978, p. 170)","noteIndex":0},"citationItems":[{"id":2348,"uris":["http://zotero.org/users/5602238/items/MWXX8CW9"],"itemData":{"id":2348,"type":"book","abstract":"Urban problems are increasingly at the heart of political debate in industrial capitalist societies. The Italian Left obtained a majority in the 1975 municipal elections in all the large towns, in part on the basis of urban protests and partly on the strength of being an alternative form of local government. The same phenomenon occurred in Japan, where socialists and communists, because they have given priority to urban and environmental issues, govern the most important cities. In the United States, the crisis of New York is only the most spectacular manifestation of a series of social contradictions which question a model of urban development which nevertheless remains indispensable for the organisation of an existence centred around the dominant interests of American society. In France, urban and regional policies are one of the clearest indicators of the cleavages and struggles between different political forces, as could be observed during the debate on the Galley Bill (which in 1975 tried to tax more heavily speculative use of land and triggered widespread opposition from the business circles), or yet still, in the successive measures which have been adopted with respect to public transport and urban-renewal programmes. The middle classes are living increasingly in the grands ensembles and some observers have gone as far as to attribute the success of the Left in the 1976 district elections to their dissatisfaction with the lifestyle in these new residential milieux. As we shall see, this process is in fact more complex.","event-place":"London","ISBN":"978-1-349-27923-4","language":"en","note":"DOI: 10.1007/978-1-349-27923-4_8","publisher":"Macmillan Education UK","publisher-place":"London","source":"Springer Link","title":"City, Class and Power","URL":"https://doi.org/10.1007/978-1-349-27923-4_8","author":[{"family":"Castells","given":"Manuel"}],"accessed":{"date-parts":[["2023",10,31]]},"issued":{"date-parts":[["1978"]]}},"locator":"170","label":"page","suppress-author":true}],"schema":"https://github.com/citation-style-language/schema/raw/master/csl-citation.json"} </w:instrText>
      </w:r>
      <w:r w:rsidR="00DF400B">
        <w:fldChar w:fldCharType="separate"/>
      </w:r>
      <w:r w:rsidR="00DF400B">
        <w:rPr>
          <w:noProof/>
        </w:rPr>
        <w:t>(1978, p. 170)</w:t>
      </w:r>
      <w:r w:rsidR="00DF400B">
        <w:fldChar w:fldCharType="end"/>
      </w:r>
      <w:r w:rsidR="001F51BF">
        <w:t xml:space="preserve"> argues that “State intervention in the city (…) politicizes and globalizes urban conflicts by articulating directly the material conditions of daily life and the class content of state policies.”</w:t>
      </w:r>
    </w:p>
    <w:p w14:paraId="3BB26633" w14:textId="188955E4" w:rsidR="001C3CD4" w:rsidRDefault="005E1B9B" w:rsidP="00532461">
      <w:r>
        <w:t xml:space="preserve">There are several examples of such conflicts in modern politics. In the postindustrial era, low-income workers are priced out </w:t>
      </w:r>
      <w:r w:rsidR="00D41876">
        <w:t xml:space="preserve">of </w:t>
      </w:r>
      <w:r>
        <w:t xml:space="preserve">the urban core and forced to live in areas with </w:t>
      </w:r>
      <w:r w:rsidR="006D6967">
        <w:t>fewer</w:t>
      </w:r>
      <w:r>
        <w:t xml:space="preserve"> public services </w:t>
      </w:r>
      <w:r>
        <w:fldChar w:fldCharType="begin"/>
      </w:r>
      <w:r w:rsidR="00C05147">
        <w:instrText xml:space="preserve"> ADDIN ZOTERO_ITEM CSL_CITATION {"citationID":"sWB4nmtn","properties":{"formattedCitation":"(Murphy &amp; Wallace, 2010)","plainCitation":"(Murphy &amp; Wallace, 2010)","noteIndex":0},"citationItems":[{"id":2355,"uris":["http://zotero.org/users/5602238/items/XG2YJSK8"],"itemData":{"id":2355,"type":"article-journal","abstract":"Objectives. Given the recent rise of poverty in U.S. suburbs, this study asks: What poor neighborhoods are most disadvantageous, those in the city or those in the suburbs? Building on recent urban sociological work demonstrating the importance of neighborhood organizations for the poor, we are concerned with one aspect of disadvantage—the lack of availability of organizational resources oriented toward the poor. By breaking down organizations into those that promote mobility versus those that help individuals meet their daily subsistence needs, we seek to explore potential variations in the type of disadvantage that may exist. Methods. We test whether poor urban or suburban neighborhoods are more likely to be organizationally deprived by breaking down organizations into three types: hardship organizations, educational organizations, and employment organizations. We use data from the 2000 U.S. County Business Patterns and the 2000 U.S. Census and test neighborhood deprivation using logistic regression models. Results. We find that suburban poor neighborhoods are more likely to be organizationally deprived than are urban poor neighborhoods, especially with respect to organizations that promote upward mobility. Interesting racial and ethnic composition factors shape this more general finding. Conclusion. Our findings suggest that if a poor individual is to live in a poor neighborhood, with respect to access to organizational resources, he or she would be better off living in the central city. Suburban residence engenders isolation from organizations that will help meet one's daily needs and even more so from those offering opportunities for mobility.","container-title":"Social Science Quarterly","DOI":"10.1111/j.1540-6237.2010.00726.x","ISSN":"1540-6237","issue":"5","language":"en","license":"© 2010 by the Southwestern Social Science Association","note":"_eprint: https://onlinelibrary.wiley.com/doi/pdf/10.1111/j.1540-6237.2010.00726.x","page":"1164-1186","source":"Wiley Online Library","title":"Opportunities for Making Ends Meet and Upward Mobility: Differences in Organizational Deprivation Across Urban and Suburban Poor Neighborhoods","title-short":"Opportunities for Making Ends Meet and Upward Mobility","volume":"91","author":[{"family":"Murphy","given":"Alexandra K."},{"family":"Wallace","given":"Danielle"}],"issued":{"date-parts":[["2010"]]}}}],"schema":"https://github.com/citation-style-language/schema/raw/master/csl-citation.json"} </w:instrText>
      </w:r>
      <w:r>
        <w:fldChar w:fldCharType="separate"/>
      </w:r>
      <w:r>
        <w:rPr>
          <w:noProof/>
        </w:rPr>
        <w:t>(Murphy &amp; Wallace, 2010)</w:t>
      </w:r>
      <w:r>
        <w:fldChar w:fldCharType="end"/>
      </w:r>
      <w:r w:rsidR="00AC0324">
        <w:t xml:space="preserve"> and, oftentimes, </w:t>
      </w:r>
      <w:r w:rsidR="006D6967">
        <w:t>more distance</w:t>
      </w:r>
      <w:r w:rsidR="00AC0324">
        <w:t xml:space="preserve"> from their workplace</w:t>
      </w:r>
      <w:r>
        <w:t>. This</w:t>
      </w:r>
      <w:r w:rsidR="00532461">
        <w:t xml:space="preserve"> increases the need for efficient transportation systems,</w:t>
      </w:r>
      <w:r>
        <w:t xml:space="preserve"> le</w:t>
      </w:r>
      <w:r w:rsidR="00532461">
        <w:t>a</w:t>
      </w:r>
      <w:r>
        <w:t>d</w:t>
      </w:r>
      <w:r w:rsidR="00532461">
        <w:t>ing</w:t>
      </w:r>
      <w:r>
        <w:t xml:space="preserve"> to </w:t>
      </w:r>
      <w:r w:rsidR="00AC0324">
        <w:t>contentious</w:t>
      </w:r>
      <w:r>
        <w:t xml:space="preserve"> political interests and mobilization strategies across the world. In London, left-wing mayor Ken Livingstone </w:t>
      </w:r>
      <w:r w:rsidR="00532461">
        <w:t xml:space="preserve">“campaigned on transit modernization”, while right-wing mayor Boris Johnson promised </w:t>
      </w:r>
      <w:r w:rsidR="00532461">
        <w:lastRenderedPageBreak/>
        <w:t>“expanding outer London bus and express rail transit”</w:t>
      </w:r>
      <w:r>
        <w:t xml:space="preserve"> </w:t>
      </w:r>
      <w:r>
        <w:fldChar w:fldCharType="begin"/>
      </w:r>
      <w:r w:rsidR="00532461">
        <w:instrText xml:space="preserve"> ADDIN ZOTERO_ITEM CSL_CITATION {"citationID":"OhEOJ3Vp","properties":{"formattedCitation":"(Doering et al., 2021, p. 922)","plainCitation":"(Doering et al., 2021, p. 922)","noteIndex":0},"citationItems":[{"id":2353,"uris":["http://zotero.org/users/5602238/items/HJ4EWC7T"],"itemData":{"id":2353,"type":"article-journal","container-title":"Urban Affairs Review","issue":"4","page":"911-951","title":"The Spatial Articulation of Urban Political Cleavages","volume":"57","author":[{"family":"Doering","given":"Jan"},{"family":"Silver","given":"Daniel"},{"family":"Taylor","given":"Zack"}],"issued":{"date-parts":[["2021"]]}},"locator":"922","label":"page"}],"schema":"https://github.com/citation-style-language/schema/raw/master/csl-citation.json"} </w:instrText>
      </w:r>
      <w:r>
        <w:fldChar w:fldCharType="separate"/>
      </w:r>
      <w:r w:rsidR="00532461">
        <w:rPr>
          <w:noProof/>
        </w:rPr>
        <w:t>(Doering et al., 2021, p. 922)</w:t>
      </w:r>
      <w:r>
        <w:fldChar w:fldCharType="end"/>
      </w:r>
      <w:r>
        <w:t>.</w:t>
      </w:r>
      <w:r w:rsidR="00532461">
        <w:t xml:space="preserve"> In France, </w:t>
      </w:r>
      <w:r w:rsidR="00AC0324">
        <w:t>Emmanuel Macron’s</w:t>
      </w:r>
      <w:r w:rsidR="00532461">
        <w:t xml:space="preserve"> gasoline tax triggered the Yellow Vest </w:t>
      </w:r>
      <w:r w:rsidR="00142476">
        <w:t xml:space="preserve">movement </w:t>
      </w:r>
      <w:r w:rsidR="00532461">
        <w:t xml:space="preserve">to </w:t>
      </w:r>
      <w:r>
        <w:t xml:space="preserve">protest in </w:t>
      </w:r>
      <w:r w:rsidR="00142476">
        <w:t>defense</w:t>
      </w:r>
      <w:r>
        <w:t xml:space="preserve"> of peripheral areas</w:t>
      </w:r>
      <w:r w:rsidR="00142476">
        <w:t>’ low-income residents</w:t>
      </w:r>
      <w:r>
        <w:t xml:space="preserve"> who were highly dependent on their vehicles</w:t>
      </w:r>
      <w:r w:rsidR="006D6967">
        <w:t xml:space="preserve"> to work</w:t>
      </w:r>
      <w:r w:rsidR="00532461">
        <w:t xml:space="preserve"> (</w:t>
      </w:r>
      <w:r w:rsidR="00532461">
        <w:rPr>
          <w:i/>
          <w:iCs/>
        </w:rPr>
        <w:t>ibid.</w:t>
      </w:r>
      <w:r w:rsidR="00532461">
        <w:t>).</w:t>
      </w:r>
    </w:p>
    <w:p w14:paraId="4DA47938" w14:textId="055CA5D8" w:rsidR="00725F1B" w:rsidRDefault="006D6967" w:rsidP="00532461">
      <w:r>
        <w:t>Considering its contentious characteristics, we posit that</w:t>
      </w:r>
      <w:r w:rsidR="001C3CD4">
        <w:t xml:space="preserve"> public transportation</w:t>
      </w:r>
      <w:r>
        <w:t xml:space="preserve"> should function as a</w:t>
      </w:r>
      <w:r w:rsidR="001C3CD4">
        <w:t xml:space="preserve"> distributive policy. According to </w:t>
      </w:r>
      <w:proofErr w:type="spellStart"/>
      <w:r w:rsidR="001C3CD4">
        <w:t>Weingast</w:t>
      </w:r>
      <w:proofErr w:type="spellEnd"/>
      <w:r w:rsidR="001C3CD4">
        <w:t xml:space="preserve">, </w:t>
      </w:r>
      <w:proofErr w:type="spellStart"/>
      <w:r w:rsidR="001C3CD4">
        <w:t>Shepsle</w:t>
      </w:r>
      <w:proofErr w:type="spellEnd"/>
      <w:r w:rsidR="001C3CD4">
        <w:t xml:space="preserve">, and Johnsen </w:t>
      </w:r>
      <w:r w:rsidR="001C3CD4">
        <w:fldChar w:fldCharType="begin"/>
      </w:r>
      <w:r w:rsidR="001C3CD4">
        <w:instrText xml:space="preserve"> ADDIN ZOTERO_ITEM CSL_CITATION {"citationID":"IrLXYx80","properties":{"formattedCitation":"(1981, p. 644)","plainCitation":"(1981, p. 644)","noteIndex":0},"citationItems":[{"id":2335,"uris":["http://zotero.org/users/5602238/items/NL3E2SYI"],"itemData":{"id":2335,"type":"article-journal","container-title":"Journal of Political Economy","issue":"4","page":"642–664","title":"The Political Economy of Benefits and Costs: A Neoclassical Approach to Distributive Politics","volume":"89","author":[{"family":"Weingast","given":"Barry R."},{"family":"Shepsle","given":"Kenneth A."},{"family":"Johnsen","given":"Christopher"}],"issued":{"date-parts":[["1981"]]}},"locator":"644","label":"page","suppress-author":true}],"schema":"https://github.com/citation-style-language/schema/raw/master/csl-citation.json"} </w:instrText>
      </w:r>
      <w:r w:rsidR="001C3CD4">
        <w:fldChar w:fldCharType="separate"/>
      </w:r>
      <w:r w:rsidR="001C3CD4">
        <w:rPr>
          <w:noProof/>
        </w:rPr>
        <w:t>(1981, p. 644)</w:t>
      </w:r>
      <w:r w:rsidR="001C3CD4">
        <w:fldChar w:fldCharType="end"/>
      </w:r>
      <w:r w:rsidR="001C3CD4">
        <w:t>, a distributive policy is a “</w:t>
      </w:r>
      <w:r w:rsidR="001C3CD4" w:rsidRPr="00482830">
        <w:t>political decision that concentrates benefits in a specific geographic constituency and finances expenditures through generalized taxation</w:t>
      </w:r>
      <w:r w:rsidR="001C3CD4">
        <w:t>.</w:t>
      </w:r>
      <w:r w:rsidR="001C3CD4" w:rsidRPr="00482830">
        <w:t>”</w:t>
      </w:r>
      <w:r w:rsidR="001C3CD4">
        <w:t xml:space="preserve"> This is likely to occur with mass-transit solutions since they are mostly targeted at lower-income populations who need subsidized </w:t>
      </w:r>
      <w:r>
        <w:t>alternatives</w:t>
      </w:r>
      <w:r w:rsidR="001C3CD4">
        <w:t xml:space="preserve"> to travel to their workplace and services </w:t>
      </w:r>
      <w:r w:rsidR="00D41876">
        <w:t>that</w:t>
      </w:r>
      <w:r w:rsidR="001C3CD4">
        <w:t xml:space="preserve"> are not available at their place of residence. Overall, p</w:t>
      </w:r>
      <w:r w:rsidR="001C3CD4" w:rsidRPr="00786C93">
        <w:t>oliticians yield electoral gains from distributive policies since targeted benefic</w:t>
      </w:r>
      <w:r w:rsidR="001C3CD4">
        <w:t xml:space="preserve">iaries are likely to retribute incumbents with votes </w:t>
      </w:r>
      <w:r w:rsidR="001C3CD4">
        <w:fldChar w:fldCharType="begin"/>
      </w:r>
      <w:r w:rsidR="001C3CD4">
        <w:instrText xml:space="preserve"> ADDIN ZOTERO_ITEM CSL_CITATION {"citationID":"PUGlBG3P","properties":{"formattedCitation":"(Woodhouse, 2023)","plainCitation":"(Woodhouse, 2023)","noteIndex":0},"citationItems":[{"id":2332,"uris":["http://zotero.org/users/5602238/items/TCUAEIRK"],"itemData":{"id":2332,"type":"article-journal","abstract":"Privately financed infrastructure agreements (PFIAs) are increasingly being used across the globe, bringing private money into the delivery of public goods. How does introducing private actors to such a process change how we think about distributive politics? I investigate this question using both quantitative and qualitative analyses, uncovering a relationship consistent with PFIAs being used as distributive goods and exploring how the credit-claim potential of PFIAs may affect their distributive use. My quantitative analyses (on 16 middle-income countries) present evidence suggestive of a relationship between electoral variables and the likelihood of a PFIA being present in a district. In districts aligned with the national ruling party, PFIAs are more likely to be concentrated in swing districts than core districts. I find that this relationship is more pronounced for PFIAs that are more directly attributable to the government. My qualitative press analysis provides insights into how politicians use various features of PFIAs to create credit-claiming opportunities.","container-title":"Governance","DOI":"10.1111/gove.12824","ISSN":"1468-0491","language":"en","license":"© 2023 The Authors. Governance published by Wiley Periodicals LLC.","note":"_eprint: https://onlinelibrary.wiley.com/doi/pdf/10.1111/gove.12824","source":"Wiley Online Library","title":"The distributive politics of privately financed infrastructure agreements","URL":"https://onlinelibrary.wiley.com/doi/abs/10.1111/gove.12824","author":[{"family":"Woodhouse","given":"Eleanor Florence"}],"accessed":{"date-parts":[["2023",10,30]]},"issued":{"date-parts":[["2023"]]}}}],"schema":"https://github.com/citation-style-language/schema/raw/master/csl-citation.json"} </w:instrText>
      </w:r>
      <w:r w:rsidR="001C3CD4">
        <w:fldChar w:fldCharType="separate"/>
      </w:r>
      <w:r w:rsidR="001C3CD4" w:rsidRPr="001C3CD4">
        <w:rPr>
          <w:noProof/>
        </w:rPr>
        <w:t>(Woodhouse, 2023)</w:t>
      </w:r>
      <w:r w:rsidR="001C3CD4">
        <w:fldChar w:fldCharType="end"/>
      </w:r>
      <w:r w:rsidR="001C3CD4" w:rsidRPr="001C3CD4">
        <w:t xml:space="preserve">. </w:t>
      </w:r>
      <w:r>
        <w:t>This explains this policy sector’s relevance in metropolitan politics.</w:t>
      </w:r>
    </w:p>
    <w:p w14:paraId="41A56A9B" w14:textId="4E5306C4" w:rsidR="00142476" w:rsidRDefault="001C3CD4" w:rsidP="0000204C">
      <w:r>
        <w:t>We add that, b</w:t>
      </w:r>
      <w:r w:rsidR="000F200A">
        <w:t xml:space="preserve">esides political considerations, public transportation policies entail a technical </w:t>
      </w:r>
      <w:r w:rsidR="006D6967">
        <w:t>dimension</w:t>
      </w:r>
      <w:r w:rsidR="00142476">
        <w:t xml:space="preserve">. They are responsible for improving mobility in metropolitan regions that </w:t>
      </w:r>
      <w:r w:rsidR="006D6967">
        <w:t>face</w:t>
      </w:r>
      <w:r w:rsidR="00142476">
        <w:t xml:space="preserve"> ever-changing technological and spatial landscapes. Some </w:t>
      </w:r>
      <w:r w:rsidR="001A7F54">
        <w:t xml:space="preserve">innovative </w:t>
      </w:r>
      <w:r w:rsidR="00142476">
        <w:t>solutions, such as ride-sharing services, may facilitate mobility in big cities</w:t>
      </w:r>
      <w:r w:rsidR="006D6967">
        <w:t xml:space="preserve"> but are not enough to eliminate the need for collective modes of transportation</w:t>
      </w:r>
      <w:r w:rsidR="00142476">
        <w:t xml:space="preserve">. </w:t>
      </w:r>
      <w:r w:rsidR="006D6967">
        <w:t>A</w:t>
      </w:r>
      <w:r w:rsidR="00142476">
        <w:t xml:space="preserve">s Polzin </w:t>
      </w:r>
      <w:r w:rsidR="00142476">
        <w:fldChar w:fldCharType="begin"/>
      </w:r>
      <w:r w:rsidR="00142476">
        <w:instrText xml:space="preserve"> ADDIN ZOTERO_ITEM CSL_CITATION {"citationID":"169udygg","properties":{"formattedCitation":"(2018)","plainCitation":"(2018)","noteIndex":0},"citationItems":[{"id":2358,"uris":["http://zotero.org/users/5602238/items/NSXNXAV9"],"itemData":{"id":2358,"type":"article-journal","container-title":"Journal of Public Transportation","issue":"1","page":"43-52","title":"Just Around the Corner: The Future of U.S. Public Transportation","volume":"21","author":[{"family":"Polzin","given":"Steven E."}],"issued":{"date-parts":[["2018"]]}},"label":"page","suppress-author":true}],"schema":"https://github.com/citation-style-language/schema/raw/master/csl-citation.json"} </w:instrText>
      </w:r>
      <w:r w:rsidR="00142476">
        <w:fldChar w:fldCharType="separate"/>
      </w:r>
      <w:r w:rsidR="00142476">
        <w:rPr>
          <w:noProof/>
        </w:rPr>
        <w:t>(2018)</w:t>
      </w:r>
      <w:r w:rsidR="00142476">
        <w:fldChar w:fldCharType="end"/>
      </w:r>
      <w:r w:rsidR="00142476">
        <w:t xml:space="preserve"> points out, </w:t>
      </w:r>
      <w:r w:rsidR="006D6967">
        <w:t>ride-sharing</w:t>
      </w:r>
      <w:r w:rsidR="00142476">
        <w:t xml:space="preserve"> </w:t>
      </w:r>
      <w:r w:rsidR="006D6967">
        <w:t>is</w:t>
      </w:r>
      <w:r w:rsidR="00142476">
        <w:t xml:space="preserve"> still not a sustainable alternative for low-income workers without access to a personal vehicle</w:t>
      </w:r>
      <w:r w:rsidR="006B32A7">
        <w:t xml:space="preserve"> due to its variant and high cost</w:t>
      </w:r>
      <w:r w:rsidR="00142476">
        <w:t>.</w:t>
      </w:r>
      <w:r w:rsidR="001A7F54">
        <w:t xml:space="preserve"> Furthermore, Watkins </w:t>
      </w:r>
      <w:r w:rsidR="001A7F54">
        <w:fldChar w:fldCharType="begin"/>
      </w:r>
      <w:r w:rsidR="001A7F54">
        <w:instrText xml:space="preserve"> ADDIN ZOTERO_ITEM CSL_CITATION {"citationID":"rcd8lSPW","properties":{"formattedCitation":"(2018, p. 54)","plainCitation":"(2018, p. 54)","noteIndex":0},"citationItems":[{"id":2359,"uris":["http://zotero.org/users/5602238/items/5ZTTMX7W"],"itemData":{"id":2359,"type":"article-journal","container-title":"Journal of Public Transportation","issue":"1","page":"53-59","title":"Does the Future of Mobility Depend on Public Transportation?","volume":"21","author":[{"family":"Watkins","given":"Kari"}],"issued":{"date-parts":[["2018"]]}},"locator":"54","label":"page","suppress-author":true}],"schema":"https://github.com/citation-style-language/schema/raw/master/csl-citation.json"} </w:instrText>
      </w:r>
      <w:r w:rsidR="001A7F54">
        <w:fldChar w:fldCharType="separate"/>
      </w:r>
      <w:r w:rsidR="001A7F54">
        <w:rPr>
          <w:noProof/>
        </w:rPr>
        <w:t>(2018, p. 54)</w:t>
      </w:r>
      <w:r w:rsidR="001A7F54">
        <w:fldChar w:fldCharType="end"/>
      </w:r>
      <w:r w:rsidR="001A7F54">
        <w:t xml:space="preserve"> </w:t>
      </w:r>
      <w:r w:rsidR="006D6967">
        <w:t>contends</w:t>
      </w:r>
      <w:r w:rsidR="001A7F54">
        <w:t xml:space="preserve"> that “t</w:t>
      </w:r>
      <w:r w:rsidR="001A7F54" w:rsidRPr="001A7F54">
        <w:t>he spatial, environmental, safety, and equity impacts of a transportation system designed around the single-occupant-vehicle mode are not efficient or sustainable</w:t>
      </w:r>
      <w:r w:rsidR="001A7F54">
        <w:t>.” Thus, subsidized mass-transit alternatives are still and will remain essential.</w:t>
      </w:r>
    </w:p>
    <w:p w14:paraId="20FCEA9C" w14:textId="02C39F4F" w:rsidR="00437AA0" w:rsidRDefault="00C05147" w:rsidP="006429A7">
      <w:r>
        <w:t xml:space="preserve">In line with this view, recent studies in public transportation seek solutions to increase mass-transit ridership and reduce operational costs </w:t>
      </w:r>
      <w:r>
        <w:fldChar w:fldCharType="begin"/>
      </w:r>
      <w:r>
        <w:instrText xml:space="preserve"> ADDIN ZOTERO_ITEM CSL_CITATION {"citationID":"wJN884EM","properties":{"formattedCitation":"(Nnene et al., 2023)","plainCitation":"(Nnene et al., 2023)","noteIndex":0},"citationItems":[{"id":2360,"uris":["http://zotero.org/users/5602238/items/7KKSXW5C"],"itemData":{"id":2360,"type":"article-journal","abstract":"Car dependency in Cape Town, South Africa, like in many modern cities is high but comes at a high cost. One of these is significant network congestion, especially during peak commuting periods. A strategy adopted by the City’s transport development authority to alleviate this situation is the phased development of an integrated public transport network. A bus rapid transit service known as the MyCiTi BRT is proposed to be the backbone of the integrated network. However, an investigation of the existing service reveals a pattern of low ridership and high operating costs which is not economically sustainability. The main objective of this work is therefore to propose solutions to improve the existing service particularly in terms of increasing ridership and reducing operational cost. To achieve this, a network design approach known as simulation-based optimisation that combines simulation with optimisation algorithms is proposed. The results are compared with the baseline MyCiTi network. The outcome shows that the proposed methods are capable of improving the MyCiTi network and thereby its service.","container-title":"Journal of Public Transportation","DOI":"10.1016/j.jpubtr.2023.100042","ISSN":"1077-291X","journalAbbreviation":"Journal of Public Transportation","source":"ScienceDirect","title":"BRT network design for transit cost reduction in Cape Town, South Africa","URL":"https://www.sciencedirect.com/science/article/pii/S1077291X23000036","volume":"25","author":[{"family":"Nnene","given":"Obiora A."},{"family":"Zuidgeest","given":"Mark H. P."},{"family":"Joubert","given":"Johan W."}],"accessed":{"date-parts":[["2023",10,31]]},"issued":{"date-parts":[["2023"]]}}}],"schema":"https://github.com/citation-style-language/schema/raw/master/csl-citation.json"} </w:instrText>
      </w:r>
      <w:r>
        <w:fldChar w:fldCharType="separate"/>
      </w:r>
      <w:r>
        <w:rPr>
          <w:noProof/>
        </w:rPr>
        <w:t>(Nnene et al., 2023)</w:t>
      </w:r>
      <w:r>
        <w:fldChar w:fldCharType="end"/>
      </w:r>
      <w:r>
        <w:t xml:space="preserve">, collect relevant data on users’ behavior to improve the transportation system </w:t>
      </w:r>
      <w:r>
        <w:fldChar w:fldCharType="begin"/>
      </w:r>
      <w:r>
        <w:instrText xml:space="preserve"> ADDIN ZOTERO_ITEM CSL_CITATION {"citationID":"F797xQBr","properties":{"formattedCitation":"(Faroqi et al., 2023)","plainCitation":"(Faroqi et al., 2023)","noteIndex":0},"citationItems":[{"id":2363,"uris":["http://zotero.org/users/5602238/items/6N8HNT5D"],"itemData":{"id":2363,"type":"article-journal","abstract":"Planning public transport highly relies on the availability, quantity and quality of travel demand data of passengers. In the last two decades, smart card data has provided the opportunity to create comprehensive travel demand data as a byproduct of a fare-collecting system. One important attribute for the planning is the purpose of the trips, which is missing from the smart card data. This research study proposes and formulates a novel method to infer trip purpose in smart card data. Previous methods either lack the concept of trip chains or did not consider both spatial and temporal perspectives of a trip. Firstly, this method discovers relations between the sequence and temporal attributes of trips with their trip purpose attribute by running a clustering method on a rich travel survey dataset (This study only uses public transit records.) that contains all attributes. Secondly, the discovered clusters are labelled and transferred to the smart card data by calculating the closeness of the trip chain of each individual in the smart card data to the clusters. Thirdly, the proportion of relevant land use types near the destination of each trip is utilized to enhance the previously calculated closeness. The proposed method is implemented on datasets from South East Queensland, Australia. Also, two recently published methods were replicated and run on the same datasets to evaluate the proposed method. The results show improvements in the proposed method compared to the existing methods of the literature.","container-title":"Journal of Public Transportation","DOI":"10.1016/j.jpubtr.2023.100072","ISSN":"1077-291X","journalAbbreviation":"Journal of Public Transportation","page":"100072","source":"ScienceDirect","title":"Enriching smart card data with the trip purpose attribute","volume":"25","author":[{"family":"Faroqi","given":"Hamed"},{"family":"Saadatmand","given":"Alireza"},{"family":"Mesbah","given":"Mahmoud"},{"family":"Khodaii","given":"Ali"}],"issued":{"date-parts":[["2023",1,1]]}}}],"schema":"https://github.com/citation-style-language/schema/raw/master/csl-citation.json"} </w:instrText>
      </w:r>
      <w:r>
        <w:fldChar w:fldCharType="separate"/>
      </w:r>
      <w:r>
        <w:rPr>
          <w:noProof/>
        </w:rPr>
        <w:t>(Faroqi et al., 2023)</w:t>
      </w:r>
      <w:r>
        <w:fldChar w:fldCharType="end"/>
      </w:r>
      <w:r>
        <w:t xml:space="preserve">, and improve access to disadvantaged populations </w:t>
      </w:r>
      <w:r>
        <w:fldChar w:fldCharType="begin"/>
      </w:r>
      <w:r>
        <w:instrText xml:space="preserve"> ADDIN ZOTERO_ITEM CSL_CITATION {"citationID":"1hb9fiBH","properties":{"formattedCitation":"(Yoo &amp; Lee, 2023)","plainCitation":"(Yoo &amp; Lee, 2023)","noteIndex":0},"citationItems":[{"id":2366,"uris":["http://zotero.org/users/5602238/items/8MF8ZBRS"],"itemData":{"id":2366,"type":"article-journal","abstract":"Traditional bus route design tools mainly aim to minimise a cost-based objective such as passenger travel times and/or operator costs. These approaches favour high-demand areas in distributing transit services and benefit densely populated areas. Public transport must provide viable transport services to socially disadvantaged people to allow them to undertake essential social and economic activities. This study uses a transit accessibility measure in the route design objective and demonstrates its impacts and implications through a case study in Penrith, an area in Sydney, Australia. The results reveal a limitation of using accessibility as the sole design objective. An equity measure called the transit service need index is incorporated in the objective to revise and redistribute bus services to improve accessibility in areas with more transport disadvantaged people. Reinforcement learning is used for bus route optimisation. The route design tool could be useful for transit planners and operators in route planning and evaluation. The study demonstrates some different approaches of route design objective formulations to meet increasingly diverse needs and expectations for public transport.","container-title":"Journal of Public Transportation","DOI":"10.1016/j.jpubtr.2023.100041","ISSN":"1077-291X","journalAbbreviation":"Journal of Public Transportation","page":"100041","source":"ScienceDirect","title":"Revising bus routes to improve access for the transport disadvantaged: A reinforcement learning approach","title-short":"Revising bus routes to improve access for the transport disadvantaged","volume":"25","author":[{"family":"Yoo","given":"Sunhyung"},{"family":"Lee","given":"Jinwoo"}],"issued":{"date-parts":[["2023",1,1]]}}}],"schema":"https://github.com/citation-style-language/schema/raw/master/csl-citation.json"} </w:instrText>
      </w:r>
      <w:r>
        <w:fldChar w:fldCharType="separate"/>
      </w:r>
      <w:r>
        <w:rPr>
          <w:noProof/>
        </w:rPr>
        <w:t>(Yoo &amp; Lee, 2023)</w:t>
      </w:r>
      <w:r>
        <w:fldChar w:fldCharType="end"/>
      </w:r>
      <w:r w:rsidR="006B32A7">
        <w:t>, among others</w:t>
      </w:r>
      <w:r>
        <w:t xml:space="preserve">. The latter example is especially relevant to our study since it demonstrates the multiple alternatives behind </w:t>
      </w:r>
      <w:r w:rsidR="006429A7">
        <w:t xml:space="preserve">the politics of </w:t>
      </w:r>
      <w:r>
        <w:t>public transportation reform. When private sector actors, bureaucrats, and elected officials revise bus routes, they consider a series of factors, for instance,</w:t>
      </w:r>
      <w:r w:rsidR="006B32A7">
        <w:t xml:space="preserve"> the</w:t>
      </w:r>
      <w:r>
        <w:t xml:space="preserve"> existing demand and population density. </w:t>
      </w:r>
      <w:proofErr w:type="spellStart"/>
      <w:r>
        <w:lastRenderedPageBreak/>
        <w:t>Yoo</w:t>
      </w:r>
      <w:proofErr w:type="spellEnd"/>
      <w:r>
        <w:t xml:space="preserve"> and Lee</w:t>
      </w:r>
      <w:r w:rsidR="006429A7">
        <w:t xml:space="preserve"> </w:t>
      </w:r>
      <w:r w:rsidR="006429A7">
        <w:fldChar w:fldCharType="begin"/>
      </w:r>
      <w:r w:rsidR="006429A7">
        <w:instrText xml:space="preserve"> ADDIN ZOTERO_ITEM CSL_CITATION {"citationID":"oi8KjYay","properties":{"formattedCitation":"(2023, p. 4)","plainCitation":"(2023, p. 4)","noteIndex":0},"citationItems":[{"id":2366,"uris":["http://zotero.org/users/5602238/items/8MF8ZBRS"],"itemData":{"id":2366,"type":"article-journal","abstract":"Traditional bus route design tools mainly aim to minimise a cost-based objective such as passenger travel times and/or operator costs. These approaches favour high-demand areas in distributing transit services and benefit densely populated areas. Public transport must provide viable transport services to socially disadvantaged people to allow them to undertake essential social and economic activities. This study uses a transit accessibility measure in the route design objective and demonstrates its impacts and implications through a case study in Penrith, an area in Sydney, Australia. The results reveal a limitation of using accessibility as the sole design objective. An equity measure called the transit service need index is incorporated in the objective to revise and redistribute bus services to improve accessibility in areas with more transport disadvantaged people. Reinforcement learning is used for bus route optimisation. The route design tool could be useful for transit planners and operators in route planning and evaluation. The study demonstrates some different approaches of route design objective formulations to meet increasingly diverse needs and expectations for public transport.","container-title":"Journal of Public Transportation","DOI":"10.1016/j.jpubtr.2023.100041","ISSN":"1077-291X","journalAbbreviation":"Journal of Public Transportation","page":"100041","source":"ScienceDirect","title":"Revising bus routes to improve access for the transport disadvantaged: A reinforcement learning approach","title-short":"Revising bus routes to improve access for the transport disadvantaged","volume":"25","author":[{"family":"Yoo","given":"Sunhyung"},{"family":"Lee","given":"Jinwoo"}],"issued":{"date-parts":[["2023",1,1]]}},"locator":"4","label":"page","suppress-author":true}],"schema":"https://github.com/citation-style-language/schema/raw/master/csl-citation.json"} </w:instrText>
      </w:r>
      <w:r w:rsidR="006429A7">
        <w:fldChar w:fldCharType="separate"/>
      </w:r>
      <w:r w:rsidR="006429A7">
        <w:rPr>
          <w:noProof/>
        </w:rPr>
        <w:t>(2023, p. 4)</w:t>
      </w:r>
      <w:r w:rsidR="006429A7">
        <w:fldChar w:fldCharType="end"/>
      </w:r>
      <w:r w:rsidR="006429A7">
        <w:t xml:space="preserve"> focus </w:t>
      </w:r>
      <w:r w:rsidR="00D41876">
        <w:t>on</w:t>
      </w:r>
      <w:r w:rsidR="006429A7">
        <w:t xml:space="preserve"> Sidney (Australia) to</w:t>
      </w:r>
      <w:r>
        <w:t xml:space="preserve"> propose a</w:t>
      </w:r>
      <w:r w:rsidR="006429A7">
        <w:t>n additional factor: the</w:t>
      </w:r>
      <w:r>
        <w:t xml:space="preserve"> “transit service need index</w:t>
      </w:r>
      <w:r w:rsidR="006429A7">
        <w:t>.</w:t>
      </w:r>
      <w:r>
        <w:t xml:space="preserve">” </w:t>
      </w:r>
      <w:r w:rsidR="006429A7">
        <w:t>This social equity tool includes socio-demographic criteria to identify areas and routes most needed by underserved citizens. While their aim is still oriented toward efficient policymaking, the notion of efficiency accounts for the inequalities brought up by the</w:t>
      </w:r>
      <w:r w:rsidR="00F55C69">
        <w:t xml:space="preserve"> </w:t>
      </w:r>
      <w:r w:rsidR="006429A7">
        <w:t>urbanization process.</w:t>
      </w:r>
    </w:p>
    <w:p w14:paraId="40BB3346" w14:textId="25C354AB" w:rsidR="00EE700F" w:rsidRDefault="00EE700F" w:rsidP="0000204C">
      <w:r>
        <w:t xml:space="preserve">This literature indicates at least </w:t>
      </w:r>
      <w:r w:rsidR="002967FF">
        <w:t>two</w:t>
      </w:r>
      <w:r>
        <w:t xml:space="preserve"> challenges for policy reform in the public transportation sector. </w:t>
      </w:r>
      <w:r w:rsidR="006B32A7">
        <w:t>First, the contentious politics of public transportation. The distributive nature of mass-transit solutions will likely favor specific constituencies at the expense of others. Second</w:t>
      </w:r>
      <w:r>
        <w:t xml:space="preserve">, its technical aspects. The multiple technological solutions implemented or thought of around the world are not necessarily transferrable to different cities. As said before, while the French working class revolted due to increases in fuel tax, Londoners’ needs were better satisfied by mass-transit solutions. In fact, as </w:t>
      </w:r>
      <w:proofErr w:type="spellStart"/>
      <w:r>
        <w:t>Yoo</w:t>
      </w:r>
      <w:proofErr w:type="spellEnd"/>
      <w:r>
        <w:t xml:space="preserve"> and Lee</w:t>
      </w:r>
      <w:r w:rsidR="00B042D1">
        <w:t xml:space="preserve"> </w:t>
      </w:r>
      <w:r w:rsidR="00B042D1">
        <w:fldChar w:fldCharType="begin"/>
      </w:r>
      <w:r w:rsidR="00B042D1">
        <w:instrText xml:space="preserve"> ADDIN ZOTERO_ITEM CSL_CITATION {"citationID":"wXEyvG4R","properties":{"formattedCitation":"(2023)","plainCitation":"(2023)","noteIndex":0},"citationItems":[{"id":2366,"uris":["http://zotero.org/users/5602238/items/8MF8ZBRS"],"itemData":{"id":2366,"type":"article-journal","abstract":"Traditional bus route design tools mainly aim to minimise a cost-based objective such as passenger travel times and/or operator costs. These approaches favour high-demand areas in distributing transit services and benefit densely populated areas. Public transport must provide viable transport services to socially disadvantaged people to allow them to undertake essential social and economic activities. This study uses a transit accessibility measure in the route design objective and demonstrates its impacts and implications through a case study in Penrith, an area in Sydney, Australia. The results reveal a limitation of using accessibility as the sole design objective. An equity measure called the transit service need index is incorporated in the objective to revise and redistribute bus services to improve accessibility in areas with more transport disadvantaged people. Reinforcement learning is used for bus route optimisation. The route design tool could be useful for transit planners and operators in route planning and evaluation. The study demonstrates some different approaches of route design objective formulations to meet increasingly diverse needs and expectations for public transport.","container-title":"Journal of Public Transportation","DOI":"10.1016/j.jpubtr.2023.100041","ISSN":"1077-291X","journalAbbreviation":"Journal of Public Transportation","page":"100041","source":"ScienceDirect","title":"Revising bus routes to improve access for the transport disadvantaged: A reinforcement learning approach","title-short":"Revising bus routes to improve access for the transport disadvantaged","volume":"25","author":[{"family":"Yoo","given":"Sunhyung"},{"family":"Lee","given":"Jinwoo"}],"issued":{"date-parts":[["2023",1,1]]}},"label":"page","suppress-author":true}],"schema":"https://github.com/citation-style-language/schema/raw/master/csl-citation.json"} </w:instrText>
      </w:r>
      <w:r w:rsidR="00B042D1">
        <w:fldChar w:fldCharType="separate"/>
      </w:r>
      <w:r w:rsidR="00B042D1">
        <w:rPr>
          <w:noProof/>
        </w:rPr>
        <w:t>(2023)</w:t>
      </w:r>
      <w:r w:rsidR="00B042D1">
        <w:fldChar w:fldCharType="end"/>
      </w:r>
      <w:r>
        <w:t xml:space="preserve"> </w:t>
      </w:r>
      <w:r w:rsidR="009A0D08">
        <w:t>show</w:t>
      </w:r>
      <w:r>
        <w:t xml:space="preserve">, it is oftentimes hard to separate technical and political aspects, especially when equity considerations could be part of the efficiency calculus. </w:t>
      </w:r>
    </w:p>
    <w:p w14:paraId="10A53CEC" w14:textId="353AD247" w:rsidR="00EE700F" w:rsidRDefault="006B32A7" w:rsidP="0000204C">
      <w:r>
        <w:t xml:space="preserve">The policy salience and the multiple technical possibilities lead politicians to engage in policy experimentation. Elected officials may use innovative ideas to improve transportation conditions for specific constituencies in exchange for political support. Some populations, however, may face substantive obstacles in periods of experimentation. Policy changes impose information costs (e.g., </w:t>
      </w:r>
      <w:r w:rsidR="00D41876">
        <w:t>learning</w:t>
      </w:r>
      <w:r>
        <w:t xml:space="preserve"> about new bus routes and payment methods), new habits (e.g., choosing different routes for car drivers), and budgetary constraints (e.g., additional public funds directed to subsidized contracts).</w:t>
      </w:r>
    </w:p>
    <w:p w14:paraId="6790D1C2" w14:textId="05F8775F" w:rsidR="000B330C" w:rsidRPr="000B0A93" w:rsidRDefault="00E87841" w:rsidP="000B330C">
      <w:r w:rsidRPr="00E87841">
        <w:t>Hong, Kim, and Kwon</w:t>
      </w:r>
      <w:r>
        <w:t xml:space="preserve"> </w:t>
      </w:r>
      <w:r>
        <w:fldChar w:fldCharType="begin"/>
      </w:r>
      <w:r>
        <w:instrText xml:space="preserve"> ADDIN ZOTERO_ITEM CSL_CITATION {"citationID":"WzRnYVwf","properties":{"formattedCitation":"(2022, p. 2)","plainCitation":"(2022, p. 2)","noteIndex":0},"citationItems":[{"id":2342,"uris":["http://zotero.org/users/5602238/items/XINVR8P8"],"itemData":{"id":2342,"type":"article-journal","abstract":"This study explores the determinants of digital innovation in the public sector. Focusing specifically on new digital technologies, such as big data, artificial intelligence, Internet of things, and augmented reality, we explained the wide variation in how Korean local governments used these technologies to transform their services. We found support for four theoretical mechanisms. First, our findings support the existence of demand-pull innovation in the public sector: public organizations respond to citizen demands or needs for innovation. Second, we also find support for an electoral incentive hypothesis, which posits that local governments' motivation for digital innovation is influenced by local politicians' electoral incentives. Third, our results show the existence of isomorphic pressure as a driver for public sector innovation: public organizations emulate their neighbors in adopting innovative practices. Fourth, the results support the upper echelons theory, as younger policymakers are more active innovators.","container-title":"Government Information Quarterly","DOI":"10.1016/j.giq.2022.101723","ISSN":"0740-624X","issue":"4","journalAbbreviation":"Government Information Quarterly","page":"101723","source":"ScienceDirect","title":"Determinants of digital innovation in the public sector","volume":"39","author":[{"family":"Hong","given":"Sounman"},{"family":"Kim","given":"Sun Hyoung"},{"family":"Kwon","given":"Myungjung"}],"issued":{"date-parts":[["2022",10,1]]}},"locator":"2","label":"page","suppress-author":true}],"schema":"https://github.com/citation-style-language/schema/raw/master/csl-citation.json"} </w:instrText>
      </w:r>
      <w:r>
        <w:fldChar w:fldCharType="separate"/>
      </w:r>
      <w:r>
        <w:rPr>
          <w:noProof/>
        </w:rPr>
        <w:t>(2022, p. 2)</w:t>
      </w:r>
      <w:r>
        <w:fldChar w:fldCharType="end"/>
      </w:r>
      <w:r w:rsidRPr="00E87841">
        <w:t xml:space="preserve"> </w:t>
      </w:r>
      <w:r w:rsidR="009A0D08">
        <w:t>establish</w:t>
      </w:r>
      <w:r w:rsidR="000B0A93">
        <w:t xml:space="preserve"> that elected officials </w:t>
      </w:r>
      <w:r w:rsidR="000854D9">
        <w:t>will engage in experimentation when there is enough demand for change among citizens (driving both positive change and electoral gains), isomorphic pressures from successful examples elsewhere, and connection between the politician’s characteristics and the policy at hand.</w:t>
      </w:r>
      <w:r w:rsidR="000B0A93">
        <w:t xml:space="preserve"> </w:t>
      </w:r>
      <w:r w:rsidR="000854D9">
        <w:t xml:space="preserve">Policy innovation, therefore, must be desirable from a technical standpoint, as well as visible to potential voters who will reward the incumbent official </w:t>
      </w:r>
      <w:r w:rsidR="000854D9">
        <w:fldChar w:fldCharType="begin"/>
      </w:r>
      <w:r w:rsidR="000854D9">
        <w:instrText xml:space="preserve"> ADDIN ZOTERO_ITEM CSL_CITATION {"citationID":"LlKyxeew","properties":{"formattedCitation":"(Mullin &amp; Hansen, 2023)","plainCitation":"(Mullin &amp; Hansen, 2023)","noteIndex":0},"citationItems":[{"id":2345,"uris":["http://zotero.org/users/5602238/items/UAKGISDH"],"itemData":{"id":2345,"type":"article-journal","container-title":"American Political Science Review","issue":"3","page":"1145-1150","title":"Local News and the Electoral Incentive to Invest in Infrastructure","volume":"117","author":[{"family":"Mullin","given":"Megan"},{"family":"Hansen","given":"Katy"}],"issued":{"date-parts":[["2023"]]}}}],"schema":"https://github.com/citation-style-language/schema/raw/master/csl-citation.json"} </w:instrText>
      </w:r>
      <w:r w:rsidR="000854D9">
        <w:fldChar w:fldCharType="separate"/>
      </w:r>
      <w:r w:rsidR="000854D9">
        <w:rPr>
          <w:noProof/>
        </w:rPr>
        <w:t>(Mullin &amp; Hansen, 2023)</w:t>
      </w:r>
      <w:r w:rsidR="000854D9">
        <w:fldChar w:fldCharType="end"/>
      </w:r>
      <w:r w:rsidR="000854D9">
        <w:t>.</w:t>
      </w:r>
      <w:r w:rsidR="000B0A93">
        <w:t xml:space="preserve"> Following this argument, we develop our theoretical framework proposing that innovative distributive transportation policy will generate electoral rewards </w:t>
      </w:r>
      <w:r w:rsidR="00D41876">
        <w:t>for</w:t>
      </w:r>
      <w:r w:rsidR="000B0A93">
        <w:t xml:space="preserve"> incumbent politicians.</w:t>
      </w:r>
    </w:p>
    <w:p w14:paraId="60115F6B" w14:textId="49003CB2" w:rsidR="000B330C" w:rsidRDefault="0034052C" w:rsidP="000B330C">
      <w:pPr>
        <w:pStyle w:val="Heading1"/>
      </w:pPr>
      <w:r>
        <w:lastRenderedPageBreak/>
        <w:t>Policy Impact and Electoral Choice</w:t>
      </w:r>
    </w:p>
    <w:p w14:paraId="727E0E4C" w14:textId="5CCD78ED" w:rsidR="00482830" w:rsidRDefault="00786C93" w:rsidP="00482830">
      <w:r>
        <w:t>Elections</w:t>
      </w:r>
      <w:r w:rsidR="00482830">
        <w:t xml:space="preserve"> </w:t>
      </w:r>
      <w:r w:rsidR="00EC6265">
        <w:t>and</w:t>
      </w:r>
      <w:r w:rsidR="00482830">
        <w:t xml:space="preserve"> policy</w:t>
      </w:r>
      <w:r w:rsidR="00EC6265">
        <w:t>making are intrinsically connected.</w:t>
      </w:r>
      <w:r w:rsidR="00482830">
        <w:t xml:space="preserve"> Prior research shows that elections serve as a necessary thermometer supporting or opposing reformist agendas </w:t>
      </w:r>
      <w:r w:rsidR="00482830">
        <w:fldChar w:fldCharType="begin"/>
      </w:r>
      <w:r w:rsidR="000447EF">
        <w:instrText xml:space="preserve"> ADDIN ZOTERO_ITEM CSL_CITATION {"citationID":"PEo6xYvF","properties":{"formattedCitation":"(Flom, 2023)","plainCitation":"(Flom, 2023)","noteIndex":0},"citationItems":[{"id":2329,"uris":["http://zotero.org/users/5602238/items/LH6I5ZUS"],"itemData":{"id":2329,"type":"article-journal","abstract":"Police accountability has long been deemed an essential component of democratizing reform. Reformist administrations in Latin America and other developing regions have consequently created oversight agencies to monitor police misconduct. However, the literature has not yet explored how these institutions operate and the politics that undergird them. This paper examines how police accountability institutions work in developing democracies. I focus on the police of the province of Buenos Aires, Argentina, using an untapped database of more than 6400 expelled police officers. I find that the extent to which reformist ministers expel police officers and thus exercise greater control of the police peaks during their first year in office. Contrarily, it is not bolstered by mid-term electoral victories or factors such as scandals or violent crimes. The paper extends our knowledge of the politics of police accountability in developing democracies, outlining the incentives and obstacles for politicians to control the police.","container-title":"Governance","DOI":"10.1111/gove.12779","ISSN":"1468-0491","language":"en","license":"© 2023 Wiley Periodicals LLC.","note":"_eprint: https://onlinelibrary.wiley.com/doi/pdf/10.1111/gove.12779","source":"Wiley Online Library","title":"The politics of police accountability: Police expulsions in Buenos Aires, Argentina","title-short":"The politics of police accountability","URL":"https://onlinelibrary.wiley.com/doi/abs/10.1111/gove.12779","author":[{"family":"Flom","given":"Hernán"}],"accessed":{"date-parts":[["2023",10,30]]},"issued":{"date-parts":[["2023"]]}}}],"schema":"https://github.com/citation-style-language/schema/raw/master/csl-citation.json"} </w:instrText>
      </w:r>
      <w:r w:rsidR="00482830">
        <w:fldChar w:fldCharType="separate"/>
      </w:r>
      <w:r w:rsidR="00482830">
        <w:rPr>
          <w:noProof/>
        </w:rPr>
        <w:t>(Flom, 2023)</w:t>
      </w:r>
      <w:r w:rsidR="00482830">
        <w:fldChar w:fldCharType="end"/>
      </w:r>
      <w:r w:rsidR="00482830">
        <w:t xml:space="preserve">, they motivate elected officials to direct public and private investments to specific regions </w:t>
      </w:r>
      <w:r w:rsidR="00482830">
        <w:fldChar w:fldCharType="begin"/>
      </w:r>
      <w:r w:rsidR="000447EF">
        <w:instrText xml:space="preserve"> ADDIN ZOTERO_ITEM CSL_CITATION {"citationID":"9pL5mFad","properties":{"formattedCitation":"(Albertus, 2013; Woodhouse, 2023)","plainCitation":"(Albertus, 2013; Woodhouse, 2023)","noteIndex":0},"citationItems":[{"id":2337,"uris":["http://zotero.org/users/5602238/items/36PBUPVP"],"itemData":{"id":2337,"type":"article-journal","abstract":"Within the rich literature on distributive politics, models of vote buying treat the distributive logic of different particularistic incentives as theoretically similar. This article relaxes that assumption, focusing on how the nature of a good affects the political logic of its distribution, and then uses data from a new compilation of land transfers and rural investment projects from the 1958–1990 agrarian reform program in Venezuela to empirically test the resulting theoretical implications. By comparing the distribution of land and rural investment, the analysis demonstrates that a party may simultaneously target both swing and core groups of voters with particularistic goods, the choice being determined by the distributive good. Although land was primarily distributed in areas where political competition was highest, rural investment projects were targeted at parties’ core constituencies.","container-title":"Comparative Political Studies","DOI":"10.1177/0010414012463897","ISSN":"0010-4140","issue":"9","language":"en","note":"publisher: SAGE Publications Inc","page":"1082-1111","source":"SAGE Journals","title":"Vote Buying With Multiple Distributive Goods","volume":"46","author":[{"family":"Albertus","given":"Michael"}],"issued":{"date-parts":[["2013",9,1]]}}},{"id":2332,"uris":["http://zotero.org/users/5602238/items/TCUAEIRK"],"itemData":{"id":2332,"type":"article-journal","abstract":"Privately financed infrastructure agreements (PFIAs) are increasingly being used across the globe, bringing private money into the delivery of public goods. How does introducing private actors to such a process change how we think about distributive politics? I investigate this question using both quantitative and qualitative analyses, uncovering a relationship consistent with PFIAs being used as distributive goods and exploring how the credit-claim potential of PFIAs may affect their distributive use. My quantitative analyses (on 16 middle-income countries) present evidence suggestive of a relationship between electoral variables and the likelihood of a PFIA being present in a district. In districts aligned with the national ruling party, PFIAs are more likely to be concentrated in swing districts than core districts. I find that this relationship is more pronounced for PFIAs that are more directly attributable to the government. My qualitative press analysis provides insights into how politicians use various features of PFIAs to create credit-claiming opportunities.","container-title":"Governance","DOI":"10.1111/gove.12824","ISSN":"1468-0491","language":"en","license":"© 2023 The Authors. Governance published by Wiley Periodicals LLC.","note":"_eprint: https://onlinelibrary.wiley.com/doi/pdf/10.1111/gove.12824","source":"Wiley Online Library","title":"The distributive politics of privately financed infrastructure agreements","URL":"https://onlinelibrary.wiley.com/doi/abs/10.1111/gove.12824","author":[{"family":"Woodhouse","given":"Eleanor Florence"}],"accessed":{"date-parts":[["2023",10,30]]},"issued":{"date-parts":[["2023"]]}}}],"schema":"https://github.com/citation-style-language/schema/raw/master/csl-citation.json"} </w:instrText>
      </w:r>
      <w:r w:rsidR="00482830">
        <w:fldChar w:fldCharType="separate"/>
      </w:r>
      <w:r>
        <w:rPr>
          <w:noProof/>
        </w:rPr>
        <w:t>(Albertus, 2013; Woodhouse, 2023)</w:t>
      </w:r>
      <w:r w:rsidR="00482830">
        <w:fldChar w:fldCharType="end"/>
      </w:r>
      <w:r w:rsidR="0021096A">
        <w:t xml:space="preserve">, and affect politicians’ </w:t>
      </w:r>
      <w:r w:rsidR="00D41876">
        <w:t>decisions</w:t>
      </w:r>
      <w:r w:rsidR="0021096A">
        <w:t xml:space="preserve"> on whether to engage on policy experimentation </w:t>
      </w:r>
      <w:r w:rsidR="0021096A">
        <w:fldChar w:fldCharType="begin"/>
      </w:r>
      <w:r w:rsidR="00E87841">
        <w:instrText xml:space="preserve"> ADDIN ZOTERO_ITEM CSL_CITATION {"citationID":"YILA9gup","properties":{"formattedCitation":"(Bernecker et al., 2021; Rose-Ackerman, 1980)","plainCitation":"(Bernecker et al., 2021; Rose-Ackerman, 1980)","noteIndex":0},"citationItems":[{"id":2339,"uris":["http://zotero.org/users/5602238/items/LECDSCMN"],"itemData":{"id":2339,"type":"article-journal","abstract":"How do governors' reelection motives affect policy experimentation? We develop a theoretical model of this situation, and then test the predictions in data on US state-level welfare reforms from 1978 to 2007. This period marked the most dramatic shift in social policy since the New Deal. Our findings indicate that governors with strong electoral support are less likely to experiment than governors with little support. Yet, governors who cannot be reelected actually experiment more than governors striving for reelection. These findings are robust to controlling for ideology, preferences for redistribution, the state legislature, and cross-state learning.","container-title":"American Economic Journal: Economic Policy","DOI":"10.1257/pol.20190690","ISSN":"1945-7731","issue":"2","language":"en","page":"26-57","source":"www.aeaweb.org","title":"The Role of Electoral Incentives for Policy Innovation: Evidence from the US Welfare Reform","title-short":"The Role of Electoral Incentives for Policy Innovation","volume":"13","author":[{"family":"Bernecker","given":"Andreas"},{"family":"Boyer","given":"Pierre C."},{"family":"Gathmann","given":"Christina"}],"issued":{"date-parts":[["2021",5]]}}},{"id":2341,"uris":["http://zotero.org/users/5602238/items/UGL7EH9F"],"itemData":{"id":2341,"type":"article-journal","container-title":"The Journal of Legal Studies","DOI":"10.1086/467654","ISSN":"0047-2530","issue":"3","note":"publisher: The University of Chicago Press","page":"593-616","source":"journals.uchicago.edu (Atypon)","title":"Risk Taking and Reelection: Does Federalism Promote Innovation?","title-short":"Risk Taking and Reelection","volume":"9","author":[{"family":"Rose-Ackerman","given":"Susan"}],"issued":{"date-parts":[["1980",6]]}}}],"schema":"https://github.com/citation-style-language/schema/raw/master/csl-citation.json"} </w:instrText>
      </w:r>
      <w:r w:rsidR="0021096A">
        <w:fldChar w:fldCharType="separate"/>
      </w:r>
      <w:r w:rsidR="00E87841">
        <w:rPr>
          <w:noProof/>
        </w:rPr>
        <w:t>(Bernecker et al., 2021; Rose-Ackerman, 1980)</w:t>
      </w:r>
      <w:r w:rsidR="0021096A">
        <w:fldChar w:fldCharType="end"/>
      </w:r>
      <w:r w:rsidR="0021096A">
        <w:t>. These studies often posit that office-seeking politicians will design and implement policies that will maximize their chances of winning elections.</w:t>
      </w:r>
    </w:p>
    <w:p w14:paraId="1B33032E" w14:textId="0FD4F5DD" w:rsidR="003B41BB" w:rsidRDefault="00EC6265" w:rsidP="000B330C">
      <w:r>
        <w:t xml:space="preserve">There are different ways to understand how voters evaluate policies. </w:t>
      </w:r>
      <w:r w:rsidR="00BE4CD6">
        <w:t>Performance-based models posit that voters will reward politicians for successful policymakin</w:t>
      </w:r>
      <w:r w:rsidR="003B41BB">
        <w:t>g</w:t>
      </w:r>
      <w:r w:rsidR="00BE4CD6">
        <w:t xml:space="preserve">. </w:t>
      </w:r>
      <w:r w:rsidR="003B41BB">
        <w:t xml:space="preserve">Rewards </w:t>
      </w:r>
      <w:r w:rsidR="00DF25FF">
        <w:t xml:space="preserve">for successful policymaking </w:t>
      </w:r>
      <w:r w:rsidR="003B41BB">
        <w:t xml:space="preserve">range from improvements in citizen satisfaction and institutional evaluation </w:t>
      </w:r>
      <w:r w:rsidR="003B41BB">
        <w:fldChar w:fldCharType="begin"/>
      </w:r>
      <w:r w:rsidR="003B41BB">
        <w:instrText xml:space="preserve"> ADDIN ZOTERO_ITEM CSL_CITATION {"citationID":"WWlmbbnG","properties":{"formattedCitation":"(Charbonneau &amp; Van Ryzin, 2012; Favero &amp; Meier, 2013; Swindell &amp; Kelly, 2000; Van Ryzin et al., 2008)","plainCitation":"(Charbonneau &amp; Van Ryzin, 2012; Favero &amp; Meier, 2013; Swindell &amp; Kelly, 2000; Van Ryzin et al., 2008)","noteIndex":0},"citationItems":[{"id":2387,"uris":["http://zotero.org/users/5602238/items/U48V6ELG"],"itemData":{"id":2387,"type":"article-journal","abstract":"The public administration literature has consistently questioned the validity of satisfaction surveys as a measure of government performance, particularly in comparison with more objective official measures. The authors examine this objective-subjective debate using unique data from a large survey distributed to nearly 1 million parents of children in the New York City public schools along with officially reported measures of school performance for about 900 schools. Their results suggest that the official measures of school performance are significant and important predictors of aggregate parental satisfaction, even after controlling for school and student characteristics. They conclude that public school parents form their satisfaction judgment in ways that correspond fairly closely with officially measured school performance. The results can also be interpreted as suggesting that the official performance measures reflect, at least in part, aspects of public schooling that matter to parents.","container-title":"The American Review of Public Administration","DOI":"10.1177/0275074010397333","ISSN":"0275-0740","issue":"1","language":"en","note":"publisher: SAGE Publications Inc","page":"54-65","source":"SAGE Journals","title":"Performance Measures and Parental Satisfaction With New York City Schools","volume":"42","author":[{"family":"Charbonneau","given":"Étienne"},{"family":"Van Ryzin","given":"Gregg G."}],"issued":{"date-parts":[["2012",1,1]]}}},{"id":2389,"uris":["http://zotero.org/users/5602238/items/247R7Q5W"],"itemData":{"id":2389,"type":"article-journal","abstract":"Among the most contentious questions in public administration is how the performance of public organizations should be evaluated, and nowhere is this issue more salient than in urban public schools. While significant attention has been devoted to studying administrative measures of public organizations, the views of citizens concerning performance have been widely criticized and are not frequently gathered by schools. How these assessments relate to each other is central to many questions in education policy (e.g., choice, equity) and has important implications for democracy, bureaucratic professionalism, and public performance. This debate can be viewed as focusing on the distinction between convergent validity and discriminant validity. Using data from New York City's public school system with a cross-sectional time-series approach, parent and teacher evaluations are compared to government records of schools’ characteristics and performance. The findings suggest that parents and teachers are able to conduct intelligent, meaningful evaluations of school quality.","container-title":"Public Administration Review","DOI":"10.1111/puar.12022","ISSN":"1540-6210","issue":"3","language":"en","license":"© 2013 by The American Society for Public Administration","note":"_eprint: https://onlinelibrary.wiley.com/doi/pdf/10.1111/puar.12022","page":"401-412","source":"Wiley Online Library","title":"Evaluating Urban Public Schools: Parents, Teachers, and State Assessments","title-short":"Evaluating Urban Public Schools","volume":"73","author":[{"family":"Favero","given":"Nathan"},{"family":"Meier","given":"Kenneth J."}],"issued":{"date-parts":[["2013"]]}}},{"id":2392,"uris":["http://zotero.org/users/5602238/items/96PQ92SW"],"itemData":{"id":2392,"type":"article-journal","abstract":"Local governments often assess the quality of the services they provide and produce by using administrative performance monitoring and citizen satisfaction surveying. Researchers in public administration know a great deal about these tools individually but not jointly. Even more problematic, we do not understand where the tools may converge and diverge. In this article, citizen surveys and performance benchmarks are correlated in 13 local governments to identify these points of convergence and divergence. Although the sample is small and the conclusions preliminary, there is initial evidence that citizen satisfaction with service quality may, in fact, be related to service performance. Further research may identify services for which citizen evaluation may be used as an outcome indicator, in conjunction with the output and efficacy indicators common to performance monitoring systems.","container-title":"Public Performance &amp; Management Review","DOI":"10.2307/3381075","ISSN":"1530-9576","issue":"1","note":"publisher: Taylor &amp; Francis, Ltd.","page":"30-52","source":"JSTOR","title":"Linking Citizen Satisfaction Data to Performance Measures: A Preliminary Evaluation","title-short":"Linking Citizen Satisfaction Data to Performance Measures","volume":"24","author":[{"family":"Swindell","given":"David"},{"family":"Kelly","given":"Janet M."}],"issued":{"date-parts":[["2000"]]}}},{"id":2394,"uris":["http://zotero.org/users/5602238/items/MPSXCH72"],"itemData":{"id":2394,"type":"article-journal","abstract":"Public administrators at the local level often rely on citizen surveys to measure the outcomes or accomplishments of their service delivery efforts. However, many remain skeptical about the value of survey-based measures of local government performance, in large part because of the low empirical correlation between objective and subjective performance measures reported in the literature. Using data from New York City’s street cleanliness scorecard, a well-established outcome measure, combined with responses from more than 4,000 respondents to a citizen survey, the authors find a clear and consistent correlation between the scorecard and citizen ratings of street cleanliness in their neighborhoods. Moreover, the street cleanliness scorecard is a much stronger predictor of citizen ratings than demographic factors, trust in government, or contextual effects. These results demonstrate that citizen judgments about government performance can correspond closely with more objectively measured outcomes—and that citizen surveys can provide valid and useful performance measures, at least for some local government services.","container-title":"Public Administration Review","DOI":"10.1111/j.1540-6210.2007.00863.x","ISSN":"1540-6210","issue":"2","language":"en","license":"2008 The American Society for Public Administration","note":"_eprint: https://onlinelibrary.wiley.com/doi/pdf/10.1111/j.1540-6210.2007.00863.x","page":"295-303","source":"Wiley Online Library","title":"Measuring Street Cleanliness: A Comparison of New York City’s Scorecard and Results from a Citizen Survey","title-short":"Measuring Street Cleanliness","volume":"68","author":[{"family":"Van Ryzin","given":"Gregg G."},{"family":"Immerwahr","given":"Stephen"},{"family":"Altman","given":"Stan"}],"issued":{"date-parts":[["2008"]]}}}],"schema":"https://github.com/citation-style-language/schema/raw/master/csl-citation.json"} </w:instrText>
      </w:r>
      <w:r w:rsidR="003B41BB">
        <w:fldChar w:fldCharType="separate"/>
      </w:r>
      <w:r w:rsidR="003B41BB">
        <w:rPr>
          <w:noProof/>
        </w:rPr>
        <w:t>(Charbonneau &amp; Van Ryzin, 2012; Favero &amp; Meier, 2013; Swindell &amp; Kelly, 2000; Van Ryzin et al., 2008)</w:t>
      </w:r>
      <w:r w:rsidR="003B41BB">
        <w:fldChar w:fldCharType="end"/>
      </w:r>
      <w:r w:rsidR="003B41BB">
        <w:t xml:space="preserve"> to retrospective voting</w:t>
      </w:r>
      <w:r w:rsidR="00DF25FF">
        <w:t xml:space="preserve"> </w:t>
      </w:r>
      <w:r w:rsidR="00DF25FF">
        <w:fldChar w:fldCharType="begin"/>
      </w:r>
      <w:r w:rsidR="00FC1407">
        <w:instrText xml:space="preserve"> ADDIN ZOTERO_ITEM CSL_CITATION {"citationID":"kRBOoKin","properties":{"formattedCitation":"(Burnett &amp; Kogan, 2017; Fiorina, 1978; Healy &amp; Malhotra, 2013; Hopkins &amp; Pettingill, 2018; Kiewiet, 2000; Woon, 2012)","plainCitation":"(Burnett &amp; Kogan, 2017; Fiorina, 1978; Healy &amp; Malhotra, 2013; Hopkins &amp; Pettingill, 2018; Kiewiet, 2000; Woon, 2012)","noteIndex":0},"citationItems":[{"id":2421,"uris":["http://zotero.org/users/5602238/items/LSUR7MEF"],"itemData":{"id":2421,"type":"article-journal","abstract":"By conditioning their support for political incumbents on observed performance outcomes, voters can motivate elected officials to represent their interests faithfully while in office. Whether elections serve this function in subnational US government remains unclear, however, because much of the existing research on retrospective voting in these contexts focuses on outcomes that are not obviously salient to voters or over which the relevant government officials have limited influence. In this study, we examine one outcome—the quality of local roads—that is both salient and unquestionably under the control of city government. Our analysis leverages within-city variation in the number of pothole complaints in one of America’s largest cities and shows that such variation can explain neighborhood-level differences in support for incumbents in two political offices—mayor and city council—across several electoral cycles.","container-title":"The Journal of Politics","DOI":"10.1086/688736","ISSN":"0022-3816","issue":"1","note":"publisher: The University of Chicago Press","page":"302-314","source":"journals.uchicago.edu (Atypon)","title":"The Politics of Potholes: Service Quality and Retrospective Voting in Local Elections","title-short":"The Politics of Potholes","volume":"79","author":[{"family":"Burnett","given":"Craig M."},{"family":"Kogan","given":"Vladimir"}],"issued":{"date-parts":[["2017",1]]}}},{"id":2414,"uris":["http://zotero.org/users/5602238/items/83RUS5JI"],"itemData":{"id":2414,"type":"article-journal","abstract":"A number of recent studies examine the traditional hypothesis that the electoral fortunes of the incumbent president's party rise and fall in direct relation to fluctuations in the state of the national economy. Typically these studies employ a longitudinal design in which a party's aggregate congressional vote serves as the dependent variable, and various economic indicators serve as independent variables. On balance, the election returns appear to bear some relation to economic conditions, although various disagreements exist. Using data from the 1956 to 1974 SRC election studies this paper attempts to uncover an individual-level basis for the macro-relationship found by earlier studies. Specifically, do citizens vote for or against the incumbent president's party as a function of their personal economic condition? The survey data permit us to conclude that a citizen's personal economic condition affects his presidential vote. For congressional voting, however, the findings are positive until 1960 and negative thereafter. And contrary to some previous research, we find no systematic relationship between a citizen's personal economic condition and his decision to vote or abstain.","container-title":"American Journal of Political Science","DOI":"10.2307/2110623","ISSN":"0092-5853","issue":"2","note":"publisher: [Midwest Political Science Association, Wiley]","page":"426-443","source":"JSTOR","title":"Economic Retrospective Voting in American National Elections: A Micro-Analysis","title-short":"Economic Retrospective Voting in American National Elections","volume":"22","author":[{"family":"Fiorina","given":"Morris P."}],"issued":{"date-parts":[["1978"]]}}},{"id":2409,"uris":["http://zotero.org/users/5602238/items/ZCXY8YGB"],"itemData":{"id":2409,"type":"article-journal","abstract":"We review advances in the study of retrospective voting, or how citizens evaluate and act on their perceptions of government performance. As a whole, the recent literature provides a more complete and nuanced picture of the retrospective voter as sometimes, but not always, effectively incentivizing elected officials to enhance public welfare. Leveraging examples of retrospective voting in areas other than the economy, the field is heading toward a middle ground in which voters resemble decision makers in many other domains. In many cases, a coherent logic governs voters' choices. In other instances, voters make mistakes, often in predictable ways subject to well-known psychological biases. Understanding the circumstances under which retrospective voting achieves effective democratic accountability and when it fails to do so is an important task for subsequent research. We discuss two additional issues for future exploration: a better understanding of normative benchmarks, and increased attention to the relationship between retrospective voting behavior and policy outcomes.","container-title":"Annual Review of Political Science","DOI":"10.1146/annurev-polisci-032211-212920","issue":"1","note":"_eprint: https://doi.org/10.1146/annurev-polisci-032211-212920","page":"285-306","source":"Annual Reviews","title":"Retrospective Voting Reconsidered","volume":"16","author":[{"family":"Healy","given":"Andrew J."},{"family":"Malhotra","given":"Neil"}],"issued":{"date-parts":[["2013"]]}}},{"id":2419,"uris":["http://zotero.org/users/5602238/items/Y9P949M8"],"itemData":{"id":2419,"type":"article-journal","abstract":"Retrospective voting is a central explanation for voters’ support of incumbents. Yet, despite the variety of conditions facing American cities, past research has devoted little attention to retrospective voting for mayors. This paper first develops hypotheses about how local retrospective voting might differ from its national analog, due to both differing information sources and the presence of national benchmarks. It then analyzes retrospective voting using the largest data set on big-city mayoral elections between 1990 and 2011 to date. Neither crime rates nor property values consistently influence incumbent mayors’ vote shares, nor do changes in local conditions. However, low city-level unemployment relative to national unemployment correlates with higher incumbent support. The urban voter is a particular type of retrospective voter, one who compares local economic performance to conditions elsewhere. Moreover, these effects appear to be present only in cities that dominate their media markets, suggesting media outlets’ role in facilitating retrospective voting.","container-title":"Political Science Research and Methods","DOI":"10.1017/psrm.2016.54","ISSN":"2049-8470, 2049-8489","issue":"4","language":"en","note":"publisher: Cambridge University Press","page":"697-714","source":"Cambridge University Press","title":"Retrospective Voting in Big-City US Mayoral Elections","volume":"6","author":[{"family":"Hopkins","given":"Daniel J."},{"family":"Pettingill","given":"Lindsay M."}],"issued":{"date-parts":[["2018",10]]}}},{"id":2416,"uris":["http://zotero.org/users/5602238/items/HWQQZMJH"],"itemData":{"id":2416,"type":"article-journal","abstract":"This paper explores the possibility that the punishment–reward strategy known as economic retrospective voting provides incentives to pursue good economic policies. By “good” we mean policies that enhance efficieny and reduce economic rents. The key hypothesis is that in those countries whose electoral arrangements and governing institutions yield high clarity of responsibility, a resultant high level of retrospective voting should compel incumbent parties to be more vigorous in the pursuit of efficiency-enhancing policies, or at least less vigorous in creating rents. In countries where the clarity of responsibility is low, the more tenuous linkage between economic performance and electoral success should leave incumbent governments less motivated to promote efficiency and to eliminate rents. As hypothesized, countries low in clarity of responsibility appear to be more inclined to subject their economies to over-regulation and to engage in higher levels of transfers and subsidies. On several other policy dimensions, however, there were no discernable differences between high and low clarity of responsibility countries.","container-title":"Electoral Studies","DOI":"10.1016/S0261-3794(99)00060-8","ISSN":"0261-3794","issue":"2","journalAbbreviation":"Electoral Studies","page":"427-444","source":"ScienceDirect","title":"Economic retrospective voting and incentives for policymaking1An earlier version of this paper was delivered at the Conference on Economics and Elections: Comparisons and Conclusions, Sandbjerg, Denmark, 23–26 August 1998. I would like to thank Mike Alvarez, Frank Baumgartner, Sam Kernell, John Ledyard, Michael Lewis-Beck, Lynn Maurer, Donald Wittman, and especially Martin Paldam for their comments and criticisms.1","title-short":"Economic retrospective voting and incentives for policymaking1An earlier version of this paper was delivered at the Conference on Economics and Elections","volume":"19","author":[{"family":"Kiewiet","given":"D. Roderick"}],"issued":{"date-parts":[["2000",6,1]]}}},{"id":2411,"uris":["http://zotero.org/users/5602238/items/4CVPF7AU"],"itemData":{"id":2411,"type":"article-journal","abstract":"Understanding the incentives of politicians requires understanding the nature of voting behavior. I conduct a laboratory experiment to investigate whether voters focus on the problem of electoral selection or if they instead focus on electoral sanctioning. If voters are forward-looking but uncertain about politicians’ unobservable characteristics, then it is rational to focus on selection. But doing so undermines democratic accountability because selection renders sanctioning an empty threat. In contrast to rational choice predictions, the experimental results indicate a strong behavioral tendency to use a retrospective voting rule. Additional experiments support the interpretation that retrospective voting is a simple heuristic that voters use to cope with a cognitively difficult inference and decision problem and, in addition, suggest that voters have a preference for accountability. The results pose a challenge for theories of electoral selection and voter learning and suggest new interpretations of empirical studies of economic and retrospective voting.","container-title":"American Journal of Political Science","DOI":"10.1111/j.1540-5907.2012.00594.x","ISSN":"1540-5907","issue":"4","language":"en","license":"©2012, Midwest Political Science Association","note":"_eprint: https://onlinelibrary.wiley.com/doi/pdf/10.1111/j.1540-5907.2012.00594.x","page":"913-930","source":"Wiley Online Library","title":"Democratic Accountability and Retrospective Voting: A Laboratory Experiment","title-short":"Democratic Accountability and Retrospective Voting","volume":"56","author":[{"family":"Woon","given":"Jonathan"}],"issued":{"date-parts":[["2012"]]}}}],"schema":"https://github.com/citation-style-language/schema/raw/master/csl-citation.json"} </w:instrText>
      </w:r>
      <w:r w:rsidR="00DF25FF">
        <w:fldChar w:fldCharType="separate"/>
      </w:r>
      <w:r w:rsidR="00FC1407">
        <w:rPr>
          <w:noProof/>
        </w:rPr>
        <w:t>(Burnett &amp; Kogan, 2017; Fiorina, 1978; Healy &amp; Malhotra, 2013; Hopkins &amp; Pettingill, 2018; Kiewiet, 2000; Woon, 2012)</w:t>
      </w:r>
      <w:r w:rsidR="00DF25FF">
        <w:fldChar w:fldCharType="end"/>
      </w:r>
      <w:r w:rsidR="003B41BB">
        <w:t>.</w:t>
      </w:r>
      <w:r w:rsidR="00DF25FF">
        <w:t xml:space="preserve"> </w:t>
      </w:r>
      <w:r w:rsidR="00D41876">
        <w:t>Citizens'</w:t>
      </w:r>
      <w:r>
        <w:t xml:space="preserve"> satisfaction and retrospective voting are</w:t>
      </w:r>
      <w:r w:rsidR="00DF25FF">
        <w:t xml:space="preserve"> </w:t>
      </w:r>
      <w:r>
        <w:t>directly related</w:t>
      </w:r>
      <w:r w:rsidR="00DF25FF">
        <w:t xml:space="preserve">, as the latter represents the citizens’ </w:t>
      </w:r>
      <w:r w:rsidR="00D41876">
        <w:t>actions</w:t>
      </w:r>
      <w:r w:rsidR="00DF25FF">
        <w:t xml:space="preserve"> on their perception of government performance </w:t>
      </w:r>
      <w:r w:rsidR="00DF25FF">
        <w:fldChar w:fldCharType="begin"/>
      </w:r>
      <w:r w:rsidR="00FC1407">
        <w:instrText xml:space="preserve"> ADDIN ZOTERO_ITEM CSL_CITATION {"citationID":"yEwsZd6T","properties":{"formattedCitation":"(Healy &amp; Malhotra, 2013)","plainCitation":"(Healy &amp; Malhotra, 2013)","noteIndex":0},"citationItems":[{"id":2409,"uris":["http://zotero.org/users/5602238/items/ZCXY8YGB"],"itemData":{"id":2409,"type":"article-journal","abstract":"We review advances in the study of retrospective voting, or how citizens evaluate and act on their perceptions of government performance. As a whole, the recent literature provides a more complete and nuanced picture of the retrospective voter as sometimes, but not always, effectively incentivizing elected officials to enhance public welfare. Leveraging examples of retrospective voting in areas other than the economy, the field is heading toward a middle ground in which voters resemble decision makers in many other domains. In many cases, a coherent logic governs voters' choices. In other instances, voters make mistakes, often in predictable ways subject to well-known psychological biases. Understanding the circumstances under which retrospective voting achieves effective democratic accountability and when it fails to do so is an important task for subsequent research. We discuss two additional issues for future exploration: a better understanding of normative benchmarks, and increased attention to the relationship between retrospective voting behavior and policy outcomes.","container-title":"Annual Review of Political Science","DOI":"10.1146/annurev-polisci-032211-212920","issue":"1","note":"_eprint: https://doi.org/10.1146/annurev-polisci-032211-212920","page":"285-306","source":"Annual Reviews","title":"Retrospective Voting Reconsidered","volume":"16","author":[{"family":"Healy","given":"Andrew J."},{"family":"Malhotra","given":"Neil"}],"issued":{"date-parts":[["2013"]]}}}],"schema":"https://github.com/citation-style-language/schema/raw/master/csl-citation.json"} </w:instrText>
      </w:r>
      <w:r w:rsidR="00DF25FF">
        <w:fldChar w:fldCharType="separate"/>
      </w:r>
      <w:r w:rsidR="00FC1407">
        <w:rPr>
          <w:noProof/>
        </w:rPr>
        <w:t>(Healy &amp; Malhotra, 2013)</w:t>
      </w:r>
      <w:r w:rsidR="00DF25FF">
        <w:fldChar w:fldCharType="end"/>
      </w:r>
      <w:r w:rsidR="00DF25FF">
        <w:t>.</w:t>
      </w:r>
    </w:p>
    <w:p w14:paraId="2C8E5AF9" w14:textId="7F9D6421" w:rsidR="003F3586" w:rsidRDefault="003F3586" w:rsidP="000B330C">
      <w:r>
        <w:t xml:space="preserve">While many authors focused on economic policy, the relationship between performance and electoral outcomes is also true for other sectors </w:t>
      </w:r>
      <w:r>
        <w:fldChar w:fldCharType="begin"/>
      </w:r>
      <w:r w:rsidR="00FC1407">
        <w:instrText xml:space="preserve"> ADDIN ZOTERO_ITEM CSL_CITATION {"citationID":"rBYhM8hQ","properties":{"formattedCitation":"(Healy &amp; Malhotra, 2013)","plainCitation":"(Healy &amp; Malhotra, 2013)","noteIndex":0},"citationItems":[{"id":2409,"uris":["http://zotero.org/users/5602238/items/ZCXY8YGB"],"itemData":{"id":2409,"type":"article-journal","abstract":"We review advances in the study of retrospective voting, or how citizens evaluate and act on their perceptions of government performance. As a whole, the recent literature provides a more complete and nuanced picture of the retrospective voter as sometimes, but not always, effectively incentivizing elected officials to enhance public welfare. Leveraging examples of retrospective voting in areas other than the economy, the field is heading toward a middle ground in which voters resemble decision makers in many other domains. In many cases, a coherent logic governs voters' choices. In other instances, voters make mistakes, often in predictable ways subject to well-known psychological biases. Understanding the circumstances under which retrospective voting achieves effective democratic accountability and when it fails to do so is an important task for subsequent research. We discuss two additional issues for future exploration: a better understanding of normative benchmarks, and increased attention to the relationship between retrospective voting behavior and policy outcomes.","container-title":"Annual Review of Political Science","DOI":"10.1146/annurev-polisci-032211-212920","issue":"1","note":"_eprint: https://doi.org/10.1146/annurev-polisci-032211-212920","page":"285-306","source":"Annual Reviews","title":"Retrospective Voting Reconsidered","volume":"16","author":[{"family":"Healy","given":"Andrew J."},{"family":"Malhotra","given":"Neil"}],"issued":{"date-parts":[["2013"]]}}}],"schema":"https://github.com/citation-style-language/schema/raw/master/csl-citation.json"} </w:instrText>
      </w:r>
      <w:r>
        <w:fldChar w:fldCharType="separate"/>
      </w:r>
      <w:r w:rsidR="00FC1407">
        <w:rPr>
          <w:noProof/>
        </w:rPr>
        <w:t>(Healy &amp; Malhotra, 2013)</w:t>
      </w:r>
      <w:r>
        <w:fldChar w:fldCharType="end"/>
      </w:r>
      <w:r>
        <w:t xml:space="preserve">. For instance, Burnett and Kogan </w:t>
      </w:r>
      <w:r>
        <w:fldChar w:fldCharType="begin"/>
      </w:r>
      <w:r>
        <w:instrText xml:space="preserve"> ADDIN ZOTERO_ITEM CSL_CITATION {"citationID":"G4pxq3Gb","properties":{"formattedCitation":"(2017)","plainCitation":"(2017)","noteIndex":0},"citationItems":[{"id":2421,"uris":["http://zotero.org/users/5602238/items/LSUR7MEF"],"itemData":{"id":2421,"type":"article-journal","abstract":"By conditioning their support for political incumbents on observed performance outcomes, voters can motivate elected officials to represent their interests faithfully while in office. Whether elections serve this function in subnational US government remains unclear, however, because much of the existing research on retrospective voting in these contexts focuses on outcomes that are not obviously salient to voters or over which the relevant government officials have limited influence. In this study, we examine one outcome—the quality of local roads—that is both salient and unquestionably under the control of city government. Our analysis leverages within-city variation in the number of pothole complaints in one of America’s largest cities and shows that such variation can explain neighborhood-level differences in support for incumbents in two political offices—mayor and city council—across several electoral cycles.","container-title":"The Journal of Politics","DOI":"10.1086/688736","ISSN":"0022-3816","issue":"1","note":"publisher: The University of Chicago Press","page":"302-314","source":"journals.uchicago.edu (Atypon)","title":"The Politics of Potholes: Service Quality and Retrospective Voting in Local Elections","title-short":"The Politics of Potholes","volume":"79","author":[{"family":"Burnett","given":"Craig M."},{"family":"Kogan","given":"Vladimir"}],"issued":{"date-parts":[["2017",1]]}},"label":"page","suppress-author":true}],"schema":"https://github.com/citation-style-language/schema/raw/master/csl-citation.json"} </w:instrText>
      </w:r>
      <w:r>
        <w:fldChar w:fldCharType="separate"/>
      </w:r>
      <w:r>
        <w:rPr>
          <w:noProof/>
        </w:rPr>
        <w:t>(2017)</w:t>
      </w:r>
      <w:r>
        <w:fldChar w:fldCharType="end"/>
      </w:r>
      <w:r>
        <w:t xml:space="preserve"> find that voters reward mayors and city councilors in the United States based on the quality of local roads; Berry and Howell</w:t>
      </w:r>
      <w:r w:rsidR="00095ED0">
        <w:t xml:space="preserve"> </w:t>
      </w:r>
      <w:r w:rsidR="00095ED0">
        <w:fldChar w:fldCharType="begin"/>
      </w:r>
      <w:r w:rsidR="00095ED0">
        <w:instrText xml:space="preserve"> ADDIN ZOTERO_ITEM CSL_CITATION {"citationID":"5xWzkwvb","properties":{"formattedCitation":"(2007)","plainCitation":"(2007)","noteIndex":0},"citationItems":[{"id":890,"uris":["http://zotero.org/users/5602238/items/WPCQQPLL"],"itemData":{"id":890,"type":"article-journal","container-title":"Journal of Politics","issue":"3","page":"844-858","title":"Accountability and Local Elections: Rethinking Retrospective Voting","volume":"69","author":[{"family":"Berry","given":"Christopher R."},{"family":"Howell","given":"William G."}],"issued":{"date-parts":[["2007"]]}},"label":"page","suppress-author":true}],"schema":"https://github.com/citation-style-language/schema/raw/master/csl-citation.json"} </w:instrText>
      </w:r>
      <w:r w:rsidR="00095ED0">
        <w:fldChar w:fldCharType="separate"/>
      </w:r>
      <w:r w:rsidR="00095ED0">
        <w:rPr>
          <w:noProof/>
        </w:rPr>
        <w:t>(2007)</w:t>
      </w:r>
      <w:r w:rsidR="00095ED0">
        <w:fldChar w:fldCharType="end"/>
      </w:r>
      <w:r>
        <w:t xml:space="preserve"> investigate how test scores matter for the re-election of school board members; others study voters’ assessment of incumbents’ actions following natural disasters</w:t>
      </w:r>
      <w:r w:rsidR="00095ED0">
        <w:t xml:space="preserve"> </w:t>
      </w:r>
      <w:r w:rsidR="00095ED0">
        <w:fldChar w:fldCharType="begin"/>
      </w:r>
      <w:r w:rsidR="00FC1407">
        <w:instrText xml:space="preserve"> ADDIN ZOTERO_ITEM CSL_CITATION {"citationID":"QfhGMyM6","properties":{"formattedCitation":"(Bechtel &amp; Hainmueller, 2011; Gasper &amp; Reeves, 2011; Healy &amp; Malhotra, 2009)","plainCitation":"(Bechtel &amp; Hainmueller, 2011; Gasper &amp; Reeves, 2011; Healy &amp; Malhotra, 2009)","noteIndex":0},"citationItems":[{"id":2451,"uris":["http://zotero.org/users/5602238/items/ML8DEVEH"],"itemData":{"id":2451,"type":"article-journal","abstract":"Dominant theories of electoral behavior emphasize that voters myopically evaluate policy performance and that this shortsightedness may obstruct the welfare-improving effect of democratic accountability. However, we know little about how long governments receive electoral credit for beneficial policies. We exploit the massive policy response to a major natural disaster, the 2002 Elbe flooding in Germany, to provide an upper bound for the short- and long-term electoral returns to targeted policy benefits. We estimate that the flood response increased vote shares for the incumbent party by 7 percentage points in affected areas in the 2002 election. Twenty-five percent of this short-term reward carried over to the 2005 election before the gains vanished in the 2009 election. We conclude that, given favorable circumstances, policy makers can generate voter gratitude that persists longer than scholarship has acknowledged so far, and elaborate on the implications for theories of electoral behavior, democratic accountability, and public policy.","container-title":"American Journal of Political Science","DOI":"10.1111/j.1540-5907.2011.00533.x","ISSN":"1540-5907","issue":"4","language":"en","license":"©2011, Midwest Political Science Association","note":"_eprint: https://onlinelibrary.wiley.com/doi/pdf/10.1111/j.1540-5907.2011.00533.x","page":"852-868","source":"Wiley Online Library","title":"How Lasting Is Voter Gratitude? An Analysis of the Short- and Long-Term Electoral Returns to Beneficial Policy","title-short":"How Lasting Is Voter Gratitude?","volume":"55","author":[{"family":"Bechtel","given":"Michael M."},{"family":"Hainmueller","given":"Jens"}],"issued":{"date-parts":[["2011"]]}}},{"id":2446,"uris":["http://zotero.org/users/5602238/items/VGET27C5"],"itemData":{"id":2446,"type":"article-journal","abstract":"Are election outcomes driven by events beyond the control of politicians? Democratic accountability requires that voters make reasonable evaluations of incumbents. Although natural disasters are beyond human control, the response to these events is the responsibility of elected officials. In a county-level analysis of gubernatorial and presidential elections from 1970 to 2006, we examine the effects of weather events and governmental responses. We find that electorates punish presidents and governors for severe weather damage. However, we find that these effects are dwarfed by the response of attentive electorates to the actions of their officials. When the president rejects a request by the governor for federal assistance, the president is punished and the governor is rewarded at the polls. The electorate is able to separate random events from governmental responses and attribute actions based on the defined roles of these two politicians.","container-title":"American Journal of Political Science","DOI":"10.1111/j.1540-5907.2010.00503.x","ISSN":"1540-5907","issue":"2","language":"en","license":"©2011, Midwest Political Science Association","note":"_eprint: https://onlinelibrary.wiley.com/doi/pdf/10.1111/j.1540-5907.2010.00503.x","page":"340-355","source":"Wiley Online Library","title":"Make It Rain? Retrospection and the Attentive Electorate in the Context of Natural Disasters","title-short":"Make It Rain?","volume":"55","author":[{"family":"Gasper","given":"John T."},{"family":"Reeves","given":"Andrew"}],"issued":{"date-parts":[["2011"]]}}},{"id":2449,"uris":["http://zotero.org/users/5602238/items/BLA5AV32"],"itemData":{"id":2449,"type":"article-journal","abstract":"Do voters effectively hold elected officials accountable for policy decisions? Using data on natural disasters, government spending, and election returns, we show that voters reward the incumbent presidential party for delivering disaster relief spending, but not for investing in disaster preparedness spending. These inconsistencies distort the incentives of public officials, leading the government to underinvest in disaster preparedness, thereby causing substantial public welfare losses. We estimate that $1 spent on preparedness is worth about $15 in terms of the future damage it mitigates. By estimating both the determinants of policy decisions and the consequences of those policies, we provide more complete evidence about citizen competence and government accountability.","container-title":"American Political Science Review","DOI":"10.1017/S0003055409990104","ISSN":"1537-5943, 0003-0554","issue":"3","language":"en","note":"publisher: Cambridge University Press","page":"387-406","source":"Cambridge University Press","title":"Myopic Voters and Natural Disaster Policy","volume":"103","author":[{"family":"Healy","given":"Andrew J."},{"family":"Malhotra","given":"Neil"}],"issued":{"date-parts":[["2009",8]]}}}],"schema":"https://github.com/citation-style-language/schema/raw/master/csl-citation.json"} </w:instrText>
      </w:r>
      <w:r w:rsidR="00095ED0">
        <w:fldChar w:fldCharType="separate"/>
      </w:r>
      <w:r w:rsidR="00FC1407">
        <w:rPr>
          <w:noProof/>
        </w:rPr>
        <w:t>(Bechtel &amp; Hainmueller, 2011; Gasper &amp; Reeves, 2011; Healy &amp; Malhotra, 2009)</w:t>
      </w:r>
      <w:r w:rsidR="00095ED0">
        <w:fldChar w:fldCharType="end"/>
      </w:r>
      <w:r>
        <w:t>; and how policy decisions made during wars influence popular perceptions and voting decisions</w:t>
      </w:r>
      <w:r w:rsidR="00095ED0">
        <w:t xml:space="preserve"> </w:t>
      </w:r>
      <w:r w:rsidR="00095ED0">
        <w:fldChar w:fldCharType="begin"/>
      </w:r>
      <w:r w:rsidR="00095ED0">
        <w:instrText xml:space="preserve"> ADDIN ZOTERO_ITEM CSL_CITATION {"citationID":"fwz4DbIT","properties":{"formattedCitation":"(Grose &amp; Oppenheimer, 2007; Karol &amp; Miguel, 2007; Kriner &amp; Shen, 2007)","plainCitation":"(Grose &amp; Oppenheimer, 2007; Karol &amp; Miguel, 2007; Kriner &amp; Shen, 2007)","noteIndex":0},"citationItems":[{"id":2458,"uris":["http://zotero.org/users/5602238/items/LQ3J3CW6"],"itemData":{"id":2458,"type":"article-journal","abstract":"Although partisan swing is often assumed to be uniform across congressional districts, our analysis of the 2006 House elections demonstrates that systematic variation exists. In addition to incumbency status, partisanship, spending, and scandal, variation in the local salience of national issues across districts affects vote shifts in these districts. Notably, partisan swing in Republican districts proved highly sensitive to the number of Iraq war deaths from that district and, to a lesser degree, to the roll-call vote of Republican House members on the war resolution. These findings have implications for theories of anticipatory representation, retrospective voting, and electoral accountability.","container-title":"Legislative Studies Quarterly","DOI":"10.3162/036298007782398495","ISSN":"1939-9162","issue":"4","language":"en","license":"2007 Comparative Legislative Research Center at the University of Iowa","note":"_eprint: https://onlinelibrary.wiley.com/doi/pdf/10.3162/036298007782398495","page":"531-557","source":"Wiley Online Library","title":"The Iraq War, Partisanship, and Candidate Attributes: Variation in Partisan Swing in the 2006 U.S. House Elections","title-short":"The Iraq War, Partisanship, and Candidate Attributes","volume":"32","author":[{"family":"Grose","given":"Christian R."},{"family":"Oppenheimer","given":"Bruce I."}],"issued":{"date-parts":[["2007"]]}}},{"id":2455,"uris":["http://zotero.org/users/5602238/items/BCN7XGFR"],"itemData":{"id":2455,"type":"article-journal","abstract":"Many contend that President Bush's reelection and increased vote share in 2004 prove that the Iraq War was either electorally irrelevant or aided him. We present contrary evidence. Focusing on the change in Bush's 2004 showing compared to 2000, we discover that Iraq casualties from a state significantly depressed the President's vote share there. We infer that were it not for the approximately 10,000 U.S. dead and wounded by Election Day, Bush would have won nearly 2% more of the national popular vote, carrying several additional states and winning decisively. Such a result would have been close to forecasts based on models that did not include war impacts. Casualty effects are largest in “blue” states. In contrast, National Guard/Reservist call-ups had no impact beyond the main casualty effect. We discuss implications for both the election modeling enterprise and the debate over the “casualty sensitivity” of the U.S. public.","container-title":"The Journal of Politics","DOI":"10.1111/j.1468-2508.2007.00564.x","ISSN":"0022-3816","issue":"3","note":"publisher: The University of Chicago Press","page":"633-648","source":"journals.uchicago.edu (Atypon)","title":"The Electoral Cost of War: Iraq Casualties and the 2004 U.S. Presidential Election","title-short":"The Electoral Cost of War","volume":"69","author":[{"family":"Karol","given":"David"},{"family":"Miguel","given":"Edward"}],"issued":{"date-parts":[["2007",8]]}}},{"id":2456,"uris":["http://zotero.org/users/5602238/items/YAMPS2I4"],"itemData":{"id":2456,"type":"article-journal","abstract":"Prior scholarship on the effects of war casualties on U.S. elections has focused on large-scale conflicts. For this article, we examined whether or not the much-smaller casualty totals incurred in Iraq had a similar influence on the 2006 Senate contests. We found that the change in vote share from 2000 to 2006 for Republican Senate candidates at both the state and county level was significantly and negatively related to local casualty tallies and rates. These results provide compelling evidence for the existence of a democratic brake on military adventurism, even in small-scale wars, but one that is strongest in communities that have disproportionately shouldered a war's costs.","container-title":"Legislative Studies Quarterly","DOI":"10.3162/036298007782398486","ISSN":"1939-9162","issue":"4","language":"en","license":"2007 Comparative Legislative Research Center at the University of Iowa","note":"_eprint: https://onlinelibrary.wiley.com/doi/pdf/10.3162/036298007782398486","page":"507-530","source":"Wiley Online Library","title":"Iraq Casualties and the 2006 Senate Elections","volume":"32","author":[{"family":"Kriner","given":"Douglas L."},{"family":"Shen","given":"Francis X."}],"issued":{"date-parts":[["2007"]]}}}],"schema":"https://github.com/citation-style-language/schema/raw/master/csl-citation.json"} </w:instrText>
      </w:r>
      <w:r w:rsidR="00095ED0">
        <w:fldChar w:fldCharType="separate"/>
      </w:r>
      <w:r w:rsidR="00095ED0">
        <w:rPr>
          <w:noProof/>
        </w:rPr>
        <w:t>(Grose &amp; Oppenheimer, 2007; Karol &amp; Miguel, 2007; Kriner &amp; Shen, 2007)</w:t>
      </w:r>
      <w:r w:rsidR="00095ED0">
        <w:fldChar w:fldCharType="end"/>
      </w:r>
      <w:r>
        <w:t>.</w:t>
      </w:r>
      <w:r w:rsidR="00095ED0">
        <w:t xml:space="preserve"> In sum, this literature posits that when incumbents perform well, voters will reward them in the following election.</w:t>
      </w:r>
    </w:p>
    <w:p w14:paraId="20855BBA" w14:textId="0A294B54" w:rsidR="00D12DC1" w:rsidRDefault="00095ED0" w:rsidP="00095ED0">
      <w:r>
        <w:t xml:space="preserve">There are, however, some caveats when relating incumbent performance to electoral rewards. They include (1) biased perceptions, (2) lack of clarity of responsibility, and (3) blurred policy interests. Consider, first, the debate between </w:t>
      </w:r>
      <w:proofErr w:type="spellStart"/>
      <w:r>
        <w:t>sociotropic</w:t>
      </w:r>
      <w:proofErr w:type="spellEnd"/>
      <w:r>
        <w:t xml:space="preserve"> and pocketbook approaches to retrospective voting. </w:t>
      </w:r>
      <w:r w:rsidR="00D12DC1">
        <w:t xml:space="preserve">Some authors argue that voters consider the overall economic performance, </w:t>
      </w:r>
      <w:r w:rsidR="00D12DC1">
        <w:lastRenderedPageBreak/>
        <w:t xml:space="preserve">as measured, for instance, through economic indicators are GDP growth, unemployment rates, and inflation </w:t>
      </w:r>
      <w:r w:rsidR="00D12DC1">
        <w:fldChar w:fldCharType="begin"/>
      </w:r>
      <w:r w:rsidR="007100F8">
        <w:instrText xml:space="preserve"> ADDIN ZOTERO_ITEM CSL_CITATION {"citationID":"O9L5jDbm","properties":{"formattedCitation":"(Hansford &amp; Gomez, 2015; Hopkins &amp; Pettingill, 2018; Kramer, 1971)","plainCitation":"(Hansford &amp; Gomez, 2015; Hopkins &amp; Pettingill, 2018; Kramer, 1971)","noteIndex":0},"citationItems":[{"id":2432,"uris":["http://zotero.org/users/5602238/items/9MZIXMDI"],"itemData":{"id":2432,"type":"article-journal","abstract":"One of the canonical causal claims in political science links individuals' evaluations of the national economy with their votes. Yet there are reasons to expect that these economic perceptions are endogenous to vote choice, meaning that existing cross-sectional models cannot provide a valid test of the causal retrospective voting claim. Using an instrumental variables approach, we assess the effect of sociotropic evaluations on the decision to vote for the incumbent president or his party's candidate in eight recent U.S. presidential elections. In contrast with prior work, our results reveal that while there is a correlation between sociotropic evaluations and vote choice, individuals' subjective evaluations only exert a causal effect on votes when there is not an incumbent president on the ballot. These results suggest that, when incumbents are on the ballot, individuals' economic perceptions are particularly clouded by appraisals of the incumbent and thus do not operate as an exogenous influence on votes.","container-title":"Electoral Studies","DOI":"10.1016/j.electstud.2015.03.005","ISSN":"0261-3794","journalAbbreviation":"Electoral Studies","page":"15-25","source":"ScienceDirect","title":"Reevaluating the sociotropic economic voting hypothesis","volume":"39","author":[{"family":"Hansford","given":"Thomas G."},{"family":"Gomez","given":"Brad T."}],"issued":{"date-parts":[["2015",9,1]]}},"label":"page"},{"id":2419,"uris":["http://zotero.org/users/5602238/items/Y9P949M8"],"itemData":{"id":2419,"type":"article-journal","abstract":"Retrospective voting is a central explanation for voters’ support of incumbents. Yet, despite the variety of conditions facing American cities, past research has devoted little attention to retrospective voting for mayors. This paper first develops hypotheses about how local retrospective voting might differ from its national analog, due to both differing information sources and the presence of national benchmarks. It then analyzes retrospective voting using the largest data set on big-city mayoral elections between 1990 and 2011 to date. Neither crime rates nor property values consistently influence incumbent mayors’ vote shares, nor do changes in local conditions. However, low city-level unemployment relative to national unemployment correlates with higher incumbent support. The urban voter is a particular type of retrospective voter, one who compares local economic performance to conditions elsewhere. Moreover, these effects appear to be present only in cities that dominate their media markets, suggesting media outlets’ role in facilitating retrospective voting.","container-title":"Political Science Research and Methods","DOI":"10.1017/psrm.2016.54","ISSN":"2049-8470, 2049-8489","issue":"4","language":"en","note":"publisher: Cambridge University Press","page":"697-714","source":"Cambridge University Press","title":"Retrospective Voting in Big-City US Mayoral Elections","volume":"6","author":[{"family":"Hopkins","given":"Daniel J."},{"family":"Pettingill","given":"Lindsay M."}],"issued":{"date-parts":[["2018",10]]}}},{"id":2430,"uris":["http://zotero.org/users/5602238/items/E6PBDX74"],"itemData":{"id":2430,"type":"article-journal","abstract":"This paper develops several simple multivariate statistical models and applies them to explain fluctuations in the aggregate vote for the United States House of Representatives, over the period 1896-1964. The basic hypothesis underlying these models is that voters are rational in at least the limited sense that their decisions as to whether to vote for an incumbent administration depend on whether its performance has been “satisfactory” according to some simple standard. Because of data limitations, the analysis focuses on measures of economic performance, treating other aspects of an incumbent's performance, such as its handling of foreign affairs, as stochastic perturbations of the underlying relationship to be estimated. (Examination of residuals suggests this assumption is not unreasonable, at least during peacetime.) Possible effects of coattails from presidential races, of incumbency, and of secular trends in the underlying partisanship of the electorate are also taken into account. The models, estimated by maximum-likelihood methods, are found to be successful. Close to two-thirds of the variance in the vote series is accounted for, and the structural coefficients of the models are of the correct signs and of quite reasonable magnitudes. Economic growth, as measured by the changes in real per capita income, is the major economic variable; unemployment or inflation have little independent effect. Presidential coattails are also found to be of some importance.","container-title":"American Political Science Review","DOI":"10.2307/1955049","ISSN":"0003-0554, 1537-5943","issue":"1","language":"en","note":"publisher: Cambridge University Press","page":"131-143","source":"Cambridge University Press","title":"Short-Term Fluctuations in U.S. Voting Behavior, 1896–1964","volume":"65","author":[{"family":"Kramer","given":"Gerald H."}],"issued":{"date-parts":[["1971",3]]}}}],"schema":"https://github.com/citation-style-language/schema/raw/master/csl-citation.json"} </w:instrText>
      </w:r>
      <w:r w:rsidR="00D12DC1">
        <w:fldChar w:fldCharType="separate"/>
      </w:r>
      <w:r w:rsidR="007100F8">
        <w:rPr>
          <w:noProof/>
        </w:rPr>
        <w:t>(Hansford &amp; Gomez, 2015; Hopkins &amp; Pettingill, 2018; Kramer, 1971)</w:t>
      </w:r>
      <w:r w:rsidR="00D12DC1">
        <w:fldChar w:fldCharType="end"/>
      </w:r>
      <w:r w:rsidR="00D12DC1">
        <w:t xml:space="preserve">. Opposed to that </w:t>
      </w:r>
      <w:proofErr w:type="spellStart"/>
      <w:r w:rsidR="00D12DC1">
        <w:t>sociotropic</w:t>
      </w:r>
      <w:proofErr w:type="spellEnd"/>
      <w:r w:rsidR="00D12DC1">
        <w:t xml:space="preserve"> approach, </w:t>
      </w:r>
      <w:r w:rsidR="007100F8">
        <w:t xml:space="preserve">scholars propose </w:t>
      </w:r>
      <w:r w:rsidR="00D12DC1">
        <w:t>a pocketbook approach</w:t>
      </w:r>
      <w:r w:rsidR="007100F8">
        <w:t xml:space="preserve"> </w:t>
      </w:r>
      <w:r w:rsidR="007100F8">
        <w:fldChar w:fldCharType="begin"/>
      </w:r>
      <w:r w:rsidR="007100F8">
        <w:instrText xml:space="preserve"> ADDIN ZOTERO_ITEM CSL_CITATION {"citationID":"7xf6YzCp","properties":{"formattedCitation":"(Fiorina, 1978; Niskanen, 1975)","plainCitation":"(Fiorina, 1978; Niskanen, 1975)","noteIndex":0},"citationItems":[{"id":2414,"uris":["http://zotero.org/users/5602238/items/83RUS5JI"],"itemData":{"id":2414,"type":"article-journal","abstract":"A number of recent studies examine the traditional hypothesis that the electoral fortunes of the incumbent president's party rise and fall in direct relation to fluctuations in the state of the national economy. Typically these studies employ a longitudinal design in which a party's aggregate congressional vote serves as the dependent variable, and various economic indicators serve as independent variables. On balance, the election returns appear to bear some relation to economic conditions, although various disagreements exist. Using data from the 1956 to 1974 SRC election studies this paper attempts to uncover an individual-level basis for the macro-relationship found by earlier studies. Specifically, do citizens vote for or against the incumbent president's party as a function of their personal economic condition? The survey data permit us to conclude that a citizen's personal economic condition affects his presidential vote. For congressional voting, however, the findings are positive until 1960 and negative thereafter. And contrary to some previous research, we find no systematic relationship between a citizen's personal economic condition and his decision to vote or abstain.","container-title":"American Journal of Political Science","DOI":"10.2307/2110623","ISSN":"0092-5853","issue":"2","note":"publisher: [Midwest Political Science Association, Wiley]","page":"426-443","source":"JSTOR","title":"Economic Retrospective Voting in American National Elections: A Micro-Analysis","title-short":"Economic Retrospective Voting in American National Elections","volume":"22","author":[{"family":"Fiorina","given":"Morris P."}],"issued":{"date-parts":[["1978"]]}}},{"id":2431,"uris":["http://zotero.org/users/5602238/items/3ARNXJG5"],"itemData":{"id":2431,"type":"document","publisher":"Graduate School of Public Policy Working Paper, number 25, University of California - Berkeley","title":"Economic and fiscal effects on the popular vote for the President","author":[{"family":"Niskanen","given":"William"}],"issued":{"date-parts":[["1975"]]}}}],"schema":"https://github.com/citation-style-language/schema/raw/master/csl-citation.json"} </w:instrText>
      </w:r>
      <w:r w:rsidR="007100F8">
        <w:fldChar w:fldCharType="separate"/>
      </w:r>
      <w:r w:rsidR="007100F8">
        <w:rPr>
          <w:noProof/>
        </w:rPr>
        <w:t>(Fiorina, 1978; Niskanen, 1975)</w:t>
      </w:r>
      <w:r w:rsidR="007100F8">
        <w:fldChar w:fldCharType="end"/>
      </w:r>
      <w:r w:rsidR="00D12DC1">
        <w:t xml:space="preserve">, which </w:t>
      </w:r>
      <w:r w:rsidR="00D41876">
        <w:t>places</w:t>
      </w:r>
      <w:r w:rsidR="00D12DC1">
        <w:t xml:space="preserve"> personal economic conditions at the center of voters’ </w:t>
      </w:r>
      <w:r w:rsidR="00D41876">
        <w:t>decision-making</w:t>
      </w:r>
      <w:r w:rsidR="00D12DC1">
        <w:t xml:space="preserve"> process.</w:t>
      </w:r>
    </w:p>
    <w:p w14:paraId="579AEB3B" w14:textId="2F603097" w:rsidR="00D12DC1" w:rsidRDefault="00095ED0" w:rsidP="000B330C">
      <w:r>
        <w:t>T</w:t>
      </w:r>
      <w:r w:rsidR="00D12DC1">
        <w:t xml:space="preserve">here is </w:t>
      </w:r>
      <w:r w:rsidR="007100F8">
        <w:t>a</w:t>
      </w:r>
      <w:r w:rsidR="00D12DC1">
        <w:t xml:space="preserve"> </w:t>
      </w:r>
      <w:r w:rsidR="007100F8">
        <w:t xml:space="preserve">natural </w:t>
      </w:r>
      <w:r w:rsidR="00D12DC1">
        <w:t xml:space="preserve">relationship between </w:t>
      </w:r>
      <w:proofErr w:type="spellStart"/>
      <w:r w:rsidR="00736549">
        <w:t>sociotropic</w:t>
      </w:r>
      <w:proofErr w:type="spellEnd"/>
      <w:r w:rsidR="00736549">
        <w:t xml:space="preserve"> and pocketbook</w:t>
      </w:r>
      <w:r w:rsidR="00D12DC1">
        <w:t xml:space="preserve"> estimates. Personal conditions are likely to improve when macro-level indicators are performing well. However, individuals hold biased perceptions of </w:t>
      </w:r>
      <w:r w:rsidR="007100F8">
        <w:t>reality</w:t>
      </w:r>
      <w:r w:rsidR="00D12DC1">
        <w:t xml:space="preserve">. They are likely to see the world through more optimistic lenses when they support the incumbent </w:t>
      </w:r>
      <w:r w:rsidR="00D12DC1">
        <w:fldChar w:fldCharType="begin"/>
      </w:r>
      <w:r w:rsidR="00FC1407">
        <w:instrText xml:space="preserve"> ADDIN ZOTERO_ITEM CSL_CITATION {"citationID":"gzRDahug","properties":{"formattedCitation":"(Healy et al., 2017; Sigelman et al., 1991)","plainCitation":"(Healy et al., 2017; Sigelman et al., 1991)","noteIndex":0},"citationItems":[{"id":2437,"uris":["http://zotero.org/users/5602238/items/VVYQLND8"],"itemData":{"id":2437,"type":"article-journal","abstract":"To paint a fuller picture of economic voters, we combine personal income records with a representative election survey. We examine three central topics in the economic voting literature: pocketbook versus sociotropic voting, the effects of partisanship on economic evaluations, and voter myopia. First, we show that voters who appear in survey data to be voting based on the national economy are, in fact, voting equally on the basis of their personal financial conditions. Second, there is strong evidence of both partisan bias and economic information in economic evaluations, but personal economic data is required to separate the two. Third, although in experiments and aggregate historical data recent economic conditions appear to drive vote choice, we find no evidence of myopia when we examine actual personal economic data.","container-title":"American Political Science Review","DOI":"10.1017/S0003055417000314","ISSN":"0003-0554, 1537-5943","issue":"4","language":"en","note":"publisher: Cambridge University Press","page":"771-785","source":"Cambridge University Press","title":"Digging into the Pocketbook: Evidence on Economic Voting from Income Registry Data Matched to a Voter Survey","title-short":"Digging into the Pocketbook","volume":"111","author":[{"family":"Healy","given":"Andrew J."},{"family":"Persson","given":"Mikael"},{"family":"Snowberg","given":"Erik"}],"issued":{"date-parts":[["2017",11]]}}},{"id":2435,"uris":["http://zotero.org/users/5602238/items/Y4HXSVZJ"],"itemData":{"id":2435,"type":"article-journal","abstract":"Despite its deep theoretical roots, the idea that voters reward or punish incumbents in national elections for trends in their personal financial circumstances has not fared well when subjected to empirical test. This paper poses an experimental test of the leading explanations for the surprisingly weak showing of pocketbook influences on vote choice. According to certain of these explanations, the answer lies in distinguishing between sociotropic and self-interested economic voting, or between retrospective and prospective economic voting, or between perceptions of economic trends in general and perceptions of the electorally relevant component of these trends. However, expectations based on these explanations are generally not borne out in the laboratory setting. Consistent with the observed pattern of effects, however, is the idea that pocketbook voting displays little independent impact because economic perceptions and attributions are epiphenomena—strongly biased by the voter's preexisting political commitments.","container-title":"Political Behavior","DOI":"10.1007/BF00992293","ISSN":"1573-6687","issue":"2","journalAbbreviation":"Polit Behav","language":"en","page":"129-149","source":"Springer Link","title":"Reconsidering pocketbook voting: An experimental approach","title-short":"Reconsidering pocketbook voting","volume":"13","author":[{"family":"Sigelman","given":"Lee"},{"family":"Sigelman","given":"Carol K."},{"family":"Bullock","given":"David"}],"issued":{"date-parts":[["1991",6,1]]}}}],"schema":"https://github.com/citation-style-language/schema/raw/master/csl-citation.json"} </w:instrText>
      </w:r>
      <w:r w:rsidR="00D12DC1">
        <w:fldChar w:fldCharType="separate"/>
      </w:r>
      <w:r w:rsidR="00FC1407">
        <w:rPr>
          <w:noProof/>
        </w:rPr>
        <w:t>(Healy et al., 2017; Sigelman et al., 1991)</w:t>
      </w:r>
      <w:r w:rsidR="00D12DC1">
        <w:fldChar w:fldCharType="end"/>
      </w:r>
      <w:r w:rsidR="00D12DC1">
        <w:t xml:space="preserve">. Furthermore, in many cases, it is unclear who is responsible for each policy decision, therefore inhibiting the voters’ ability to correctly </w:t>
      </w:r>
      <w:r w:rsidR="007100F8">
        <w:t>assess the incumbent’s performance</w:t>
      </w:r>
      <w:r w:rsidR="00D12DC1">
        <w:t xml:space="preserve"> </w:t>
      </w:r>
      <w:r w:rsidR="00D12DC1">
        <w:fldChar w:fldCharType="begin"/>
      </w:r>
      <w:r w:rsidR="00D12DC1">
        <w:instrText xml:space="preserve"> ADDIN ZOTERO_ITEM CSL_CITATION {"citationID":"NomSpQkO","properties":{"formattedCitation":"(Kiewiet, 2000)","plainCitation":"(Kiewiet, 2000)","noteIndex":0},"citationItems":[{"id":2416,"uris":["http://zotero.org/users/5602238/items/HWQQZMJH"],"itemData":{"id":2416,"type":"article-journal","abstract":"This paper explores the possibility that the punishment–reward strategy known as economic retrospective voting provides incentives to pursue good economic policies. By “good” we mean policies that enhance efficieny and reduce economic rents. The key hypothesis is that in those countries whose electoral arrangements and governing institutions yield high clarity of responsibility, a resultant high level of retrospective voting should compel incumbent parties to be more vigorous in the pursuit of efficiency-enhancing policies, or at least less vigorous in creating rents. In countries where the clarity of responsibility is low, the more tenuous linkage between economic performance and electoral success should leave incumbent governments less motivated to promote efficiency and to eliminate rents. As hypothesized, countries low in clarity of responsibility appear to be more inclined to subject their economies to over-regulation and to engage in higher levels of transfers and subsidies. On several other policy dimensions, however, there were no discernable differences between high and low clarity of responsibility countries.","container-title":"Electoral Studies","DOI":"10.1016/S0261-3794(99)00060-8","ISSN":"0261-3794","issue":"2","journalAbbreviation":"Electoral Studies","page":"427-444","source":"ScienceDirect","title":"Economic retrospective voting and incentives for policymaking1An earlier version of this paper was delivered at the Conference on Economics and Elections: Comparisons and Conclusions, Sandbjerg, Denmark, 23–26 August 1998. I would like to thank Mike Alvarez, Frank Baumgartner, Sam Kernell, John Ledyard, Michael Lewis-Beck, Lynn Maurer, Donald Wittman, and especially Martin Paldam for their comments and criticisms.1","title-short":"Economic retrospective voting and incentives for policymaking1An earlier version of this paper was delivered at the Conference on Economics and Elections","volume":"19","author":[{"family":"Kiewiet","given":"D. Roderick"}],"issued":{"date-parts":[["2000",6,1]]}}}],"schema":"https://github.com/citation-style-language/schema/raw/master/csl-citation.json"} </w:instrText>
      </w:r>
      <w:r w:rsidR="00D12DC1">
        <w:fldChar w:fldCharType="separate"/>
      </w:r>
      <w:r w:rsidR="00D12DC1">
        <w:rPr>
          <w:noProof/>
        </w:rPr>
        <w:t>(Kiewiet, 2000)</w:t>
      </w:r>
      <w:r w:rsidR="00D12DC1">
        <w:fldChar w:fldCharType="end"/>
      </w:r>
      <w:r w:rsidR="00D12DC1">
        <w:t>.</w:t>
      </w:r>
    </w:p>
    <w:p w14:paraId="21C127E5" w14:textId="0567C4D8" w:rsidR="00736549" w:rsidRDefault="00736549" w:rsidP="00736549">
      <w:r>
        <w:t xml:space="preserve">Such biases occur when evaluating economic conditions, as well as other types of policy. Instead of performance-based models, some authors, then, propose a cognitive-implicit approach. They posit that voters will positively evaluate the policies implemented by their co-partisans, while rejecting the ones coordinated by undesirable parties and their elected leaders </w:t>
      </w:r>
      <w:r>
        <w:fldChar w:fldCharType="begin"/>
      </w:r>
      <w:r w:rsidR="007100F8">
        <w:instrText xml:space="preserve"> ADDIN ZOTERO_ITEM CSL_CITATION {"citationID":"7fp9JTRU","properties":{"formattedCitation":"(Andersen &amp; Hjortskov, 2016; Jilke, 2018; Lenz, 2013; Marvel, 2015, 2016)","plainCitation":"(Andersen &amp; Hjortskov, 2016; Jilke, 2018; Lenz, 2013; Marvel, 2015, 2016)","noteIndex":0},"citationItems":[{"id":2399,"uris":["http://zotero.org/users/5602238/items/TMQ9W8UY"],"itemData":{"id":2399,"type":"article-journal","abstract":"Performance evaluations are a central component in the administration of public organizations. The predominant model of how both public managers and citizens evaluate performance suggests that satisfaction judgments about performance are based on a comparison of performance to some adapted standard like expectations or goals. However, in a number of experiments we show that perceptions of performance and satisfaction are formed in ways that are not so consistent and better explained by an intuitive mode of thinking. The results question the validity of citizen satisfaction as a measure of performance but also raise more general questions about how performance information is processed by citizens and public managers. Suggestions for a more adequate theory of the relationship between performance and satisfaction and implications for the use of performance information in public organizations are presented and discussed.Внимание лидеров направлено на данные о производительности труда и управлению разнообразием в рабочем коллективе по причине двух центральных вызовов управлению. В данной статье рассматриваются связи между ними, с целью ответить на вопрос – связано ли введение многообразия в состав рабочего коллектива, как форма организационных перемен, с более широким использованием со стороны лидерского состава данных о производительности труда. Многообразие теоретизируется как обоюдоострый меч для организаций, способное создать больше инноваций, креативности и производительности, но и конфликт. Мы предполагаем, что лидеры будут мотивированы использовать данные о производительности, чтобы понять, управлять и растолковать эффекты разнообразия. Для того, чтобы изучить этот вопрос, мы используем рандомизированный контролируемый полевой эксперимент, в котором в организации направлены новые сотрудники, которые приносят в рабочий коллектив многообразие ролей и образования. Мы находим, что руководители более чувствительны именно к этим двум типам функционального многообразия, когда они считают, что в их организациях отсутствует инновационная организационная культура.","container-title":"Journal of Public Administration Research and Theory","DOI":"10.1093/jopart/muv036","ISSN":"1053-1858","issue":"4","journalAbbreviation":"Journal of Public Administration Research and Theory","page":"647-662","source":"Silverchair","title":"Cognitive Biases in Performance Evaluations","volume":"26","author":[{"family":"Andersen","given":"Simon Calmar"},{"family":"Hjortskov","given":"Morten"}],"issued":{"date-parts":[["2016",10,1]]}}},{"id":2382,"uris":["http://zotero.org/users/5602238/items/2AC2MVYG"],"itemData":{"id":2382,"type":"article-journal","abstract":"There exists a gap in our understanding of what citizen satisfaction evaluations actually represent. While recent years have witnessed a move away from performance-based models to cognitive-implicit models of citizen satisfaction, the inherent political nature of government, its institutions, and services has been largely ignored. Drawing on the functional responsibility chain between political principals and governmental, public-service-delivering institutions, we outline a theory of citizen satisfaction that accounts for the political nature of these institutions. In the context of two consecutive general elections, we find a partisan bias in citizen satisfaction with government and the legislative branch, but not for institutions that are more clearly separated from national government. These mixed findings are suggestive of a dispersion effect of the partisan bias in citizen satisfaction, namely, that citizens are less likely to use their partisan lenses in cases where the responsibility of political principals is dispersed across multiple actors.","container-title":"Governance","DOI":"10.1111/gove.12317","ISSN":"1468-0491","issue":"3","language":"en","license":"© 2017 Wiley Periodicals, Inc.","note":"_eprint: https://onlinelibrary.wiley.com/doi/pdf/10.1111/gove.12317","page":"515-533","source":"Wiley Online Library","title":"Citizen satisfaction under changing political leadership: The role of partisan motivated reasoning","title-short":"Citizen satisfaction under changing political leadership","volume":"31","author":[{"family":"Jilke","given":"Sebastian"}],"issued":{"date-parts":[["2018"]]}}},{"id":2444,"uris":["http://zotero.org/users/5602238/items/VTE87WBH"],"itemData":{"id":2444,"type":"book","abstract":"In a democracy, we generally assume that voters know the policies they prefer and elect like-minded officials who are responsible for carrying them out. We also assume that voters consider candidates' competence, honesty, and other performance-related traits. But does this actually happen? Do voters consider candidates’ policy positions when deciding for whom to vote? And how do politicians’ performances in office factor into the voting decision? In Follow the Leader?, Gabriel S. Lenz sheds light on these central questions of democratic thought. Lenz looks at citizens’ views of candidates both before and after periods of political upheaval, including campaigns, wars, natural disasters, and episodes of economic boom and bust. Noting important shifts in voters’ knowledge and preferences as a result of these events, he finds that, while citizens do assess politicians based on their performance, their policy positions actually matter much less. Even when a policy issue becomes highly prominent, voters rarely shift their votes to the politician whose position best agrees with their own. In fact, Lenz shows, the reverse often takes place: citizens first pick a politician and then adopt that politician’s policy views. In other words, they follow the leader. Based on data drawn from multiple countries, Follow the Leader? is the most definitive treatment to date of when and why policy and performance matter at the voting booth, and it will break new ground in the debates about democracy.","ISBN":"978-0-226-47215-7","language":"en","note":"Google-Books-ID: 5AJEAqd4XAAC","number-of-pages":"341","publisher":"University of Chicago Press","source":"Google Books","title":"Follow the Leader?: How Voters Respond to Politicians' Policies and Performance","title-short":"Follow the Leader?","author":[{"family":"Lenz","given":"Gabriel S."}],"issued":{"date-parts":[["2013",1,29]]}}},{"id":2407,"uris":["http://zotero.org/users/5602238/items/9YWK73BN"],"itemData":{"id":2407,"type":"article-journal","abstract":"Public management scholars have long observed that Americans’ attitudes about public sector performance are negative, even though public sector organizations often perform at a high level. We use a survey experiment to test whether this negativity is a product of anti-public sector bias, using package delivery as our context. We also test whether objective performance information can correct this bias. Our results suggest that individuals expect a lower level of performance from the United States Postal Service (USPS) than Federal Express (FedEx), a prominent private sector shipping organization. Moreover, our results suggest that objective performance information does not completely override this “expectation bias”—individuals rate USPS and FedEx differently, even when their ratings are based on identical favorable performance updates.","container-title":"International Public Management Journal","DOI":"10.1080/10967494.2014.996627","ISSN":"1096-7494","issue":"2","note":"publisher: Routledge\n_eprint: https://doi.org/10.1080/10967494.2014.996627","page":"209-227","source":"Taylor and Francis+NEJM","title":"Public Opinion and Public Sector Performance: Are Individuals’ Beliefs About Performance Evidence-Based or the Product of Anti–Public Sector Bias?","title-short":"Public Opinion and Public Sector Performance","volume":"18","author":[{"family":"Marvel","given":"John D."}],"issued":{"date-parts":[["2015",4,3]]}}},{"id":2404,"uris":["http://zotero.org/users/5602238/items/UH8G6W36"],"itemData":{"id":2404,"type":"article-journal","abstract":"The premise of our article is that repeated exposure to antipublic sector messages affects the way people evaluate the performance of public sector organizations. More specifically, we argue that individuals’ implicit attitudes regarding public sector organizations are biased: Citizens automatically and unconsciously associate public sector organizations with inefficiency, inflexibility, and other pejoratives, and these automatic associations color their assessments of public sector performance. Implicit antipublic sector bias has important theoretical implications. It may help to explain whether, and to what degree, individuals respond favorably to positive public sector performance information. More specifically, it suggests that individuals’ evaluations of government performance will be weighed down by their deep-seated, unconscious views of the public sector; that the effect of information on individuals’ performance evaluations will be short-lived; and that individuals’ underlying beliefs about public sector performance will be difficult to change. We design three survey experiments to investigate these propositions, focusing on individuals’ evaluations of United States Postal Service (USPS) performance. We find evidence for each proposition.","container-title":"Journal of Public Administration Research and Theory","DOI":"10.1093/jopart/muu053","ISSN":"1053-1858","issue":"1","journalAbbreviation":"Journal of Public Administration Research and Theory","page":"143-158","source":"Silverchair","title":"Unconscious Bias in Citizens’ Evaluations of Public Sector Performance","volume":"26","author":[{"family":"Marvel","given":"John D."}],"issued":{"date-parts":[["2016",1,1]]}}}],"schema":"https://github.com/citation-style-language/schema/raw/master/csl-citation.json"} </w:instrText>
      </w:r>
      <w:r>
        <w:fldChar w:fldCharType="separate"/>
      </w:r>
      <w:r w:rsidR="007100F8">
        <w:rPr>
          <w:noProof/>
        </w:rPr>
        <w:t>(Andersen &amp; Hjortskov, 2016; Jilke, 2018; Lenz, 2013; Marvel, 2015, 2016)</w:t>
      </w:r>
      <w:r>
        <w:fldChar w:fldCharType="end"/>
      </w:r>
      <w:r>
        <w:t xml:space="preserve">. </w:t>
      </w:r>
      <w:proofErr w:type="spellStart"/>
      <w:r>
        <w:t>Jilke</w:t>
      </w:r>
      <w:proofErr w:type="spellEnd"/>
      <w:r>
        <w:t xml:space="preserve"> </w:t>
      </w:r>
      <w:r>
        <w:fldChar w:fldCharType="begin"/>
      </w:r>
      <w:r>
        <w:instrText xml:space="preserve"> ADDIN ZOTERO_ITEM CSL_CITATION {"citationID":"Roeeh35k","properties":{"formattedCitation":"(2018)","plainCitation":"(2018)","noteIndex":0},"citationItems":[{"id":2382,"uris":["http://zotero.org/users/5602238/items/2AC2MVYG"],"itemData":{"id":2382,"type":"article-journal","abstract":"There exists a gap in our understanding of what citizen satisfaction evaluations actually represent. While recent years have witnessed a move away from performance-based models to cognitive-implicit models of citizen satisfaction, the inherent political nature of government, its institutions, and services has been largely ignored. Drawing on the functional responsibility chain between political principals and governmental, public-service-delivering institutions, we outline a theory of citizen satisfaction that accounts for the political nature of these institutions. In the context of two consecutive general elections, we find a partisan bias in citizen satisfaction with government and the legislative branch, but not for institutions that are more clearly separated from national government. These mixed findings are suggestive of a dispersion effect of the partisan bias in citizen satisfaction, namely, that citizens are less likely to use their partisan lenses in cases where the responsibility of political principals is dispersed across multiple actors.","container-title":"Governance","DOI":"10.1111/gove.12317","ISSN":"1468-0491","issue":"3","language":"en","license":"© 2017 Wiley Periodicals, Inc.","note":"_eprint: https://onlinelibrary.wiley.com/doi/pdf/10.1111/gove.12317","page":"515-533","source":"Wiley Online Library","title":"Citizen satisfaction under changing political leadership: The role of partisan motivated reasoning","title-short":"Citizen satisfaction under changing political leadership","volume":"31","author":[{"family":"Jilke","given":"Sebastian"}],"issued":{"date-parts":[["2018"]]}},"label":"page","suppress-author":true}],"schema":"https://github.com/citation-style-language/schema/raw/master/csl-citation.json"} </w:instrText>
      </w:r>
      <w:r>
        <w:fldChar w:fldCharType="separate"/>
      </w:r>
      <w:r>
        <w:rPr>
          <w:noProof/>
        </w:rPr>
        <w:t>(2018)</w:t>
      </w:r>
      <w:r>
        <w:fldChar w:fldCharType="end"/>
      </w:r>
      <w:r>
        <w:t xml:space="preserve"> finds that this is often the case when the policy responsibility is dispersed and, thus, voters are unable to correctly attribute reward or blame to elected officials. In sum, voters may want to reward incumbents for their performance but may misperceive it due to their partisan bias and inability to understand who designed and </w:t>
      </w:r>
      <w:r w:rsidR="00D41876">
        <w:t>implemented</w:t>
      </w:r>
      <w:r>
        <w:t xml:space="preserve"> the policy of interest.</w:t>
      </w:r>
    </w:p>
    <w:p w14:paraId="09C326EE" w14:textId="42993732" w:rsidR="00E45714" w:rsidRDefault="00095ED0" w:rsidP="000B330C">
      <w:r>
        <w:t xml:space="preserve">In addition to that, the obvious targets may not be the ones reacting to certain policy decisions. </w:t>
      </w:r>
      <w:r w:rsidR="00EF5ABB">
        <w:t>Holland</w:t>
      </w:r>
      <w:r w:rsidR="00E45714">
        <w:t xml:space="preserve">’s </w:t>
      </w:r>
      <w:r w:rsidR="00E45714">
        <w:fldChar w:fldCharType="begin"/>
      </w:r>
      <w:r w:rsidR="00E45714">
        <w:instrText xml:space="preserve"> ADDIN ZOTERO_ITEM CSL_CITATION {"citationID":"LSCEZvOb","properties":{"formattedCitation":"(2023)","plainCitation":"(2023)","noteIndex":0},"citationItems":[{"id":2369,"uris":["http://zotero.org/users/5602238/items/D57IKNHK"],"itemData":{"id":2369,"type":"article-journal","abstract":"In much of the world, public transportation infrastructure is sorely needed. Political economy models suggest that provision lags because uneven access and use of public transit fragments political coalitions. Yet, traditional survey techniques tell us little about who supports valence issues, such as mass transit. I instead adopt a novel survey approach from economics designed to elicit preference intensity. I then sample households at different distances from a subway project in Bogotá, Colombia. Contra conventional expectations, I find little evidence that local geography shapes preferences. Those who use public transit the least and pay the most for its construction—the upper class—are its strongest supporters. An experiment and focus groups suggest that middle- and upper-class groups want others to take public transportation to reduce congestion and shorten their commutes. One implication is that a growing middle class might help to strengthen urban public goods provision.","container-title":"British Journal of Political Science","DOI":"10.1017/S0007123422000679","ISSN":"0007-1234, 1469-2112","issue":"3","language":"en","note":"publisher: Cambridge University Press","page":"1041-1060","source":"Cambridge University Press","title":"Making the Public Work: Geography, Externalities, and Preferences for Mass Transit","title-short":"Making the Public Work","volume":"53","author":[{"family":"Holland","given":"Alisha C."}],"issued":{"date-parts":[["2023",7]]}},"label":"page","suppress-author":true}],"schema":"https://github.com/citation-style-language/schema/raw/master/csl-citation.json"} </w:instrText>
      </w:r>
      <w:r w:rsidR="00E45714">
        <w:fldChar w:fldCharType="separate"/>
      </w:r>
      <w:r w:rsidR="00E45714">
        <w:rPr>
          <w:noProof/>
        </w:rPr>
        <w:t>(2023)</w:t>
      </w:r>
      <w:r w:rsidR="00E45714">
        <w:fldChar w:fldCharType="end"/>
      </w:r>
      <w:r w:rsidR="00E45714">
        <w:t xml:space="preserve"> work follows the opposite direction of conventional studies. She finds that the strongest supporters of new metro stations in Bogotá are</w:t>
      </w:r>
      <w:r>
        <w:t xml:space="preserve"> not potential users (i.e., the working class). In fact,</w:t>
      </w:r>
      <w:r w:rsidR="00E45714">
        <w:t xml:space="preserve"> the </w:t>
      </w:r>
      <w:r>
        <w:t xml:space="preserve">policy is mostly supported by </w:t>
      </w:r>
      <w:r w:rsidR="00E45714">
        <w:t>upper-class households who do not use public transportation. Her survey study suggests that they want other citizens to use the metro</w:t>
      </w:r>
      <w:r w:rsidR="00F75385">
        <w:t xml:space="preserve"> because</w:t>
      </w:r>
      <w:r w:rsidR="00E45714">
        <w:t xml:space="preserve"> this will reduce </w:t>
      </w:r>
      <w:r w:rsidR="00D41876">
        <w:t>congestion</w:t>
      </w:r>
      <w:r w:rsidR="00E45714">
        <w:t>, facilitating their commute.</w:t>
      </w:r>
    </w:p>
    <w:p w14:paraId="1DFB8973" w14:textId="50CDA6A1" w:rsidR="00E260AD" w:rsidRDefault="00E260AD" w:rsidP="000B330C">
      <w:r>
        <w:t xml:space="preserve">In sum, the relationship between successful policymaking and incumbent rewards is not </w:t>
      </w:r>
      <w:r w:rsidR="00D41876">
        <w:t xml:space="preserve">as </w:t>
      </w:r>
      <w:r>
        <w:t xml:space="preserve">straightforward as some politicians would expect. This is biased by political preferences, blurred by misinformed responsibility attribution, and may be influenced by counterintuitive interests. These issues pose a challenge to policy experimentation. Politicians who decide </w:t>
      </w:r>
      <w:r w:rsidR="00D41876">
        <w:t>to engage</w:t>
      </w:r>
      <w:r>
        <w:t xml:space="preserve"> in </w:t>
      </w:r>
      <w:r>
        <w:lastRenderedPageBreak/>
        <w:t>policy innovation face the natural risks of experimentation and, if successful, may not be rewarded when running for reelection.</w:t>
      </w:r>
    </w:p>
    <w:p w14:paraId="7F2A4948" w14:textId="4C0DE3E0" w:rsidR="00E260AD" w:rsidRDefault="00E260AD" w:rsidP="000B330C">
      <w:r>
        <w:t xml:space="preserve">Despite these challenges, we argue that successful policy innovation does lead to </w:t>
      </w:r>
      <w:r>
        <w:rPr>
          <w:i/>
          <w:iCs/>
        </w:rPr>
        <w:t>some</w:t>
      </w:r>
      <w:r>
        <w:t xml:space="preserve"> electoral rewards. Traditional studies of retrospective voting often consider the whole result of specific electoral districts.</w:t>
      </w:r>
      <w:r w:rsidR="00FD61CC">
        <w:t xml:space="preserve"> This includes different constituencies, for instance, beneficiaries and non-beneficiaries </w:t>
      </w:r>
      <w:r w:rsidR="00FD61CC">
        <w:fldChar w:fldCharType="begin"/>
      </w:r>
      <w:r w:rsidR="00FD61CC">
        <w:instrText xml:space="preserve"> ADDIN ZOTERO_ITEM CSL_CITATION {"citationID":"K5wqf525","properties":{"formattedCitation":"(Holland, 2023)","plainCitation":"(Holland, 2023)","noteIndex":0},"citationItems":[{"id":2369,"uris":["http://zotero.org/users/5602238/items/D57IKNHK"],"itemData":{"id":2369,"type":"article-journal","abstract":"In much of the world, public transportation infrastructure is sorely needed. Political economy models suggest that provision lags because uneven access and use of public transit fragments political coalitions. Yet, traditional survey techniques tell us little about who supports valence issues, such as mass transit. I instead adopt a novel survey approach from economics designed to elicit preference intensity. I then sample households at different distances from a subway project in Bogotá, Colombia. Contra conventional expectations, I find little evidence that local geography shapes preferences. Those who use public transit the least and pay the most for its construction—the upper class—are its strongest supporters. An experiment and focus groups suggest that middle- and upper-class groups want others to take public transportation to reduce congestion and shorten their commutes. One implication is that a growing middle class might help to strengthen urban public goods provision.","container-title":"British Journal of Political Science","DOI":"10.1017/S0007123422000679","ISSN":"0007-1234, 1469-2112","issue":"3","language":"en","note":"publisher: Cambridge University Press","page":"1041-1060","source":"Cambridge University Press","title":"Making the Public Work: Geography, Externalities, and Preferences for Mass Transit","title-short":"Making the Public Work","volume":"53","author":[{"family":"Holland","given":"Alisha C."}],"issued":{"date-parts":[["2023",7]]}}}],"schema":"https://github.com/citation-style-language/schema/raw/master/csl-citation.json"} </w:instrText>
      </w:r>
      <w:r w:rsidR="00FD61CC">
        <w:fldChar w:fldCharType="separate"/>
      </w:r>
      <w:r w:rsidR="00FD61CC">
        <w:rPr>
          <w:noProof/>
        </w:rPr>
        <w:t>(Holland, 2023)</w:t>
      </w:r>
      <w:r w:rsidR="00FD61CC">
        <w:fldChar w:fldCharType="end"/>
      </w:r>
      <w:r w:rsidR="00FD61CC">
        <w:t xml:space="preserve">, and partisans and non-partisans </w:t>
      </w:r>
      <w:r w:rsidR="00FD61CC">
        <w:fldChar w:fldCharType="begin"/>
      </w:r>
      <w:r w:rsidR="00FC1407">
        <w:instrText xml:space="preserve"> ADDIN ZOTERO_ITEM CSL_CITATION {"citationID":"lIwJvV1s","properties":{"formattedCitation":"(Healy et al., 2017)","plainCitation":"(Healy et al., 2017)","noteIndex":0},"citationItems":[{"id":2437,"uris":["http://zotero.org/users/5602238/items/VVYQLND8"],"itemData":{"id":2437,"type":"article-journal","abstract":"To paint a fuller picture of economic voters, we combine personal income records with a representative election survey. We examine three central topics in the economic voting literature: pocketbook versus sociotropic voting, the effects of partisanship on economic evaluations, and voter myopia. First, we show that voters who appear in survey data to be voting based on the national economy are, in fact, voting equally on the basis of their personal financial conditions. Second, there is strong evidence of both partisan bias and economic information in economic evaluations, but personal economic data is required to separate the two. Third, although in experiments and aggregate historical data recent economic conditions appear to drive vote choice, we find no evidence of myopia when we examine actual personal economic data.","container-title":"American Political Science Review","DOI":"10.1017/S0003055417000314","ISSN":"0003-0554, 1537-5943","issue":"4","language":"en","note":"publisher: Cambridge University Press","page":"771-785","source":"Cambridge University Press","title":"Digging into the Pocketbook: Evidence on Economic Voting from Income Registry Data Matched to a Voter Survey","title-short":"Digging into the Pocketbook","volume":"111","author":[{"family":"Healy","given":"Andrew J."},{"family":"Persson","given":"Mikael"},{"family":"Snowberg","given":"Erik"}],"issued":{"date-parts":[["2017",11]]}}}],"schema":"https://github.com/citation-style-language/schema/raw/master/csl-citation.json"} </w:instrText>
      </w:r>
      <w:r w:rsidR="00FD61CC">
        <w:fldChar w:fldCharType="separate"/>
      </w:r>
      <w:r w:rsidR="00FC1407">
        <w:rPr>
          <w:noProof/>
        </w:rPr>
        <w:t>(Healy et al., 2017)</w:t>
      </w:r>
      <w:r w:rsidR="00FD61CC">
        <w:fldChar w:fldCharType="end"/>
      </w:r>
      <w:r w:rsidR="00FD61CC">
        <w:t xml:space="preserve">. While some studies did capture confirmatory results for the retrospective voting thesis </w:t>
      </w:r>
      <w:r w:rsidR="00FD61CC">
        <w:fldChar w:fldCharType="begin"/>
      </w:r>
      <w:r w:rsidR="00FD61CC">
        <w:instrText xml:space="preserve"> ADDIN ZOTERO_ITEM CSL_CITATION {"citationID":"d8WpmCM1","properties":{"formattedCitation":"(for instance, Burnett &amp; Kogan, 2017)","plainCitation":"(for instance, Burnett &amp; Kogan, 2017)","noteIndex":0},"citationItems":[{"id":2421,"uris":["http://zotero.org/users/5602238/items/LSUR7MEF"],"itemData":{"id":2421,"type":"article-journal","abstract":"By conditioning their support for political incumbents on observed performance outcomes, voters can motivate elected officials to represent their interests faithfully while in office. Whether elections serve this function in subnational US government remains unclear, however, because much of the existing research on retrospective voting in these contexts focuses on outcomes that are not obviously salient to voters or over which the relevant government officials have limited influence. In this study, we examine one outcome—the quality of local roads—that is both salient and unquestionably under the control of city government. Our analysis leverages within-city variation in the number of pothole complaints in one of America’s largest cities and shows that such variation can explain neighborhood-level differences in support for incumbents in two political offices—mayor and city council—across several electoral cycles.","container-title":"The Journal of Politics","DOI":"10.1086/688736","ISSN":"0022-3816","issue":"1","note":"publisher: The University of Chicago Press","page":"302-314","source":"journals.uchicago.edu (Atypon)","title":"The Politics of Potholes: Service Quality and Retrospective Voting in Local Elections","title-short":"The Politics of Potholes","volume":"79","author":[{"family":"Burnett","given":"Craig M."},{"family":"Kogan","given":"Vladimir"}],"issued":{"date-parts":[["2017",1]]}},"label":"page","prefix":"for instance, "}],"schema":"https://github.com/citation-style-language/schema/raw/master/csl-citation.json"} </w:instrText>
      </w:r>
      <w:r w:rsidR="00FD61CC">
        <w:fldChar w:fldCharType="separate"/>
      </w:r>
      <w:r w:rsidR="00FD61CC">
        <w:rPr>
          <w:noProof/>
        </w:rPr>
        <w:t>(for instance, Burnett &amp; Kogan, 2017)</w:t>
      </w:r>
      <w:r w:rsidR="00FD61CC">
        <w:fldChar w:fldCharType="end"/>
      </w:r>
      <w:r w:rsidR="00FD61CC">
        <w:t>, we posit that positive electoral effects are more clearly identifiable among the direct beneficiaries of successful policy experimentation than if one decides to investigate the whole electoral district.</w:t>
      </w:r>
    </w:p>
    <w:p w14:paraId="6E95A68D" w14:textId="2C6E8873" w:rsidR="00FD61CC" w:rsidRDefault="00FD61CC" w:rsidP="0071462E">
      <w:r>
        <w:t xml:space="preserve">Voters who have experienced a novel policy </w:t>
      </w:r>
      <w:r w:rsidR="00D41876">
        <w:t>that</w:t>
      </w:r>
      <w:r>
        <w:t xml:space="preserve"> has directly impacted their lives will be more prone to support the incumbent they identify as being responsible for the policy change. </w:t>
      </w:r>
      <w:r w:rsidR="0071462E">
        <w:t>We argue that this is likely to take place with innovative public transportation policy, which has the potential to reduce commuting time and costs</w:t>
      </w:r>
      <w:r w:rsidR="00D41876">
        <w:t>,</w:t>
      </w:r>
      <w:r w:rsidR="0071462E">
        <w:t xml:space="preserve"> especially among </w:t>
      </w:r>
      <w:r w:rsidR="00D41876">
        <w:t>working-class</w:t>
      </w:r>
      <w:r w:rsidR="0071462E">
        <w:t xml:space="preserve"> individuals. These voters, who are often left behind,</w:t>
      </w:r>
      <w:r>
        <w:t xml:space="preserve"> will appreciate the politician’s willingness to try “something new” and be successful with such experimentation. This personal experience will go beyond partisan preferences, leading </w:t>
      </w:r>
      <w:r w:rsidR="0071462E">
        <w:t xml:space="preserve">beneficiaries to see the incumbent as someone who directly improved their life conditions. Thus, the electoral rewards for the incumbent will be substantially greater in areas where most voters are beneficiaries compared to other areas with fewer (or no) beneficiaries. </w:t>
      </w:r>
      <w:r>
        <w:t>Empirically, we hypothesize that:</w:t>
      </w:r>
    </w:p>
    <w:p w14:paraId="0A99A071" w14:textId="618FCA49" w:rsidR="002F7415" w:rsidRPr="000F02F8" w:rsidRDefault="000B330C" w:rsidP="000F02F8">
      <w:pPr>
        <w:ind w:left="720"/>
        <w:rPr>
          <w:sz w:val="22"/>
          <w:szCs w:val="22"/>
        </w:rPr>
      </w:pPr>
      <w:r w:rsidRPr="000B330C">
        <w:rPr>
          <w:b/>
          <w:bCs/>
          <w:sz w:val="22"/>
          <w:szCs w:val="22"/>
        </w:rPr>
        <w:t>Hypothesis 1:</w:t>
      </w:r>
      <w:r w:rsidRPr="000B330C">
        <w:rPr>
          <w:sz w:val="22"/>
          <w:szCs w:val="22"/>
        </w:rPr>
        <w:t xml:space="preserve"> The greater the </w:t>
      </w:r>
      <w:r w:rsidR="00855D5D">
        <w:rPr>
          <w:sz w:val="22"/>
          <w:szCs w:val="22"/>
        </w:rPr>
        <w:t xml:space="preserve">number of beneficiaries of the </w:t>
      </w:r>
      <w:r w:rsidR="0065560E">
        <w:rPr>
          <w:sz w:val="22"/>
          <w:szCs w:val="22"/>
        </w:rPr>
        <w:t xml:space="preserve">public transportation </w:t>
      </w:r>
      <w:r w:rsidR="00855D5D">
        <w:rPr>
          <w:sz w:val="22"/>
          <w:szCs w:val="22"/>
        </w:rPr>
        <w:t xml:space="preserve">policy in a </w:t>
      </w:r>
      <w:r w:rsidR="00FD61CC">
        <w:rPr>
          <w:sz w:val="22"/>
          <w:szCs w:val="22"/>
        </w:rPr>
        <w:t>geographic region</w:t>
      </w:r>
      <w:r w:rsidRPr="000B330C">
        <w:rPr>
          <w:sz w:val="22"/>
          <w:szCs w:val="22"/>
        </w:rPr>
        <w:t xml:space="preserve">, the more voters of this </w:t>
      </w:r>
      <w:r w:rsidR="00FD61CC">
        <w:rPr>
          <w:sz w:val="22"/>
          <w:szCs w:val="22"/>
        </w:rPr>
        <w:t>region</w:t>
      </w:r>
      <w:r w:rsidRPr="000B330C">
        <w:rPr>
          <w:sz w:val="22"/>
          <w:szCs w:val="22"/>
        </w:rPr>
        <w:t xml:space="preserve"> will favor the incumbent official in the subsequent election.</w:t>
      </w:r>
    </w:p>
    <w:p w14:paraId="758AF069" w14:textId="5D0BB536" w:rsidR="000B330C" w:rsidRDefault="00076753" w:rsidP="000B330C">
      <w:pPr>
        <w:pStyle w:val="Heading1"/>
      </w:pPr>
      <w:r>
        <w:t>The Smart Card Policy</w:t>
      </w:r>
    </w:p>
    <w:p w14:paraId="7FED0BA5" w14:textId="3682AE5C" w:rsidR="00F8390B" w:rsidRDefault="00F8390B" w:rsidP="000B330C">
      <w:r>
        <w:t xml:space="preserve">Public transportation is a subnational issue in Brazil. Most often, municipalities contract private companies to operate specific bus lines under monopolistic or oligopolistic conditions. These are long-term contracts, which often include fares and fare-change mechanisms, routes, minimum investment, and quality standards. Due to incomplete contracts, technological change, and evolving urbanization, it is common to identify inefficiencies in urban mobility. In 1998, public </w:t>
      </w:r>
      <w:r>
        <w:lastRenderedPageBreak/>
        <w:t>authorities estimated a diseconomy of R$ 346 million/year (roughly US$ 415.2) in São Paulo</w:t>
      </w:r>
      <w:r w:rsidR="0093644F">
        <w:t xml:space="preserve"> </w:t>
      </w:r>
      <w:r w:rsidR="0093644F">
        <w:fldChar w:fldCharType="begin"/>
      </w:r>
      <w:r w:rsidR="0093644F">
        <w:instrText xml:space="preserve"> ADDIN ZOTERO_ITEM CSL_CITATION {"citationID":"RQnwwB7D","properties":{"formattedCitation":"(S\\uc0\\u227{}o Paulo, 2004)","plainCitation":"(São Paulo, 2004)","noteIndex":0},"citationItems":[{"id":2376,"uris":["http://zotero.org/users/5602238/items/D4HG62UW"],"itemData":{"id":2376,"type":"book","event-place":"São Paulo","publisher":"Secretaria Municipal de Transportes","publisher-place":"São Paulo","title":"São Paulo interligado: o plano de transporte público urbano em implantação na gestão 2001-2004","author":[{"family":"São Paulo","given":""}],"issued":{"date-parts":[["2004"]]}}}],"schema":"https://github.com/citation-style-language/schema/raw/master/csl-citation.json"} </w:instrText>
      </w:r>
      <w:r w:rsidR="0093644F">
        <w:fldChar w:fldCharType="separate"/>
      </w:r>
      <w:r w:rsidR="0093644F" w:rsidRPr="0093644F">
        <w:rPr>
          <w:rFonts w:cs="Times New Roman"/>
        </w:rPr>
        <w:t>(São Paulo, 2004)</w:t>
      </w:r>
      <w:r w:rsidR="0093644F">
        <w:fldChar w:fldCharType="end"/>
      </w:r>
      <w:r>
        <w:t>.</w:t>
      </w:r>
    </w:p>
    <w:p w14:paraId="07415ADC" w14:textId="33FA55F0" w:rsidR="00A15B3A" w:rsidRDefault="005E5573" w:rsidP="00F8390B">
      <w:r>
        <w:t xml:space="preserve">To address these issues, the newly-elected mayor Marta </w:t>
      </w:r>
      <w:proofErr w:type="spellStart"/>
      <w:r>
        <w:t>Suplicy</w:t>
      </w:r>
      <w:proofErr w:type="spellEnd"/>
      <w:r>
        <w:t xml:space="preserve"> (2001-2004) created an interdisciplinary </w:t>
      </w:r>
      <w:r w:rsidR="00D41876">
        <w:t>task force</w:t>
      </w:r>
      <w:r>
        <w:t xml:space="preserve"> to develop a new mobility plan for the city—the Interconnected São Paulo (in Portuguese, São Paulo </w:t>
      </w:r>
      <w:proofErr w:type="spellStart"/>
      <w:r>
        <w:t>Interligado</w:t>
      </w:r>
      <w:proofErr w:type="spellEnd"/>
      <w:r>
        <w:t xml:space="preserve">). The </w:t>
      </w:r>
      <w:r w:rsidR="00D41876">
        <w:t>task force</w:t>
      </w:r>
      <w:r w:rsidR="00A15B3A">
        <w:t xml:space="preserve"> diagnosed that bus routes were insufficiently interconnected, as many worked on a radial logic, directly linking peripheral neighborhoods to the city center. As urban sprawl was massive by the 80s and 90s</w:t>
      </w:r>
      <w:r w:rsidR="00076753">
        <w:t xml:space="preserve"> </w:t>
      </w:r>
      <w:r w:rsidR="00076753">
        <w:fldChar w:fldCharType="begin"/>
      </w:r>
      <w:r w:rsidR="00076753">
        <w:instrText xml:space="preserve"> ADDIN ZOTERO_ITEM CSL_CITATION {"citationID":"AWBzUmeV","properties":{"formattedCitation":"(Costa et al., 2021)","plainCitation":"(Costa et al., 2021)","noteIndex":0},"citationItems":[{"id":2377,"uris":["http://zotero.org/users/5602238/items/6E8FUPZL"],"itemData":{"id":2377,"type":"article-journal","abstract":"We present a historical analysis of transportation and urban development in São Paulo (Brazil), attempting to discern Granger causal effects using historical land-use and transportation data from 1881 to 2013. Our results align with the hypothesis commonly stated in the literature about the relevance of road transportation in São Paulo’s peripheral urban expansion during the twentieth century. We find, however, more complex relationships, and changes in them, over time. Over the entire 130 years, we find that urban expansion and road development pushed and pulled each other, in a somewhat “orderly” way. On the other hand, while roads are not linked to densification, we find that mass transit infrastructure did lead to building densification. Distinguishing among distinct periods adds further insights. Examining São Paulo’s “streetcar era” we find joint development of streetcar lines and urban expansion – evidence of joint development consistent with “streetcar suburbs.” Streetcars also led to building densification during this early period. In subsequent decades, up until the mid-1970s, mass transit investments are virtually non-existent and road transportation essentially chases urban expansion, not vice versa. Finally, the last four decades reveal a return to “orderly” patterns of road expansion and urbanization but no evidence of mass transit infrastructure’s effects on urbanization or densification. The analysis illustrates how transportation investment choices have important consequences for urban growth, exerting long-lasting influences on its urban form.","container-title":"Journal of Transport and Land Use","ISSN":"1938-7849","issue":"1","note":"publisher: Journal of Transport and Land Use","page":"1075-1098","source":"JSTOR","title":"Chasing the city that cannot stop: Exploring transportation and urban co-development in São Paulo’s history","title-short":"Chasing the city that cannot stop","volume":"14","author":[{"family":"Costa","given":"Adriano Borges"},{"family":"Zegras","given":"Christopher"},{"family":"Biderman","given":"Ciro"}],"issued":{"date-parts":[["2021"]]}}}],"schema":"https://github.com/citation-style-language/schema/raw/master/csl-citation.json"} </w:instrText>
      </w:r>
      <w:r w:rsidR="00076753">
        <w:fldChar w:fldCharType="separate"/>
      </w:r>
      <w:r w:rsidR="00076753">
        <w:rPr>
          <w:noProof/>
        </w:rPr>
        <w:t>(Costa et al., 2021)</w:t>
      </w:r>
      <w:r w:rsidR="00076753">
        <w:fldChar w:fldCharType="end"/>
      </w:r>
      <w:r w:rsidR="00A15B3A">
        <w:t xml:space="preserve">, São Paulo had serious transit problems because bus routes were too long and inefficient. It, then, proposed </w:t>
      </w:r>
      <w:r>
        <w:t xml:space="preserve">four </w:t>
      </w:r>
      <w:r w:rsidR="00A15B3A">
        <w:t>main reforms: (</w:t>
      </w:r>
      <w:proofErr w:type="spellStart"/>
      <w:r w:rsidR="00A15B3A">
        <w:t>i</w:t>
      </w:r>
      <w:proofErr w:type="spellEnd"/>
      <w:r w:rsidR="00A15B3A">
        <w:t xml:space="preserve">) electronic billing, to promote a faster integration between subsystems and enable the tariff policy; (ii) bus terminal facilities, to improve route integration; (iii) priority for buses on the road system (bus rapid corridors), to create incentives for public transport use, and to improve mass-structural transit; and (iv) monitoring and control, to rationalize the system </w:t>
      </w:r>
      <w:r w:rsidR="00A15B3A">
        <w:fldChar w:fldCharType="begin"/>
      </w:r>
      <w:r w:rsidR="00A15B3A">
        <w:instrText xml:space="preserve"> ADDIN ZOTERO_ITEM CSL_CITATION {"citationID":"JQ38YoBn","properties":{"formattedCitation":"(S\\uc0\\u227{}o Paulo, 2004)","plainCitation":"(São Paulo, 2004)","noteIndex":0},"citationItems":[{"id":2376,"uris":["http://zotero.org/users/5602238/items/D4HG62UW"],"itemData":{"id":2376,"type":"book","event-place":"São Paulo","publisher":"Secretaria Municipal de Transportes","publisher-place":"São Paulo","title":"São Paulo interligado: o plano de transporte público urbano em implantação na gestão 2001-2004","author":[{"family":"São Paulo","given":""}],"issued":{"date-parts":[["2004"]]}}}],"schema":"https://github.com/citation-style-language/schema/raw/master/csl-citation.json"} </w:instrText>
      </w:r>
      <w:r w:rsidR="00A15B3A">
        <w:fldChar w:fldCharType="separate"/>
      </w:r>
      <w:r w:rsidR="00A15B3A" w:rsidRPr="00A15B3A">
        <w:rPr>
          <w:rFonts w:cs="Times New Roman"/>
        </w:rPr>
        <w:t>(São Paulo, 2004)</w:t>
      </w:r>
      <w:r w:rsidR="00A15B3A">
        <w:fldChar w:fldCharType="end"/>
      </w:r>
      <w:r w:rsidR="00A15B3A">
        <w:t xml:space="preserve">. All four areas were the focus of Marta </w:t>
      </w:r>
      <w:proofErr w:type="spellStart"/>
      <w:r w:rsidR="00A15B3A">
        <w:t>Suplicy’s</w:t>
      </w:r>
      <w:proofErr w:type="spellEnd"/>
      <w:r w:rsidR="00A15B3A">
        <w:t xml:space="preserve"> </w:t>
      </w:r>
      <w:r w:rsidR="009D22AE">
        <w:t>term</w:t>
      </w:r>
      <w:r w:rsidR="006610E6">
        <w:t xml:space="preserve"> </w:t>
      </w:r>
      <w:r w:rsidR="006610E6">
        <w:fldChar w:fldCharType="begin"/>
      </w:r>
      <w:r w:rsidR="006610E6">
        <w:instrText xml:space="preserve"> ADDIN ZOTERO_ITEM CSL_CITATION {"citationID":"z2ftpRpu","properties":{"formattedCitation":"(see Campos, 2018)","plainCitation":"(see Campos, 2018)","noteIndex":0},"citationItems":[{"id":2379,"uris":["http://zotero.org/users/5602238/items/57FUVDP7"],"itemData":{"id":2379,"type":"article-journal","abstract":"This article deals with the relations between public policy instruments and production practices of objects related to government action. It demonstrates that the materiality of the instruments built to make a public policy object legible to its operators has independent effects on the relations among private operators, bureaucrats, and the public sector. Based on the bus service provision policies in the city of São Paulo between the 1980s and the 2000s, it shows that transportation policies are structured around the dilemmas and conflicts associated with the production of reports and databases. This article suggests that everyday practices and instruments, especially those associated with the documentation of operational performance, are key dimensions to understand the limits and potential of both state capacities and the regulation of companies’ profits. Because of its materiality, documentation practices and document pathways, operate as devices and artifacts which structure opacities, asymmetries of information, and power struggles between the state bureaucrats and private companies in the construction of service legibility. This article concludes that the transition from the governance through analogue instruments to the governance through electronic instruments is characterized by more transparency and greater regulatory potential over the private sector.","container-title":"Brazilian Political Science Review","DOI":"10.1590/1981-3821201800010003","ISSN":"1981-3821","journalAbbreviation":"Bras. political sci. rev.","language":"en","note":"publisher: Associação Brasileira de Ciência Política","page":"1-26","source":"SciELO","title":"Public Policy Instruments and Their Impact: From Analogue to Electronic Government in the Bus Services of São Paulo","title-short":"Public Policy Instruments and Their Impact","volume":"12","author":[{"family":"Campos","given":"Marcos Lopes"}],"issued":{"date-parts":[["2018",5,3]]}},"label":"page","prefix":"see "}],"schema":"https://github.com/citation-style-language/schema/raw/master/csl-citation.json"} </w:instrText>
      </w:r>
      <w:r w:rsidR="006610E6">
        <w:fldChar w:fldCharType="separate"/>
      </w:r>
      <w:r w:rsidR="006610E6">
        <w:rPr>
          <w:noProof/>
        </w:rPr>
        <w:t>(see Campos, 2018)</w:t>
      </w:r>
      <w:r w:rsidR="006610E6">
        <w:fldChar w:fldCharType="end"/>
      </w:r>
      <w:r w:rsidR="00A15B3A">
        <w:t>.</w:t>
      </w:r>
    </w:p>
    <w:p w14:paraId="57611ACD" w14:textId="420A1729" w:rsidR="00F8390B" w:rsidRDefault="00F8390B" w:rsidP="00F8390B">
      <w:r>
        <w:t xml:space="preserve">Notice that the </w:t>
      </w:r>
      <w:r w:rsidR="009F180B">
        <w:t xml:space="preserve">contactless </w:t>
      </w:r>
      <w:r>
        <w:t xml:space="preserve">smart card </w:t>
      </w:r>
      <w:r w:rsidR="005A24A0">
        <w:t xml:space="preserve">(in Portuguese, </w:t>
      </w:r>
      <w:proofErr w:type="spellStart"/>
      <w:r w:rsidR="005A24A0">
        <w:t>Bilhete</w:t>
      </w:r>
      <w:proofErr w:type="spellEnd"/>
      <w:r w:rsidR="005A24A0">
        <w:t xml:space="preserve"> </w:t>
      </w:r>
      <w:proofErr w:type="spellStart"/>
      <w:r w:rsidR="005A24A0">
        <w:t>Único</w:t>
      </w:r>
      <w:proofErr w:type="spellEnd"/>
      <w:r w:rsidR="005A24A0">
        <w:t xml:space="preserve">) </w:t>
      </w:r>
      <w:r>
        <w:t>was a central part of a broader plan to improve the municipal public transport system</w:t>
      </w:r>
      <w:r w:rsidR="009F180B">
        <w:t xml:space="preserve"> </w:t>
      </w:r>
      <w:r w:rsidR="009F180B">
        <w:fldChar w:fldCharType="begin"/>
      </w:r>
      <w:r w:rsidR="009F180B">
        <w:instrText xml:space="preserve"> ADDIN ZOTERO_ITEM CSL_CITATION {"citationID":"SFeQHuWr","properties":{"formattedCitation":"(Campos, 2018)","plainCitation":"(Campos, 2018)","noteIndex":0},"citationItems":[{"id":2379,"uris":["http://zotero.org/users/5602238/items/57FUVDP7"],"itemData":{"id":2379,"type":"article-journal","abstract":"This article deals with the relations between public policy instruments and production practices of objects related to government action. It demonstrates that the materiality of the instruments built to make a public policy object legible to its operators has independent effects on the relations among private operators, bureaucrats, and the public sector. Based on the bus service provision policies in the city of São Paulo between the 1980s and the 2000s, it shows that transportation policies are structured around the dilemmas and conflicts associated with the production of reports and databases. This article suggests that everyday practices and instruments, especially those associated with the documentation of operational performance, are key dimensions to understand the limits and potential of both state capacities and the regulation of companies’ profits. Because of its materiality, documentation practices and document pathways, operate as devices and artifacts which structure opacities, asymmetries of information, and power struggles between the state bureaucrats and private companies in the construction of service legibility. This article concludes that the transition from the governance through analogue instruments to the governance through electronic instruments is characterized by more transparency and greater regulatory potential over the private sector.","container-title":"Brazilian Political Science Review","DOI":"10.1590/1981-3821201800010003","ISSN":"1981-3821","journalAbbreviation":"Bras. political sci. rev.","language":"en","note":"publisher: Associação Brasileira de Ciência Política","page":"1-26","source":"SciELO","title":"Public Policy Instruments and Their Impact: From Analogue to Electronic Government in the Bus Services of São Paulo","title-short":"Public Policy Instruments and Their Impact","volume":"12","author":[{"family":"Campos","given":"Marcos Lopes"}],"issued":{"date-parts":[["2018",5,3]]}}}],"schema":"https://github.com/citation-style-language/schema/raw/master/csl-citation.json"} </w:instrText>
      </w:r>
      <w:r w:rsidR="009F180B">
        <w:fldChar w:fldCharType="separate"/>
      </w:r>
      <w:r w:rsidR="009F180B">
        <w:rPr>
          <w:noProof/>
        </w:rPr>
        <w:t>(Campos, 2018)</w:t>
      </w:r>
      <w:r w:rsidR="009F180B">
        <w:fldChar w:fldCharType="end"/>
      </w:r>
      <w:r>
        <w:t xml:space="preserve">. Specifically, it was a technical solution to enable the new tariff policy and the main instrument of trip integration. Instead of waiting long hours to reach the destination </w:t>
      </w:r>
      <w:r w:rsidR="00D41876">
        <w:t>on</w:t>
      </w:r>
      <w:r>
        <w:t xml:space="preserve"> the same bus route, a commuter from the city’s outskirts could now improve travel time by combining different routes without paying extra fares. The system facilitated even subsystem commutes by making neighborhood-to-neighborhood connections easier. But the plan could only be accomplished using the new smart-card technology, as it was vital to allow for automatic fare exemptions when commuters would transfer between buses.</w:t>
      </w:r>
    </w:p>
    <w:p w14:paraId="24D84AC8" w14:textId="18275910" w:rsidR="006610E6" w:rsidRDefault="009D22AE" w:rsidP="00F8390B">
      <w:r>
        <w:t xml:space="preserve">The implementation was divided into four phases. </w:t>
      </w:r>
      <w:r w:rsidR="00076753">
        <w:t>First, i</w:t>
      </w:r>
      <w:r w:rsidR="005A24A0">
        <w:t xml:space="preserve">n 2002 and 2003, the municipality performed technical tests and finalized all legal arrangements. </w:t>
      </w:r>
      <w:r w:rsidR="00076753">
        <w:t>Second, b</w:t>
      </w:r>
      <w:r w:rsidR="005A24A0">
        <w:t xml:space="preserve">etween January and October of 2003, it provided smart cards to the elderly, who were already exempt from paying fares. This also functioned as the initial experimentation of the policy. </w:t>
      </w:r>
      <w:r w:rsidR="00076753">
        <w:t>Third, b</w:t>
      </w:r>
      <w:r w:rsidR="005A24A0">
        <w:t>etween February and May of 2004, the municipality partnered with schools to provide smart cards to its students. In São Paulo, students benefit from a subsidized fare, paying only half price. Simultaneously, it also partnered with many private companies</w:t>
      </w:r>
      <w:r w:rsidR="00076753">
        <w:t xml:space="preserve"> (e.g., Sodexo)</w:t>
      </w:r>
      <w:r w:rsidR="005A24A0">
        <w:t xml:space="preserve">, which already supplied </w:t>
      </w:r>
      <w:r w:rsidR="005A24A0">
        <w:lastRenderedPageBreak/>
        <w:t xml:space="preserve">“transportation vouchers” </w:t>
      </w:r>
      <w:r w:rsidR="006610E6">
        <w:t xml:space="preserve">(i.e., paper tickets) </w:t>
      </w:r>
      <w:r w:rsidR="005A24A0">
        <w:t xml:space="preserve">to their employees. Thus, the selected employers began distributing and charging the smart cards for formal workers. In Brazil, these vouchers are paid by the employer in exchange for tax incentives. </w:t>
      </w:r>
      <w:r w:rsidR="00076753">
        <w:t>Fourth</w:t>
      </w:r>
      <w:r w:rsidR="005A24A0">
        <w:t>, the broader public started receiving their cards after the program’s official launch in May 2004. Users had to register at one of the many offices located all over the city, or at partner institutions, such as</w:t>
      </w:r>
      <w:r w:rsidR="00076753">
        <w:t xml:space="preserve"> the </w:t>
      </w:r>
      <w:r w:rsidR="005A24A0">
        <w:t xml:space="preserve">Caixa </w:t>
      </w:r>
      <w:proofErr w:type="spellStart"/>
      <w:r w:rsidR="005A24A0">
        <w:t>Econômica</w:t>
      </w:r>
      <w:proofErr w:type="spellEnd"/>
      <w:r w:rsidR="005A24A0">
        <w:t xml:space="preserve"> Federal (a major public bank). </w:t>
      </w:r>
    </w:p>
    <w:p w14:paraId="2D6F7026" w14:textId="18C41478" w:rsidR="00A15B3A" w:rsidRDefault="005A24A0" w:rsidP="00F8390B">
      <w:r>
        <w:t xml:space="preserve">The government </w:t>
      </w:r>
      <w:r w:rsidR="00076753">
        <w:t>concluded the implementation</w:t>
      </w:r>
      <w:r>
        <w:t xml:space="preserve"> in February 2005</w:t>
      </w:r>
      <w:r w:rsidR="00076753">
        <w:t xml:space="preserve"> with millions of users</w:t>
      </w:r>
      <w:r w:rsidR="006610E6">
        <w:t xml:space="preserve">. This policy experiment has completely changed the </w:t>
      </w:r>
      <w:r w:rsidR="009F180B">
        <w:t xml:space="preserve">way citizens pay for public transportation in the city. In fact, the following mayoral administrations partnered with the state government to expand the smart card also to the subway and rail systems </w:t>
      </w:r>
      <w:r w:rsidR="009F180B">
        <w:fldChar w:fldCharType="begin"/>
      </w:r>
      <w:r w:rsidR="009F180B">
        <w:instrText xml:space="preserve"> ADDIN ZOTERO_ITEM CSL_CITATION {"citationID":"sWZpagGO","properties":{"formattedCitation":"(Campos, 2018)","plainCitation":"(Campos, 2018)","noteIndex":0},"citationItems":[{"id":2379,"uris":["http://zotero.org/users/5602238/items/57FUVDP7"],"itemData":{"id":2379,"type":"article-journal","abstract":"This article deals with the relations between public policy instruments and production practices of objects related to government action. It demonstrates that the materiality of the instruments built to make a public policy object legible to its operators has independent effects on the relations among private operators, bureaucrats, and the public sector. Based on the bus service provision policies in the city of São Paulo between the 1980s and the 2000s, it shows that transportation policies are structured around the dilemmas and conflicts associated with the production of reports and databases. This article suggests that everyday practices and instruments, especially those associated with the documentation of operational performance, are key dimensions to understand the limits and potential of both state capacities and the regulation of companies’ profits. Because of its materiality, documentation practices and document pathways, operate as devices and artifacts which structure opacities, asymmetries of information, and power struggles between the state bureaucrats and private companies in the construction of service legibility. This article concludes that the transition from the governance through analogue instruments to the governance through electronic instruments is characterized by more transparency and greater regulatory potential over the private sector.","container-title":"Brazilian Political Science Review","DOI":"10.1590/1981-3821201800010003","ISSN":"1981-3821","journalAbbreviation":"Bras. political sci. rev.","language":"en","note":"publisher: Associação Brasileira de Ciência Política","page":"1-26","source":"SciELO","title":"Public Policy Instruments and Their Impact: From Analogue to Electronic Government in the Bus Services of São Paulo","title-short":"Public Policy Instruments and Their Impact","volume":"12","author":[{"family":"Campos","given":"Marcos Lopes"}],"issued":{"date-parts":[["2018",5,3]]}}}],"schema":"https://github.com/citation-style-language/schema/raw/master/csl-citation.json"} </w:instrText>
      </w:r>
      <w:r w:rsidR="009F180B">
        <w:fldChar w:fldCharType="separate"/>
      </w:r>
      <w:r w:rsidR="009F180B">
        <w:rPr>
          <w:noProof/>
        </w:rPr>
        <w:t>(Campos, 2018)</w:t>
      </w:r>
      <w:r w:rsidR="009F180B">
        <w:fldChar w:fldCharType="end"/>
      </w:r>
      <w:r w:rsidR="009F180B">
        <w:t xml:space="preserve">. </w:t>
      </w:r>
      <w:r w:rsidR="006610E6">
        <w:t>T</w:t>
      </w:r>
      <w:r w:rsidR="00076753">
        <w:t>he</w:t>
      </w:r>
      <w:r w:rsidR="009F180B">
        <w:t xml:space="preserve"> contactless</w:t>
      </w:r>
      <w:r w:rsidR="00076753">
        <w:t xml:space="preserve"> smart card became the main payment </w:t>
      </w:r>
      <w:r w:rsidR="00D41876">
        <w:t>means</w:t>
      </w:r>
      <w:r w:rsidR="00076753">
        <w:t xml:space="preserve"> for frequent </w:t>
      </w:r>
      <w:r w:rsidR="009F180B">
        <w:t>public transportation users</w:t>
      </w:r>
      <w:r w:rsidR="00076753">
        <w:t xml:space="preserve"> in </w:t>
      </w:r>
      <w:r w:rsidR="009F180B">
        <w:t xml:space="preserve">Brazil’s biggest city. This was, then, replicated in other major municipalities, such as Rio de Janeiro </w:t>
      </w:r>
      <w:r w:rsidR="009F180B">
        <w:fldChar w:fldCharType="begin"/>
      </w:r>
      <w:r w:rsidR="004F2CDB">
        <w:instrText xml:space="preserve"> ADDIN ZOTERO_ITEM CSL_CITATION {"citationID":"Cb0eacnt","properties":{"formattedCitation":"(Neri, 2010)","plainCitation":"(Neri, 2010)","noteIndex":0},"citationItems":[{"id":2381,"uris":["http://zotero.org/users/5602238/items/IGL4LZVG"],"itemData":{"id":2381,"type":"book","event-place":"Rio de Janeiro","publisher":"FGV/CPS","publisher-place":"Rio de Janeiro","title":"Impactos do Bilhete Único Intermunicipal no Grande Rio","author":[{"family":"Neri","given":"Marcelo"}],"issued":{"date-parts":[["2010"]]}}}],"schema":"https://github.com/citation-style-language/schema/raw/master/csl-citation.json"} </w:instrText>
      </w:r>
      <w:r w:rsidR="009F180B">
        <w:fldChar w:fldCharType="separate"/>
      </w:r>
      <w:r w:rsidR="004F2CDB">
        <w:rPr>
          <w:noProof/>
        </w:rPr>
        <w:t>(Neri, 2010)</w:t>
      </w:r>
      <w:r w:rsidR="009F180B">
        <w:fldChar w:fldCharType="end"/>
      </w:r>
      <w:r w:rsidR="009F180B">
        <w:t>.</w:t>
      </w:r>
    </w:p>
    <w:p w14:paraId="2711AA80" w14:textId="531A7706" w:rsidR="000B330C" w:rsidRDefault="000B330C" w:rsidP="000B330C">
      <w:pPr>
        <w:pStyle w:val="Heading1"/>
      </w:pPr>
      <w:r>
        <w:t>Empirical Design</w:t>
      </w:r>
    </w:p>
    <w:p w14:paraId="56B94096" w14:textId="38CB0864" w:rsidR="00881641" w:rsidRDefault="001446EE" w:rsidP="00881641">
      <w:pPr>
        <w:pStyle w:val="Heading2"/>
      </w:pPr>
      <w:r>
        <w:t>Exogeneity Assumption</w:t>
      </w:r>
    </w:p>
    <w:p w14:paraId="0CB2FA8B" w14:textId="2767A2DD" w:rsidR="000B330C" w:rsidRDefault="00947076" w:rsidP="000B330C">
      <w:r>
        <w:t xml:space="preserve">Our strategy assumes the Smart Card Policy </w:t>
      </w:r>
      <w:r w:rsidR="00D41876">
        <w:t>is</w:t>
      </w:r>
      <w:r>
        <w:t xml:space="preserve"> an exogenous shock, not targeted to any specific group of voters or supporters. Despite affecting commuters all over the city, it did so in different intensities according to pre-existing networks of transport infrastructures that could not be objects of political manipulations (neither through legitimate </w:t>
      </w:r>
      <w:r w:rsidRPr="00947076">
        <w:t>policymaking nor through any other means in the short term). Such networks are heterogeneously spread across the city</w:t>
      </w:r>
      <w:r>
        <w:t xml:space="preserve"> of São Paulo</w:t>
      </w:r>
      <w:r w:rsidRPr="00947076">
        <w:t xml:space="preserve">. We take advantage of this regional variation to compare the incumbent performance between different city zones according to the intensity of the </w:t>
      </w:r>
      <w:r>
        <w:t>Smart Card</w:t>
      </w:r>
      <w:r w:rsidRPr="00947076">
        <w:t xml:space="preserve"> economic benefits. In other words, we test whether the incumbent performed better in zones where the policy benefits were higher.</w:t>
      </w:r>
    </w:p>
    <w:p w14:paraId="1A22ADF4" w14:textId="6CD4C06F" w:rsidR="00947076" w:rsidRDefault="00947076" w:rsidP="001C7556">
      <w:r>
        <w:t>Transport networks in São Paulo consist of bus lines, corridors and terminals, train and train stations, and subway and subway stations. Consider the pre-treatment transport networks as given. In some city zones, bus lines are scarce, and commuters must rely on many bus transfers to reach their destinations</w:t>
      </w:r>
      <w:r w:rsidR="001C7556">
        <w:t>—to illustrate, let us call it “Zone A</w:t>
      </w:r>
      <w:r>
        <w:t>.</w:t>
      </w:r>
      <w:r w:rsidR="001C7556">
        <w:t>”</w:t>
      </w:r>
      <w:r>
        <w:t xml:space="preserve"> In others</w:t>
      </w:r>
      <w:r w:rsidR="001C7556">
        <w:t xml:space="preserve"> (“Zone B”)</w:t>
      </w:r>
      <w:r>
        <w:t xml:space="preserve">, commuters are better connected. Because the fare exemptions introduced by the Smart Card treatment are only available to commuters who take one or more bus transfers, </w:t>
      </w:r>
      <w:r w:rsidR="001C7556">
        <w:t xml:space="preserve">policy treatment intensity is a </w:t>
      </w:r>
      <w:r w:rsidR="001C7556">
        <w:lastRenderedPageBreak/>
        <w:t xml:space="preserve">function of the pre-existing transport networks. Thus, to exemplify, the Smart Card treatment intensity is far greater in Zone A than in Zone B. </w:t>
      </w:r>
      <w:r>
        <w:t xml:space="preserve">The Smart Card treatment, then, </w:t>
      </w:r>
      <w:r w:rsidR="001C7556">
        <w:t>derives</w:t>
      </w:r>
      <w:r>
        <w:t xml:space="preserve"> mainly from the availability of bus lines (or related infrastructure).</w:t>
      </w:r>
    </w:p>
    <w:p w14:paraId="3F7819F8" w14:textId="1B84CA38" w:rsidR="00947076" w:rsidRDefault="00947076" w:rsidP="00947076">
      <w:r>
        <w:t xml:space="preserve">We argue the smart-card policy addressed technical issues of the municipality’s new mobility plan. The incumbent mayor could not intentionally use the smart card to target specific city areas that could render more votes, as the economic effects of the policy were subject to the pre-existing bus network infrastructure. Therefore, we designed our empirical strategy in the following way: for each city zone, we take the difference </w:t>
      </w:r>
      <w:r w:rsidR="00D41876">
        <w:t>in</w:t>
      </w:r>
      <w:r>
        <w:t xml:space="preserve"> the incumbent’s vote share between her initial and subsequent elections as our dependent variable. That is, we measured the policy impact on the growth of the incumbent’s vote share between taking office (baseline) and running again four years later. Our approach is like a difference-in-differences technique, except we only take the first difference since we do not define treated and control units; instead, we only have treatment intensities.</w:t>
      </w:r>
    </w:p>
    <w:p w14:paraId="10773006" w14:textId="6D98BF7A" w:rsidR="00947076" w:rsidRDefault="00947076" w:rsidP="00947076">
      <w:r>
        <w:t xml:space="preserve">Accordingly, we can only claim causality to the extent that the policy affects some zones more than others in the period after the policy implementation while assuming previous parallel trends between zones. However, due to </w:t>
      </w:r>
      <w:r w:rsidR="00D41876">
        <w:t xml:space="preserve">a </w:t>
      </w:r>
      <w:r>
        <w:t>lack of data availability, we could not test similar trends from elections before 2000 (our baseline election). To at least partially account for parallel trends, we include the incumbent’s vote share in the baseline election as another explanatory variable since we want to control for pre-existing voting tendencies of each zone.</w:t>
      </w:r>
    </w:p>
    <w:p w14:paraId="5C107D2E" w14:textId="1753DC5F" w:rsidR="00947076" w:rsidRDefault="00947076" w:rsidP="00947076">
      <w:r>
        <w:t xml:space="preserve">The exogeneity of the smart card depends on it being uncorrelated to other policy decisions from the mayor or regional voting trends. However, the </w:t>
      </w:r>
      <w:r w:rsidR="001C7556">
        <w:t>S</w:t>
      </w:r>
      <w:r>
        <w:t xml:space="preserve">mart </w:t>
      </w:r>
      <w:r w:rsidR="001C7556">
        <w:t>C</w:t>
      </w:r>
      <w:r>
        <w:t xml:space="preserve">ard policy could correlate to confounding factors that also explain the incumbents’ performance. For instance, the Bus Rapid System (BRT) was implemented during the same mandate as the </w:t>
      </w:r>
      <w:r w:rsidR="001C7556">
        <w:t>S</w:t>
      </w:r>
      <w:r>
        <w:t xml:space="preserve">mart </w:t>
      </w:r>
      <w:r w:rsidR="001C7556">
        <w:t>C</w:t>
      </w:r>
      <w:r>
        <w:t xml:space="preserve">ard and could potentially render votes. Additionally, in terms of voting trends, it is well documented that the incumbent labor party experienced a substantial expansion in São Paulo’s peripheries during the </w:t>
      </w:r>
      <w:r w:rsidR="001C7556">
        <w:t>19</w:t>
      </w:r>
      <w:r>
        <w:t xml:space="preserve">90s and early </w:t>
      </w:r>
      <w:r w:rsidR="001C7556">
        <w:t>20</w:t>
      </w:r>
      <w:r>
        <w:t xml:space="preserve">00s </w:t>
      </w:r>
      <w:r w:rsidR="001C7556">
        <w:fldChar w:fldCharType="begin"/>
      </w:r>
      <w:r w:rsidR="001C7556">
        <w:instrText xml:space="preserve"> ADDIN ZOTERO_ITEM CSL_CITATION {"citationID":"uh10lNFm","properties":{"formattedCitation":"(Limongi &amp; Mesquita, 2008)","plainCitation":"(Limongi &amp; Mesquita, 2008)","noteIndex":0},"citationItems":[{"id":2373,"uris":["http://zotero.org/users/5602238/items/PH4AL9DU"],"itemData":{"id":2373,"type":"article-journal","container-title":"Novos Estudos CEBRAP","page":"49-67","title":"Estratégia partidária e preferência dos eleitores: As eleições municipais em São Paulo entre 1985 e 2004","volume":"81","author":[{"family":"Limongi","given":"Fernando"},{"family":"Mesquita","given":"Lara"}],"issued":{"date-parts":[["2008"]]}}}],"schema":"https://github.com/citation-style-language/schema/raw/master/csl-citation.json"} </w:instrText>
      </w:r>
      <w:r w:rsidR="001C7556">
        <w:fldChar w:fldCharType="separate"/>
      </w:r>
      <w:r w:rsidR="001C7556">
        <w:rPr>
          <w:noProof/>
        </w:rPr>
        <w:t>(Limongi &amp; Mesquita, 2008)</w:t>
      </w:r>
      <w:r w:rsidR="001C7556">
        <w:fldChar w:fldCharType="end"/>
      </w:r>
      <w:r>
        <w:t xml:space="preserve">. Therefore, our models should control confounding factors and interactions between the </w:t>
      </w:r>
      <w:r w:rsidR="001C7556">
        <w:t>S</w:t>
      </w:r>
      <w:r>
        <w:t xml:space="preserve">mart </w:t>
      </w:r>
      <w:r w:rsidR="001C7556">
        <w:t>C</w:t>
      </w:r>
      <w:r>
        <w:t xml:space="preserve">ard and other relevant municipal policy variables. Our strategy is straightforward: we run a series of OLS regressions in which we add controls and interaction terms to check to what extent the marginal effect of the smart card </w:t>
      </w:r>
      <w:r>
        <w:lastRenderedPageBreak/>
        <w:t xml:space="preserve">remains stable. The stability of the regression coefficient of interest across different models would </w:t>
      </w:r>
      <w:r w:rsidR="001C7556">
        <w:t>support the</w:t>
      </w:r>
      <w:r>
        <w:t xml:space="preserve"> exogeneity assumption.</w:t>
      </w:r>
    </w:p>
    <w:p w14:paraId="07E3E4B7" w14:textId="19472EBA" w:rsidR="001446EE" w:rsidRDefault="001446EE" w:rsidP="001446EE">
      <w:pPr>
        <w:pStyle w:val="Heading2"/>
      </w:pPr>
      <w:r>
        <w:t>Data</w:t>
      </w:r>
    </w:p>
    <w:p w14:paraId="093B1B55" w14:textId="7C28C389" w:rsidR="001446EE" w:rsidRDefault="001446EE" w:rsidP="001446EE">
      <w:r>
        <w:t xml:space="preserve">To regionally evaluate voting behavior and transport patterns, we merge two databases. The first is the electoral database compiled by </w:t>
      </w:r>
      <w:r w:rsidR="00726008">
        <w:t xml:space="preserve">the </w:t>
      </w:r>
      <w:r w:rsidR="00726008" w:rsidRPr="00726008">
        <w:t xml:space="preserve">Centro de Política e Economia do </w:t>
      </w:r>
      <w:proofErr w:type="spellStart"/>
      <w:r w:rsidR="00726008" w:rsidRPr="00726008">
        <w:t>Setor</w:t>
      </w:r>
      <w:proofErr w:type="spellEnd"/>
      <w:r w:rsidR="00726008" w:rsidRPr="00726008">
        <w:t xml:space="preserve"> </w:t>
      </w:r>
      <w:proofErr w:type="spellStart"/>
      <w:r w:rsidR="00726008" w:rsidRPr="00726008">
        <w:t>Público</w:t>
      </w:r>
      <w:proofErr w:type="spellEnd"/>
      <w:r w:rsidR="00726008" w:rsidRPr="00726008">
        <w:t xml:space="preserve"> (</w:t>
      </w:r>
      <w:r w:rsidR="00726008">
        <w:t>FGV CEPESP</w:t>
      </w:r>
      <w:r w:rsidR="00726008" w:rsidRPr="00726008">
        <w:t>)</w:t>
      </w:r>
      <w:r>
        <w:t xml:space="preserve"> based on information from Brazil’s Federal Electoral Court (in Portuguese, Tribunal Superior </w:t>
      </w:r>
      <w:proofErr w:type="spellStart"/>
      <w:r>
        <w:t>Eleitoral</w:t>
      </w:r>
      <w:proofErr w:type="spellEnd"/>
      <w:r>
        <w:t xml:space="preserve"> or TSE). The second is the Origin and Destiny Survey (OD) from 1997—a study conducted by São Paulo’s subway company every 10 years. In addition to the primary data frames, we also collected complementary information to build our control variables. We gathered regional data from the Demographic Census from 2000, and </w:t>
      </w:r>
      <w:r w:rsidR="00D41876">
        <w:t>municipal-level</w:t>
      </w:r>
      <w:r>
        <w:t xml:space="preserve"> information from specific policies implemented between 2001 and May 2004. In this section, we describe in detail the data compilation.</w:t>
      </w:r>
    </w:p>
    <w:p w14:paraId="08C718D7" w14:textId="745AC798" w:rsidR="001446EE" w:rsidRDefault="00726008" w:rsidP="001446EE">
      <w:r w:rsidRPr="005A56A2">
        <w:t xml:space="preserve">To calculate </w:t>
      </w:r>
      <w:r w:rsidR="00D41876">
        <w:t xml:space="preserve">the </w:t>
      </w:r>
      <w:r w:rsidRPr="005A56A2">
        <w:rPr>
          <w:i/>
          <w:iCs/>
        </w:rPr>
        <w:t>treatment variable</w:t>
      </w:r>
      <w:r w:rsidRPr="005A56A2">
        <w:t>, we rely on the OD Survey. This initiative</w:t>
      </w:r>
      <w:r w:rsidR="001446EE" w:rsidRPr="005A56A2">
        <w:t xml:space="preserve"> </w:t>
      </w:r>
      <w:r w:rsidR="00D41876">
        <w:t>has interviewed</w:t>
      </w:r>
      <w:r w:rsidR="001446EE" w:rsidRPr="005A56A2">
        <w:t xml:space="preserve"> São Paulo metropolitan area residents since 1967. In each </w:t>
      </w:r>
      <w:r w:rsidR="00D41876">
        <w:t>interviewee’s</w:t>
      </w:r>
      <w:r w:rsidR="001446EE" w:rsidRPr="005A56A2">
        <w:t xml:space="preserve"> household, researchers ask questions about the previous weekday trips and social-economic questions. Each observation represents characteristics of a trip taken by someone, such as length and distance, modals used, and zone of origin and destination. Because the database reports information on the zone in which a person lives, it is possible to aggregate individuals’ data at a regional level. We defined zone boundaries according to demographics and technical transport criteria.</w:t>
      </w:r>
      <w:r w:rsidRPr="005A56A2">
        <w:t xml:space="preserve"> We refer to them as “OD Zones.”</w:t>
      </w:r>
    </w:p>
    <w:p w14:paraId="70B3F8DC" w14:textId="7B8F66CA" w:rsidR="005A56A2" w:rsidRDefault="00135716" w:rsidP="001446EE">
      <w:r>
        <w:t xml:space="preserve">We, then, built the treatment variable as follows. As the available data (OD Research) does not identify Smart Card users, we consider the number of bus transfers taken in a trip as a proxy to Smart Card use at the baseline. A trip with one or more bus transfers is a trip from a potential card user. Treatment intensity will be greater or lower depending on how many people will benefit from the policy. Thus, our treatment variable is the number of </w:t>
      </w:r>
      <w:r w:rsidR="005A56A2">
        <w:t>S</w:t>
      </w:r>
      <w:r>
        <w:t xml:space="preserve">mart </w:t>
      </w:r>
      <w:r w:rsidR="005A56A2">
        <w:t>C</w:t>
      </w:r>
      <w:r>
        <w:t xml:space="preserve">ard </w:t>
      </w:r>
      <w:r w:rsidR="005A56A2">
        <w:t xml:space="preserve">potential </w:t>
      </w:r>
      <w:r>
        <w:t xml:space="preserve">beneficiaries (bus riders that take one or more transfers) with voting age (16 and above) over the total amount of people with voting age in that zone. </w:t>
      </w:r>
      <w:r w:rsidR="005A56A2">
        <w:t>This equates to the proportion of potential users when the policy was introduced within a specific OD Zone.</w:t>
      </w:r>
    </w:p>
    <w:p w14:paraId="3D9A82B4" w14:textId="16303C15" w:rsidR="00135716" w:rsidRPr="005A56A2" w:rsidRDefault="00135716" w:rsidP="001446EE">
      <w:r>
        <w:t xml:space="preserve">Formally, the </w:t>
      </w:r>
      <w:r w:rsidR="005A56A2">
        <w:t xml:space="preserve">treatment </w:t>
      </w:r>
      <w:r>
        <w:t xml:space="preserve">variable is </w:t>
      </w:r>
      <w:r w:rsidR="005A56A2">
        <w:t xml:space="preserve">coded </w:t>
      </w:r>
      <w:r>
        <w:t>as follows</w:t>
      </w:r>
      <w:r w:rsidR="005A56A2">
        <w:t xml:space="preserve"> (see Equation 2), where </w:t>
      </w:r>
      <w:r w:rsidR="005A56A2">
        <w:rPr>
          <w:i/>
          <w:iCs/>
        </w:rPr>
        <w:t xml:space="preserve">x </w:t>
      </w:r>
      <w:r w:rsidR="005A56A2">
        <w:t xml:space="preserve">is the OD Zone of residence of individual </w:t>
      </w:r>
      <w:proofErr w:type="spellStart"/>
      <w:r w:rsidR="005A56A2">
        <w:rPr>
          <w:i/>
          <w:iCs/>
        </w:rPr>
        <w:t>i</w:t>
      </w:r>
      <w:proofErr w:type="spellEnd"/>
      <w:r w:rsidR="005A56A2">
        <w:t xml:space="preserve"> (a resident who is 16 years old or above, and therefore eligible to vote). </w:t>
      </w:r>
      <w:r w:rsidR="005A56A2" w:rsidRPr="005A56A2">
        <w:lastRenderedPageBreak/>
        <w:t>For this extensive margin variable, the greater the number of residents who are smart card beneficiaries, the greater the value of the variable.</w:t>
      </w:r>
    </w:p>
    <w:p w14:paraId="231D04ED" w14:textId="77777777" w:rsidR="00726008" w:rsidRDefault="00726008" w:rsidP="001446E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7"/>
        <w:gridCol w:w="1033"/>
      </w:tblGrid>
      <w:tr w:rsidR="00135716" w14:paraId="5F0E6618" w14:textId="77777777" w:rsidTr="00C328E0">
        <w:tc>
          <w:tcPr>
            <w:tcW w:w="8642" w:type="dxa"/>
          </w:tcPr>
          <w:p w14:paraId="0CE32775" w14:textId="23CB099B" w:rsidR="00135716" w:rsidRPr="005A56A2" w:rsidRDefault="00000000" w:rsidP="00C328E0">
            <w:pPr>
              <w:pStyle w:val="Table"/>
              <w:rPr>
                <w:highlight w:val="yellow"/>
              </w:rPr>
            </w:pPr>
            <m:oMathPara>
              <m:oMath>
                <m:sSubSup>
                  <m:sSubSupPr>
                    <m:ctrlPr>
                      <w:rPr>
                        <w:rFonts w:ascii="Cambria Math" w:hAnsi="Cambria Math"/>
                        <w:i/>
                        <w:highlight w:val="yellow"/>
                      </w:rPr>
                    </m:ctrlPr>
                  </m:sSubSupPr>
                  <m:e>
                    <m:r>
                      <w:rPr>
                        <w:rFonts w:ascii="Cambria Math" w:hAnsi="Cambria Math"/>
                        <w:highlight w:val="yellow"/>
                      </w:rPr>
                      <m:t>SmartCard</m:t>
                    </m:r>
                  </m:e>
                  <m:sub>
                    <m:r>
                      <w:rPr>
                        <w:rFonts w:ascii="Cambria Math" w:hAnsi="Cambria Math"/>
                        <w:highlight w:val="yellow"/>
                      </w:rPr>
                      <m:t>x</m:t>
                    </m:r>
                  </m:sub>
                  <m:sup>
                    <m:r>
                      <w:rPr>
                        <w:rFonts w:ascii="Cambria Math" w:hAnsi="Cambria Math"/>
                        <w:highlight w:val="yellow"/>
                      </w:rPr>
                      <m:t>1997</m:t>
                    </m:r>
                  </m:sup>
                </m:sSubSup>
                <m:r>
                  <w:rPr>
                    <w:rFonts w:ascii="Cambria Math" w:hAnsi="Cambria Math"/>
                    <w:highlight w:val="yellow"/>
                  </w:rPr>
                  <m:t>=</m:t>
                </m:r>
                <m:nary>
                  <m:naryPr>
                    <m:chr m:val="∑"/>
                    <m:limLoc m:val="undOvr"/>
                    <m:ctrlPr>
                      <w:rPr>
                        <w:rFonts w:ascii="Cambria Math" w:hAnsi="Cambria Math"/>
                        <w:i/>
                        <w:highlight w:val="yellow"/>
                      </w:rPr>
                    </m:ctrlPr>
                  </m:naryPr>
                  <m:sub>
                    <m:r>
                      <w:rPr>
                        <w:rFonts w:ascii="Cambria Math" w:hAnsi="Cambria Math"/>
                        <w:highlight w:val="yellow"/>
                      </w:rPr>
                      <m:t>i=x</m:t>
                    </m:r>
                  </m:sub>
                  <m:sup>
                    <m:r>
                      <w:rPr>
                        <w:rFonts w:ascii="Cambria Math" w:hAnsi="Cambria Math"/>
                        <w:highlight w:val="yellow"/>
                      </w:rPr>
                      <m:t>i</m:t>
                    </m:r>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PotentialUsers</m:t>
                            </m:r>
                          </m:e>
                          <m:sub>
                            <m:r>
                              <w:rPr>
                                <w:rFonts w:ascii="Cambria Math" w:hAnsi="Cambria Math"/>
                                <w:highlight w:val="yellow"/>
                              </w:rPr>
                              <m:t>i</m:t>
                            </m:r>
                          </m:sub>
                        </m:sSub>
                      </m:num>
                      <m:den>
                        <m:sSub>
                          <m:sSubPr>
                            <m:ctrlPr>
                              <w:rPr>
                                <w:rFonts w:ascii="Cambria Math" w:hAnsi="Cambria Math"/>
                                <w:i/>
                                <w:highlight w:val="yellow"/>
                              </w:rPr>
                            </m:ctrlPr>
                          </m:sSubPr>
                          <m:e>
                            <m:r>
                              <w:rPr>
                                <w:rFonts w:ascii="Cambria Math" w:hAnsi="Cambria Math"/>
                                <w:highlight w:val="yellow"/>
                              </w:rPr>
                              <m:t>AllVoters</m:t>
                            </m:r>
                          </m:e>
                          <m:sub>
                            <m:r>
                              <w:rPr>
                                <w:rFonts w:ascii="Cambria Math" w:hAnsi="Cambria Math"/>
                                <w:highlight w:val="yellow"/>
                              </w:rPr>
                              <m:t>i</m:t>
                            </m:r>
                          </m:sub>
                        </m:sSub>
                      </m:den>
                    </m:f>
                  </m:e>
                </m:nary>
              </m:oMath>
            </m:oMathPara>
          </w:p>
        </w:tc>
        <w:tc>
          <w:tcPr>
            <w:tcW w:w="708" w:type="dxa"/>
          </w:tcPr>
          <w:p w14:paraId="016D742C" w14:textId="77777777" w:rsidR="00135716" w:rsidRPr="005A56A2" w:rsidRDefault="00135716" w:rsidP="00C328E0">
            <w:pPr>
              <w:pStyle w:val="Table"/>
              <w:rPr>
                <w:highlight w:val="yellow"/>
              </w:rPr>
            </w:pPr>
            <w:r w:rsidRPr="005A56A2">
              <w:rPr>
                <w:highlight w:val="yellow"/>
              </w:rPr>
              <w:t>(</w:t>
            </w:r>
            <w:commentRangeStart w:id="0"/>
            <w:r w:rsidRPr="005A56A2">
              <w:rPr>
                <w:highlight w:val="yellow"/>
              </w:rPr>
              <w:t>2)</w:t>
            </w:r>
            <w:commentRangeEnd w:id="0"/>
            <w:r w:rsidR="00036C48">
              <w:rPr>
                <w:rStyle w:val="CommentReference"/>
              </w:rPr>
              <w:commentReference w:id="0"/>
            </w:r>
          </w:p>
        </w:tc>
      </w:tr>
    </w:tbl>
    <w:p w14:paraId="36C70A4E" w14:textId="77777777" w:rsidR="00135716" w:rsidRDefault="00135716" w:rsidP="001446EE"/>
    <w:p w14:paraId="3A4DDA91" w14:textId="291A43E4" w:rsidR="00726008" w:rsidRDefault="00726008" w:rsidP="001446EE">
      <w:r>
        <w:t xml:space="preserve">Our </w:t>
      </w:r>
      <w:r w:rsidRPr="00726008">
        <w:rPr>
          <w:i/>
          <w:iCs/>
        </w:rPr>
        <w:t>dependent variable</w:t>
      </w:r>
      <w:r>
        <w:t xml:space="preserve"> captures the variation in the number of votes for Marta </w:t>
      </w:r>
      <w:proofErr w:type="spellStart"/>
      <w:r>
        <w:t>Suplicy</w:t>
      </w:r>
      <w:proofErr w:type="spellEnd"/>
      <w:r>
        <w:t xml:space="preserve"> (the incumbent mayor) from 2000 (when she was elected for the first time) to 2004 (when she ran for reelection) in each OD Zone. </w:t>
      </w:r>
      <w:r w:rsidR="001446EE">
        <w:t xml:space="preserve">Although TSE does provide regional data at the municipal level, the electoral zones are very different and more extensive than OD </w:t>
      </w:r>
      <w:r>
        <w:t>Z</w:t>
      </w:r>
      <w:r w:rsidR="001446EE">
        <w:t xml:space="preserve">ones. What we needed instead was more granular vote information, such as polling place data. However, TSE does not gather information aggregated by polling place, only by electoral zone or the ballot box. Thus, we use an aggregation of the TSE ballot box information by polling place (with geo-references) made by the </w:t>
      </w:r>
      <w:r>
        <w:t xml:space="preserve">Centro de </w:t>
      </w:r>
      <w:proofErr w:type="spellStart"/>
      <w:r>
        <w:t>Estudos</w:t>
      </w:r>
      <w:proofErr w:type="spellEnd"/>
      <w:r>
        <w:t xml:space="preserve"> da </w:t>
      </w:r>
      <w:proofErr w:type="spellStart"/>
      <w:r>
        <w:t>Metrópole</w:t>
      </w:r>
      <w:proofErr w:type="spellEnd"/>
      <w:r w:rsidR="001446EE">
        <w:t xml:space="preserve"> (</w:t>
      </w:r>
      <w:r>
        <w:t>USP CEM</w:t>
      </w:r>
      <w:r w:rsidR="001446EE">
        <w:t xml:space="preserve">). With polling place votes at hand, we simply sum them up at the OD </w:t>
      </w:r>
      <w:r>
        <w:t>Z</w:t>
      </w:r>
      <w:r w:rsidR="001446EE">
        <w:t>one level.</w:t>
      </w:r>
      <w:r>
        <w:t xml:space="preserve"> We, then, calculate the difference between the votes obtained in 2000 and 2004.</w:t>
      </w:r>
    </w:p>
    <w:p w14:paraId="6F07154C" w14:textId="0D9F0AE2" w:rsidR="001446EE" w:rsidRDefault="001446EE" w:rsidP="001446EE">
      <w:r>
        <w:t>We use</w:t>
      </w:r>
      <w:r w:rsidR="00135716">
        <w:t xml:space="preserve"> a series of</w:t>
      </w:r>
      <w:r>
        <w:t xml:space="preserve"> </w:t>
      </w:r>
      <w:r w:rsidRPr="00135716">
        <w:rPr>
          <w:i/>
          <w:iCs/>
        </w:rPr>
        <w:t>control variables</w:t>
      </w:r>
      <w:r>
        <w:t xml:space="preserve"> from two different sources: the Brazilian 2000 Demographic Census and public policy municipal data from the </w:t>
      </w:r>
      <w:proofErr w:type="spellStart"/>
      <w:r>
        <w:t>GeoSampa</w:t>
      </w:r>
      <w:proofErr w:type="spellEnd"/>
      <w:r>
        <w:t xml:space="preserve"> platform.  We merged Census and OD Surveys similarly to the electoral variables, except that census data is aggregated in census blocks, i.e., not dots but polygons in a shapefile. In this case, we also had to make the boundaries of census blocks and OD </w:t>
      </w:r>
      <w:r w:rsidR="00726008">
        <w:t>Z</w:t>
      </w:r>
      <w:r>
        <w:t>ones compatible with one another. The next step</w:t>
      </w:r>
      <w:r w:rsidR="00726008">
        <w:t>,</w:t>
      </w:r>
      <w:r>
        <w:t xml:space="preserve"> then</w:t>
      </w:r>
      <w:r w:rsidR="00726008">
        <w:t>,</w:t>
      </w:r>
      <w:r>
        <w:t xml:space="preserve"> was to</w:t>
      </w:r>
      <w:r w:rsidR="00726008">
        <w:t xml:space="preserve"> </w:t>
      </w:r>
      <w:r>
        <w:t>aggregate census information within each OD zone.</w:t>
      </w:r>
    </w:p>
    <w:p w14:paraId="7DC8FB84" w14:textId="4B65A9F0" w:rsidR="001446EE" w:rsidRDefault="001446EE" w:rsidP="001446EE">
      <w:r>
        <w:t>Other than demographics, our control variables include proximity to transport amenities and to one of PT’s most prominent policies from that period, the Unified Educational Centers (</w:t>
      </w:r>
      <w:r w:rsidR="00726008">
        <w:t xml:space="preserve">in Portuguese, Centro </w:t>
      </w:r>
      <w:proofErr w:type="spellStart"/>
      <w:r w:rsidR="00726008">
        <w:t>Educacional</w:t>
      </w:r>
      <w:proofErr w:type="spellEnd"/>
      <w:r w:rsidR="00726008">
        <w:t xml:space="preserve"> </w:t>
      </w:r>
      <w:proofErr w:type="spellStart"/>
      <w:r w:rsidR="00726008">
        <w:t>Unificado</w:t>
      </w:r>
      <w:proofErr w:type="spellEnd"/>
      <w:r w:rsidR="00726008">
        <w:t xml:space="preserve"> or </w:t>
      </w:r>
      <w:r>
        <w:t xml:space="preserve">CEU). The city hall platform </w:t>
      </w:r>
      <w:proofErr w:type="spellStart"/>
      <w:r>
        <w:t>GeoSampa</w:t>
      </w:r>
      <w:proofErr w:type="spellEnd"/>
      <w:r>
        <w:t xml:space="preserve"> has plenty of information about public facilities, such as hospitals, schools, and transport infrastructure. The education database has the geographic coordinates of all CEU locations, making it easy to merge with the OD and the elections data. The CEU policy is a classic example of pork-barrel politics in the sense that PT’s administration could target these education facilities to whatever public they wanted. CEUs are large facilities that work simultaneously as public schools and cultural </w:t>
      </w:r>
      <w:r>
        <w:lastRenderedPageBreak/>
        <w:t>and sports centers open for the people, including theaters, swimming pools, and indoor soccer courts. Because PT advertised the CEU policy intensively, we include it in our regressions as a dummy variable that indicates whether a zone’s centroid is closer than 1.0 kilometers from a CEU facility</w:t>
      </w:r>
      <w:r w:rsidR="00135716">
        <w:t xml:space="preserve">. This is the typical walking distance for education and cultural amenities in Brazil </w:t>
      </w:r>
      <w:r w:rsidR="00135716">
        <w:fldChar w:fldCharType="begin"/>
      </w:r>
      <w:r w:rsidR="00135716">
        <w:instrText xml:space="preserve"> ADDIN ZOTERO_ITEM CSL_CITATION {"citationID":"hi7a2Idb","properties":{"formattedCitation":"(Neves, 2015)","plainCitation":"(Neves, 2015)","noteIndex":0},"citationItems":[{"id":2374,"uris":["http://zotero.org/users/5602238/items/MAZ6QT27"],"itemData":{"id":2374,"type":"article-journal","container-title":"Cadernos Metrópole","page":"503-516","title":"Planejamento de equipamentos urbanos comunitários de educação: algumas reflexões","volume":"17","author":[{"family":"Neves","given":"Fernando H."}],"issued":{"date-parts":[["2015"]]}}}],"schema":"https://github.com/citation-style-language/schema/raw/master/csl-citation.json"} </w:instrText>
      </w:r>
      <w:r w:rsidR="00135716">
        <w:fldChar w:fldCharType="separate"/>
      </w:r>
      <w:r w:rsidR="00135716">
        <w:rPr>
          <w:noProof/>
        </w:rPr>
        <w:t>(Neves, 2015)</w:t>
      </w:r>
      <w:r w:rsidR="00135716">
        <w:fldChar w:fldCharType="end"/>
      </w:r>
      <w:r>
        <w:t>.</w:t>
      </w:r>
      <w:r w:rsidR="00135716">
        <w:t xml:space="preserve"> We also tested dummies that use different distance criteria, and the results do not substantially change until a radius distance of 1.5 km.</w:t>
      </w:r>
    </w:p>
    <w:p w14:paraId="06183CD7" w14:textId="6FCAA416" w:rsidR="001446EE" w:rsidRDefault="001446EE" w:rsidP="001446EE">
      <w:r>
        <w:t xml:space="preserve">From the </w:t>
      </w:r>
      <w:proofErr w:type="spellStart"/>
      <w:r>
        <w:t>GeoSampa</w:t>
      </w:r>
      <w:proofErr w:type="spellEnd"/>
      <w:r>
        <w:t xml:space="preserve"> platform, we also extracted available data on the transport infrastructure that was either part of the mayor’s new mobility plan or from the governor’s rail network (train and subway). From the new mobility plan, we could only include the distance to bus corridors of the BRT system</w:t>
      </w:r>
      <w:r w:rsidR="00135716">
        <w:t>—</w:t>
      </w:r>
      <w:r>
        <w:t>a</w:t>
      </w:r>
      <w:r w:rsidR="00135716">
        <w:t xml:space="preserve"> salient </w:t>
      </w:r>
      <w:r>
        <w:t xml:space="preserve">policy of PT’s administration. </w:t>
      </w:r>
      <w:r w:rsidR="00135716">
        <w:t>While</w:t>
      </w:r>
      <w:r>
        <w:t xml:space="preserve"> the rail system is not a policy under the mayor’s jurisdiction</w:t>
      </w:r>
      <w:r w:rsidR="00135716">
        <w:t xml:space="preserve"> (this is a state-level policy)</w:t>
      </w:r>
      <w:r>
        <w:t>, misattribution of responsibilities by voters could be a potential source of confusion</w:t>
      </w:r>
      <w:r w:rsidR="00135716">
        <w:t>.</w:t>
      </w:r>
      <w:r>
        <w:t xml:space="preserve"> </w:t>
      </w:r>
      <w:r w:rsidR="00135716">
        <w:t>W</w:t>
      </w:r>
      <w:r>
        <w:t>e</w:t>
      </w:r>
      <w:r w:rsidR="00135716">
        <w:t>, thus,</w:t>
      </w:r>
      <w:r>
        <w:t xml:space="preserve"> account for it. We take train and subway rails as part of the same </w:t>
      </w:r>
      <w:proofErr w:type="gramStart"/>
      <w:r>
        <w:t>network, and</w:t>
      </w:r>
      <w:proofErr w:type="gramEnd"/>
      <w:r>
        <w:t xml:space="preserve"> build a variable that is the distance from the OD </w:t>
      </w:r>
      <w:r w:rsidR="00135716">
        <w:t>Z</w:t>
      </w:r>
      <w:r>
        <w:t>ones centroids to the nearest rail. We do the same with bus corridors and create a separate variable that measures the distance from the zone’s centroids. All distances are in meters.</w:t>
      </w:r>
    </w:p>
    <w:p w14:paraId="0F246E68" w14:textId="50441BF9" w:rsidR="001446EE" w:rsidRPr="001446EE" w:rsidRDefault="001446EE" w:rsidP="001446EE">
      <w:r>
        <w:t xml:space="preserve">Because the </w:t>
      </w:r>
      <w:r w:rsidR="00135716">
        <w:t>S</w:t>
      </w:r>
      <w:r>
        <w:t xml:space="preserve">mart </w:t>
      </w:r>
      <w:r w:rsidR="00135716">
        <w:t>C</w:t>
      </w:r>
      <w:r>
        <w:t xml:space="preserve">ard policy followed a phase-by-phase implementation, in which some groups of beneficiaries received the card earlier, we explore heterogeneous effects from our sample. Three groups are key here: the elderly, the students, and formal workers that receive the Transport </w:t>
      </w:r>
      <w:r w:rsidR="00A46DE4">
        <w:t>Voucher</w:t>
      </w:r>
      <w:r>
        <w:t xml:space="preserve"> from their employers. From these three groups, only students (and by the extent their families) could indeed benefit from the transfer fare exemptions. The elderly have always been </w:t>
      </w:r>
      <w:r w:rsidR="00135716">
        <w:t>exempted</w:t>
      </w:r>
      <w:r>
        <w:t xml:space="preserve"> from paying any fare, while employers pay the fare for their formal workers. We use information from the OD survey and the Census data to build our variables, representing the proportion of each group in the zones’ population.</w:t>
      </w:r>
    </w:p>
    <w:p w14:paraId="59A465F7" w14:textId="600DAE48" w:rsidR="001446EE" w:rsidRDefault="001446EE" w:rsidP="001446EE">
      <w:pPr>
        <w:pStyle w:val="Heading2"/>
      </w:pPr>
      <w:r>
        <w:t>Model</w:t>
      </w:r>
    </w:p>
    <w:p w14:paraId="10B3BC90" w14:textId="2151B336" w:rsidR="00881641" w:rsidRDefault="00881641" w:rsidP="00947076">
      <w:pPr>
        <w:rPr>
          <w:rFonts w:eastAsiaTheme="minorEastAsia"/>
        </w:rPr>
      </w:pPr>
      <w:r>
        <w:t xml:space="preserve">Formally, the empirical model is denoted in Equation 1, where the subscript </w:t>
      </w:r>
      <w:r>
        <w:rPr>
          <w:i/>
          <w:iCs/>
        </w:rPr>
        <w:t>x</w:t>
      </w:r>
      <w:r>
        <w:t xml:space="preserve"> accounts for </w:t>
      </w:r>
      <w:r w:rsidR="00726008">
        <w:t>the OD Zones</w:t>
      </w:r>
      <w:r>
        <w:t xml:space="preserve">. The coefficient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represents the Smart Card’s treatment effect;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 xml:space="preserve"> is a vector of coefficients for the census covariates </w:t>
      </w:r>
      <w:r w:rsidRPr="00881641">
        <w:rPr>
          <w:rFonts w:eastAsiaTheme="minorEastAsia"/>
          <w:i/>
          <w:iCs/>
        </w:rPr>
        <w:t>X</w:t>
      </w:r>
      <w:r>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Pr>
          <w:rFonts w:eastAsiaTheme="minorEastAsia"/>
        </w:rPr>
        <w:t xml:space="preserve"> is a vector of coefficients for public policies </w:t>
      </w:r>
      <w:r w:rsidRPr="00881641">
        <w:rPr>
          <w:rFonts w:eastAsiaTheme="minorEastAsia"/>
          <w:i/>
          <w:iCs/>
        </w:rPr>
        <w:t>W</w:t>
      </w:r>
      <w:r>
        <w:rPr>
          <w:rFonts w:eastAsiaTheme="minorEastAsia"/>
        </w:rPr>
        <w:t xml:space="preserve"> implemented between 2001 and May 2004 (before the Smart Card Policy); and </w:t>
      </w:r>
      <m:oMath>
        <m:r>
          <w:rPr>
            <w:rFonts w:ascii="Cambria Math" w:eastAsiaTheme="minorEastAsia" w:hAnsi="Cambria Math"/>
          </w:rPr>
          <m:t>ε</m:t>
        </m:r>
      </m:oMath>
      <w:r>
        <w:rPr>
          <w:rFonts w:eastAsiaTheme="minorEastAsia"/>
        </w:rPr>
        <w:t xml:space="preserve"> is the error term. A variation of this model includes an interaction between the treatment variable and </w:t>
      </w:r>
      <w:r w:rsidRPr="00881641">
        <w:rPr>
          <w:rFonts w:eastAsiaTheme="minorEastAsia"/>
          <w:i/>
          <w:iCs/>
        </w:rPr>
        <w:t>W</w:t>
      </w:r>
      <w:r>
        <w:rPr>
          <w:rFonts w:eastAsiaTheme="minorEastAsia"/>
        </w:rPr>
        <w:t>.</w:t>
      </w:r>
    </w:p>
    <w:p w14:paraId="3F73EE5E" w14:textId="77777777" w:rsidR="00881641" w:rsidRPr="00881641" w:rsidRDefault="00881641" w:rsidP="0094707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8"/>
      </w:tblGrid>
      <w:tr w:rsidR="001C7556" w14:paraId="547637C9" w14:textId="77777777" w:rsidTr="00881641">
        <w:tc>
          <w:tcPr>
            <w:tcW w:w="8642" w:type="dxa"/>
          </w:tcPr>
          <w:p w14:paraId="05F6E0DC" w14:textId="209D5440" w:rsidR="001C7556" w:rsidRDefault="00000000" w:rsidP="001C7556">
            <w:pPr>
              <w:pStyle w:val="Table"/>
            </w:pPr>
            <m:oMathPara>
              <m:oMath>
                <m:sSubSup>
                  <m:sSubSupPr>
                    <m:ctrlPr>
                      <w:rPr>
                        <w:rFonts w:ascii="Cambria Math" w:hAnsi="Cambria Math"/>
                        <w:i/>
                      </w:rPr>
                    </m:ctrlPr>
                  </m:sSubSupPr>
                  <m:e>
                    <m:r>
                      <w:rPr>
                        <w:rFonts w:ascii="Cambria Math" w:hAnsi="Cambria Math"/>
                      </w:rPr>
                      <m:t>∆VotesMarta</m:t>
                    </m:r>
                  </m:e>
                  <m:sub>
                    <m:r>
                      <w:rPr>
                        <w:rFonts w:ascii="Cambria Math" w:hAnsi="Cambria Math"/>
                      </w:rPr>
                      <m:t>x</m:t>
                    </m:r>
                  </m:sub>
                  <m:sup>
                    <m:r>
                      <w:rPr>
                        <w:rFonts w:ascii="Cambria Math" w:hAnsi="Cambria Math"/>
                      </w:rPr>
                      <m:t>2004-2000</m:t>
                    </m:r>
                  </m:sup>
                </m:sSubSup>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SmartCard</m:t>
                    </m:r>
                  </m:e>
                  <m:sub>
                    <m:r>
                      <w:rPr>
                        <w:rFonts w:ascii="Cambria Math" w:hAnsi="Cambria Math"/>
                      </w:rPr>
                      <m:t>x</m:t>
                    </m:r>
                  </m:sub>
                  <m:sup>
                    <m:r>
                      <w:rPr>
                        <w:rFonts w:ascii="Cambria Math" w:hAnsi="Cambria Math"/>
                      </w:rPr>
                      <m:t>1997</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x</m:t>
                    </m:r>
                  </m:sub>
                  <m:sup>
                    <m:r>
                      <w:rPr>
                        <w:rFonts w:ascii="Cambria Math" w:hAnsi="Cambria Math"/>
                      </w:rPr>
                      <m:t>2000</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Sup>
                  <m:sSubSupPr>
                    <m:ctrlPr>
                      <w:rPr>
                        <w:rFonts w:ascii="Cambria Math" w:hAnsi="Cambria Math"/>
                        <w:i/>
                      </w:rPr>
                    </m:ctrlPr>
                  </m:sSubSupPr>
                  <m:e>
                    <m:r>
                      <w:rPr>
                        <w:rFonts w:ascii="Cambria Math" w:hAnsi="Cambria Math"/>
                      </w:rPr>
                      <m:t>W</m:t>
                    </m:r>
                  </m:e>
                  <m:sub>
                    <m:r>
                      <w:rPr>
                        <w:rFonts w:ascii="Cambria Math" w:hAnsi="Cambria Math"/>
                      </w:rPr>
                      <m:t>x</m:t>
                    </m:r>
                  </m:sub>
                  <m:sup>
                    <m:r>
                      <w:rPr>
                        <w:rFonts w:ascii="Cambria Math" w:hAnsi="Cambria Math"/>
                      </w:rPr>
                      <m:t>2004</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m:t>
                    </m:r>
                  </m:sub>
                </m:sSub>
              </m:oMath>
            </m:oMathPara>
          </w:p>
        </w:tc>
        <w:tc>
          <w:tcPr>
            <w:tcW w:w="708" w:type="dxa"/>
          </w:tcPr>
          <w:p w14:paraId="6B1D0C85" w14:textId="7D6429A8" w:rsidR="001C7556" w:rsidRDefault="001C7556" w:rsidP="001C7556">
            <w:pPr>
              <w:pStyle w:val="Table"/>
            </w:pPr>
            <w:r>
              <w:t>(</w:t>
            </w:r>
            <w:r w:rsidR="00135716">
              <w:t>2</w:t>
            </w:r>
            <w:r>
              <w:t>)</w:t>
            </w:r>
          </w:p>
        </w:tc>
      </w:tr>
    </w:tbl>
    <w:p w14:paraId="54542C94" w14:textId="77777777" w:rsidR="001C7556" w:rsidRDefault="001C7556" w:rsidP="00947076"/>
    <w:p w14:paraId="135A7CBA" w14:textId="3BDB3BAE" w:rsidR="00881641" w:rsidRDefault="00881641" w:rsidP="00881641">
      <w:r>
        <w:t xml:space="preserve">Notwithstanding our efforts to account for all possible confounding factors, there could still be sources of endogeneity in our setting. Of particular concern is the labor party’s tendency to over-perform in impoverished areas of the city and under-perform in affluent neighborhoods. As the city’s outskirts are the zones with more intense bus transfers, there are good reasons to believe that the </w:t>
      </w:r>
      <w:r>
        <w:rPr>
          <w:rFonts w:eastAsiaTheme="minorEastAsia"/>
        </w:rPr>
        <w:t>Smart Card</w:t>
      </w:r>
      <w:r>
        <w:t xml:space="preserve"> impact could mix with regional support for PT. In other words, there is a risk </w:t>
      </w:r>
      <w:r w:rsidR="00D41876">
        <w:t>of confounding</w:t>
      </w:r>
      <w:r>
        <w:t xml:space="preserve"> the </w:t>
      </w:r>
      <w:r>
        <w:rPr>
          <w:rFonts w:eastAsiaTheme="minorEastAsia"/>
        </w:rPr>
        <w:t>Smart Card</w:t>
      </w:r>
      <w:r>
        <w:t xml:space="preserve"> effect to a “periphery effect.” Therefore, living in the outskirts could be a source of endogeneity even though we control for socioeconomic variables and within-zone vote trends. To deal with this issue, we propose a matching approach in which we sub-select our sample to compare similar zones in terms of voting behavior and socioeconomic status. </w:t>
      </w:r>
    </w:p>
    <w:p w14:paraId="3E8DC0FE" w14:textId="721D40AF" w:rsidR="00881641" w:rsidRDefault="00881641" w:rsidP="00947076">
      <w:r>
        <w:t xml:space="preserve">Ideally, we want to compare intensely treated zones in the periphery to their counterparts far from the city center but weakly treated. To systematically choose these zones, we define a dummy treatment variable. Zones above the median of the </w:t>
      </w:r>
      <w:r>
        <w:rPr>
          <w:rFonts w:eastAsiaTheme="minorEastAsia"/>
        </w:rPr>
        <w:t>Smart Card</w:t>
      </w:r>
      <w:r>
        <w:t xml:space="preserve"> variable were assigned the value 1 (for treated), while zones below-median received </w:t>
      </w:r>
      <w:r w:rsidR="00D41876">
        <w:t xml:space="preserve">the </w:t>
      </w:r>
      <w:r>
        <w:t>value 0 (non-treated). We match all treated zones to their nearest neighbor among the non-treated zones using a propensity score model.</w:t>
      </w:r>
    </w:p>
    <w:p w14:paraId="11C77407" w14:textId="720E51A3" w:rsidR="000B330C" w:rsidRDefault="000B330C" w:rsidP="000B330C">
      <w:pPr>
        <w:pStyle w:val="Heading1"/>
      </w:pPr>
      <w:r>
        <w:t>Findings</w:t>
      </w:r>
    </w:p>
    <w:p w14:paraId="264FCC30" w14:textId="44B2DE38" w:rsidR="002F7415" w:rsidRDefault="002F7415" w:rsidP="002F7415">
      <w:pPr>
        <w:pStyle w:val="Heading2"/>
      </w:pPr>
      <w:r>
        <w:t>Baseline Results</w:t>
      </w:r>
    </w:p>
    <w:p w14:paraId="0575D514" w14:textId="13634D8D" w:rsidR="00736D0B" w:rsidRPr="002F7415" w:rsidRDefault="00736D0B" w:rsidP="00736D0B">
      <w:pPr>
        <w:rPr>
          <w:sz w:val="22"/>
          <w:szCs w:val="22"/>
        </w:rPr>
      </w:pPr>
      <w:r>
        <w:t xml:space="preserve">In </w:t>
      </w:r>
      <w:r w:rsidR="00D41876">
        <w:fldChar w:fldCharType="begin"/>
      </w:r>
      <w:r w:rsidR="00D41876">
        <w:instrText xml:space="preserve"> REF _Ref150182206 \h </w:instrText>
      </w:r>
      <w:r w:rsidR="00D41876">
        <w:fldChar w:fldCharType="separate"/>
      </w:r>
      <w:r w:rsidR="00D41876">
        <w:t xml:space="preserve">Table </w:t>
      </w:r>
      <w:r w:rsidR="00D41876">
        <w:rPr>
          <w:noProof/>
        </w:rPr>
        <w:t>1</w:t>
      </w:r>
      <w:r w:rsidR="00D41876">
        <w:fldChar w:fldCharType="end"/>
      </w:r>
      <w:r>
        <w:t xml:space="preserve">, we present the four models that summarize our principal empirical strategy. From models (1) to (4), we successively add new control variables and interaction terms to test the stability and significance of the marginal effect of the </w:t>
      </w:r>
      <w:r w:rsidR="00036C48">
        <w:t>Smart Card</w:t>
      </w:r>
      <w:r>
        <w:t xml:space="preserve"> variable. After controlling for the baseline voting share of the Labor Party (incumbent), model (1) has a positive and statistically significant effect of the Smart Card policy on the variation of the incumbent’s voting share between the 2000 and 2004 elections. More formally, the impact amounts to </w:t>
      </w:r>
      <w:r w:rsidR="00D41876">
        <w:t xml:space="preserve">a </w:t>
      </w:r>
      <w:commentRangeStart w:id="1"/>
      <w:r>
        <w:t>0.37 percentage points (p.p.)</w:t>
      </w:r>
      <w:commentRangeEnd w:id="1"/>
      <w:r w:rsidR="00036C48">
        <w:rPr>
          <w:rStyle w:val="CommentReference"/>
        </w:rPr>
        <w:commentReference w:id="1"/>
      </w:r>
      <w:r>
        <w:t xml:space="preserve"> increase </w:t>
      </w:r>
      <w:r w:rsidR="00D41876">
        <w:t>in</w:t>
      </w:r>
      <w:r>
        <w:t xml:space="preserve"> the mayor’s voting share if we were to increase the Smart Card variable by one p.p. </w:t>
      </w:r>
      <w:r w:rsidR="002F7415">
        <w:t>This lends support to our first hypothesis, which posits tha</w:t>
      </w:r>
      <w:r w:rsidR="002F7415" w:rsidRPr="002F7415">
        <w:t xml:space="preserve">t </w:t>
      </w:r>
      <w:r w:rsidR="002F7415">
        <w:t>t</w:t>
      </w:r>
      <w:r w:rsidR="002F7415" w:rsidRPr="002F7415">
        <w:t xml:space="preserve">he greater the number of beneficiaries of the policy in an electoral zone, the more voters </w:t>
      </w:r>
      <w:r w:rsidR="00D41876">
        <w:t>in</w:t>
      </w:r>
      <w:r w:rsidR="002F7415" w:rsidRPr="002F7415">
        <w:t xml:space="preserve"> this zone will favor the incumbent official in the subsequent election.</w:t>
      </w:r>
    </w:p>
    <w:p w14:paraId="17B0DC70" w14:textId="77777777" w:rsidR="00736D0B" w:rsidRDefault="00736D0B" w:rsidP="00736D0B">
      <w:pPr>
        <w:pStyle w:val="Table"/>
        <w:rPr>
          <w:sz w:val="5"/>
        </w:rPr>
      </w:pPr>
    </w:p>
    <w:p w14:paraId="31765D96" w14:textId="236A0600" w:rsidR="00736D0B" w:rsidRDefault="00736D0B" w:rsidP="00736D0B">
      <w:pPr>
        <w:pStyle w:val="Caption"/>
        <w:keepNext/>
      </w:pPr>
      <w:bookmarkStart w:id="2" w:name="_Ref150182206"/>
      <w:bookmarkStart w:id="3" w:name="_Ref150182200"/>
      <w:commentRangeStart w:id="4"/>
      <w:r>
        <w:t xml:space="preserve">Table </w:t>
      </w:r>
      <w:fldSimple w:instr=" SEQ Table \* ARABIC ">
        <w:r w:rsidR="00782223">
          <w:rPr>
            <w:noProof/>
          </w:rPr>
          <w:t>1</w:t>
        </w:r>
      </w:fldSimple>
      <w:bookmarkEnd w:id="2"/>
      <w:r>
        <w:t>. OLS estimates of incumbent party voting difference (2004 - 2000)</w:t>
      </w:r>
      <w:bookmarkEnd w:id="3"/>
      <w:commentRangeEnd w:id="4"/>
      <w:r w:rsidR="00036C48">
        <w:rPr>
          <w:rStyle w:val="CommentReference"/>
          <w:b w:val="0"/>
          <w:iCs w:val="0"/>
        </w:rPr>
        <w:commentReference w:id="4"/>
      </w:r>
    </w:p>
    <w:tbl>
      <w:tblPr>
        <w:tblW w:w="9358" w:type="dxa"/>
        <w:tblInd w:w="147" w:type="dxa"/>
        <w:tblLayout w:type="fixed"/>
        <w:tblCellMar>
          <w:left w:w="0" w:type="dxa"/>
          <w:right w:w="0" w:type="dxa"/>
        </w:tblCellMar>
        <w:tblLook w:val="01E0" w:firstRow="1" w:lastRow="1" w:firstColumn="1" w:lastColumn="1" w:noHBand="0" w:noVBand="0"/>
      </w:tblPr>
      <w:tblGrid>
        <w:gridCol w:w="3463"/>
        <w:gridCol w:w="1137"/>
        <w:gridCol w:w="1136"/>
        <w:gridCol w:w="1216"/>
        <w:gridCol w:w="1203"/>
        <w:gridCol w:w="1203"/>
      </w:tblGrid>
      <w:tr w:rsidR="00736D0B" w:rsidRPr="00736D0B" w14:paraId="6F677EB6" w14:textId="77777777" w:rsidTr="00736D0B">
        <w:trPr>
          <w:trHeight w:val="364"/>
        </w:trPr>
        <w:tc>
          <w:tcPr>
            <w:tcW w:w="3463" w:type="dxa"/>
            <w:tcBorders>
              <w:top w:val="single" w:sz="4" w:space="0" w:color="000000"/>
              <w:bottom w:val="single" w:sz="4" w:space="0" w:color="000000"/>
            </w:tcBorders>
          </w:tcPr>
          <w:p w14:paraId="77057160" w14:textId="77777777" w:rsidR="00736D0B" w:rsidRPr="00736D0B" w:rsidRDefault="00736D0B" w:rsidP="00736D0B">
            <w:pPr>
              <w:pStyle w:val="Table"/>
              <w:rPr>
                <w:sz w:val="18"/>
                <w:szCs w:val="18"/>
              </w:rPr>
            </w:pPr>
          </w:p>
        </w:tc>
        <w:tc>
          <w:tcPr>
            <w:tcW w:w="1137" w:type="dxa"/>
            <w:tcBorders>
              <w:top w:val="single" w:sz="4" w:space="0" w:color="000000"/>
              <w:bottom w:val="single" w:sz="4" w:space="0" w:color="000000"/>
            </w:tcBorders>
            <w:vAlign w:val="center"/>
          </w:tcPr>
          <w:p w14:paraId="26DB7506" w14:textId="77777777" w:rsidR="00736D0B" w:rsidRPr="00736D0B" w:rsidRDefault="00736D0B" w:rsidP="00736D0B">
            <w:pPr>
              <w:pStyle w:val="Table"/>
              <w:rPr>
                <w:sz w:val="18"/>
                <w:szCs w:val="18"/>
              </w:rPr>
            </w:pPr>
            <w:r w:rsidRPr="00736D0B">
              <w:rPr>
                <w:sz w:val="18"/>
                <w:szCs w:val="18"/>
              </w:rPr>
              <w:t>(1)</w:t>
            </w:r>
          </w:p>
        </w:tc>
        <w:tc>
          <w:tcPr>
            <w:tcW w:w="1136" w:type="dxa"/>
            <w:tcBorders>
              <w:top w:val="single" w:sz="4" w:space="0" w:color="000000"/>
              <w:bottom w:val="single" w:sz="4" w:space="0" w:color="000000"/>
            </w:tcBorders>
            <w:vAlign w:val="center"/>
          </w:tcPr>
          <w:p w14:paraId="4C25387A" w14:textId="77777777" w:rsidR="00736D0B" w:rsidRPr="00736D0B" w:rsidRDefault="00736D0B" w:rsidP="00736D0B">
            <w:pPr>
              <w:pStyle w:val="Table"/>
              <w:rPr>
                <w:sz w:val="18"/>
                <w:szCs w:val="18"/>
              </w:rPr>
            </w:pPr>
            <w:r w:rsidRPr="00736D0B">
              <w:rPr>
                <w:sz w:val="18"/>
                <w:szCs w:val="18"/>
              </w:rPr>
              <w:t>(2)</w:t>
            </w:r>
          </w:p>
        </w:tc>
        <w:tc>
          <w:tcPr>
            <w:tcW w:w="1216" w:type="dxa"/>
            <w:tcBorders>
              <w:top w:val="single" w:sz="4" w:space="0" w:color="000000"/>
              <w:bottom w:val="single" w:sz="4" w:space="0" w:color="000000"/>
            </w:tcBorders>
            <w:vAlign w:val="center"/>
          </w:tcPr>
          <w:p w14:paraId="4AF47D3B" w14:textId="77777777" w:rsidR="00736D0B" w:rsidRPr="00736D0B" w:rsidRDefault="00736D0B" w:rsidP="00736D0B">
            <w:pPr>
              <w:pStyle w:val="Table"/>
              <w:rPr>
                <w:sz w:val="18"/>
                <w:szCs w:val="18"/>
              </w:rPr>
            </w:pPr>
            <w:r w:rsidRPr="00736D0B">
              <w:rPr>
                <w:sz w:val="18"/>
                <w:szCs w:val="18"/>
              </w:rPr>
              <w:t>(3)</w:t>
            </w:r>
          </w:p>
        </w:tc>
        <w:tc>
          <w:tcPr>
            <w:tcW w:w="1203" w:type="dxa"/>
            <w:tcBorders>
              <w:top w:val="single" w:sz="4" w:space="0" w:color="000000"/>
              <w:bottom w:val="single" w:sz="4" w:space="0" w:color="000000"/>
            </w:tcBorders>
            <w:vAlign w:val="center"/>
          </w:tcPr>
          <w:p w14:paraId="20752344" w14:textId="77777777" w:rsidR="00736D0B" w:rsidRPr="00736D0B" w:rsidRDefault="00736D0B" w:rsidP="00736D0B">
            <w:pPr>
              <w:pStyle w:val="Table"/>
              <w:rPr>
                <w:sz w:val="18"/>
                <w:szCs w:val="18"/>
              </w:rPr>
            </w:pPr>
            <w:r w:rsidRPr="00736D0B">
              <w:rPr>
                <w:sz w:val="18"/>
                <w:szCs w:val="18"/>
              </w:rPr>
              <w:t>(4)</w:t>
            </w:r>
          </w:p>
        </w:tc>
        <w:tc>
          <w:tcPr>
            <w:tcW w:w="1203" w:type="dxa"/>
            <w:tcBorders>
              <w:top w:val="single" w:sz="4" w:space="0" w:color="000000"/>
              <w:bottom w:val="single" w:sz="4" w:space="0" w:color="000000"/>
            </w:tcBorders>
            <w:vAlign w:val="center"/>
          </w:tcPr>
          <w:p w14:paraId="48D6B195" w14:textId="77777777" w:rsidR="00736D0B" w:rsidRPr="00736D0B" w:rsidRDefault="00736D0B" w:rsidP="00736D0B">
            <w:pPr>
              <w:pStyle w:val="Table"/>
              <w:rPr>
                <w:sz w:val="18"/>
                <w:szCs w:val="18"/>
              </w:rPr>
            </w:pPr>
            <w:r w:rsidRPr="00736D0B">
              <w:rPr>
                <w:sz w:val="18"/>
                <w:szCs w:val="18"/>
              </w:rPr>
              <w:t>(5)</w:t>
            </w:r>
          </w:p>
        </w:tc>
      </w:tr>
      <w:tr w:rsidR="00736D0B" w:rsidRPr="00736D0B" w14:paraId="50106946" w14:textId="77777777" w:rsidTr="00736D0B">
        <w:trPr>
          <w:trHeight w:val="328"/>
        </w:trPr>
        <w:tc>
          <w:tcPr>
            <w:tcW w:w="3463" w:type="dxa"/>
            <w:tcBorders>
              <w:top w:val="single" w:sz="4" w:space="0" w:color="000000"/>
            </w:tcBorders>
            <w:vAlign w:val="center"/>
          </w:tcPr>
          <w:p w14:paraId="7075074C" w14:textId="77777777" w:rsidR="00736D0B" w:rsidRPr="00736D0B" w:rsidRDefault="00736D0B" w:rsidP="00736D0B">
            <w:pPr>
              <w:pStyle w:val="Table"/>
              <w:rPr>
                <w:sz w:val="18"/>
                <w:szCs w:val="18"/>
              </w:rPr>
            </w:pPr>
            <w:r w:rsidRPr="00736D0B">
              <w:rPr>
                <w:sz w:val="18"/>
                <w:szCs w:val="18"/>
              </w:rPr>
              <w:t>Proportion of Smart Card Users</w:t>
            </w:r>
          </w:p>
        </w:tc>
        <w:tc>
          <w:tcPr>
            <w:tcW w:w="1137" w:type="dxa"/>
            <w:tcBorders>
              <w:top w:val="single" w:sz="4" w:space="0" w:color="000000"/>
            </w:tcBorders>
            <w:vAlign w:val="center"/>
          </w:tcPr>
          <w:p w14:paraId="54A5E020" w14:textId="77777777" w:rsidR="00736D0B" w:rsidRPr="00736D0B" w:rsidRDefault="00736D0B" w:rsidP="00736D0B">
            <w:pPr>
              <w:pStyle w:val="Table"/>
              <w:rPr>
                <w:sz w:val="18"/>
                <w:szCs w:val="18"/>
              </w:rPr>
            </w:pPr>
            <w:r w:rsidRPr="00736D0B">
              <w:rPr>
                <w:sz w:val="18"/>
                <w:szCs w:val="18"/>
              </w:rPr>
              <w:t>0.370 [0.065]</w:t>
            </w:r>
          </w:p>
        </w:tc>
        <w:tc>
          <w:tcPr>
            <w:tcW w:w="1136" w:type="dxa"/>
            <w:tcBorders>
              <w:top w:val="single" w:sz="4" w:space="0" w:color="000000"/>
            </w:tcBorders>
            <w:vAlign w:val="center"/>
          </w:tcPr>
          <w:p w14:paraId="7A940CA7" w14:textId="77777777" w:rsidR="00736D0B" w:rsidRPr="00736D0B" w:rsidRDefault="00736D0B" w:rsidP="00736D0B">
            <w:pPr>
              <w:pStyle w:val="Table"/>
              <w:rPr>
                <w:sz w:val="18"/>
                <w:szCs w:val="18"/>
              </w:rPr>
            </w:pPr>
            <w:r w:rsidRPr="00736D0B">
              <w:rPr>
                <w:sz w:val="18"/>
                <w:szCs w:val="18"/>
              </w:rPr>
              <w:t>0.233 [0.063]</w:t>
            </w:r>
          </w:p>
        </w:tc>
        <w:tc>
          <w:tcPr>
            <w:tcW w:w="1216" w:type="dxa"/>
            <w:tcBorders>
              <w:top w:val="single" w:sz="4" w:space="0" w:color="000000"/>
            </w:tcBorders>
            <w:vAlign w:val="center"/>
          </w:tcPr>
          <w:p w14:paraId="1CB66B7D" w14:textId="77777777" w:rsidR="00736D0B" w:rsidRPr="00736D0B" w:rsidRDefault="00736D0B" w:rsidP="00736D0B">
            <w:pPr>
              <w:pStyle w:val="Table"/>
              <w:rPr>
                <w:sz w:val="18"/>
                <w:szCs w:val="18"/>
              </w:rPr>
            </w:pPr>
            <w:r w:rsidRPr="00736D0B">
              <w:rPr>
                <w:sz w:val="18"/>
                <w:szCs w:val="18"/>
              </w:rPr>
              <w:t>0.213 [0.061]</w:t>
            </w:r>
          </w:p>
        </w:tc>
        <w:tc>
          <w:tcPr>
            <w:tcW w:w="1203" w:type="dxa"/>
            <w:tcBorders>
              <w:top w:val="single" w:sz="4" w:space="0" w:color="000000"/>
            </w:tcBorders>
            <w:vAlign w:val="center"/>
          </w:tcPr>
          <w:p w14:paraId="1D4667D0" w14:textId="77777777" w:rsidR="00736D0B" w:rsidRPr="00736D0B" w:rsidRDefault="00736D0B" w:rsidP="00736D0B">
            <w:pPr>
              <w:pStyle w:val="Table"/>
              <w:rPr>
                <w:sz w:val="18"/>
                <w:szCs w:val="18"/>
              </w:rPr>
            </w:pPr>
            <w:r w:rsidRPr="00736D0B">
              <w:rPr>
                <w:sz w:val="18"/>
                <w:szCs w:val="18"/>
              </w:rPr>
              <w:t>2.635 [1.034]</w:t>
            </w:r>
          </w:p>
        </w:tc>
        <w:tc>
          <w:tcPr>
            <w:tcW w:w="1203" w:type="dxa"/>
            <w:tcBorders>
              <w:top w:val="single" w:sz="4" w:space="0" w:color="000000"/>
            </w:tcBorders>
            <w:vAlign w:val="center"/>
          </w:tcPr>
          <w:p w14:paraId="31096264" w14:textId="77777777" w:rsidR="00736D0B" w:rsidRPr="00736D0B" w:rsidRDefault="00736D0B" w:rsidP="00736D0B">
            <w:pPr>
              <w:pStyle w:val="Table"/>
              <w:rPr>
                <w:sz w:val="18"/>
                <w:szCs w:val="18"/>
              </w:rPr>
            </w:pPr>
            <w:r w:rsidRPr="00736D0B">
              <w:rPr>
                <w:sz w:val="18"/>
                <w:szCs w:val="18"/>
              </w:rPr>
              <w:t>2.108 [1.264]</w:t>
            </w:r>
          </w:p>
        </w:tc>
      </w:tr>
      <w:tr w:rsidR="00736D0B" w:rsidRPr="00736D0B" w14:paraId="7CC48101" w14:textId="77777777" w:rsidTr="00736D0B">
        <w:trPr>
          <w:trHeight w:val="293"/>
        </w:trPr>
        <w:tc>
          <w:tcPr>
            <w:tcW w:w="3463" w:type="dxa"/>
            <w:vAlign w:val="center"/>
          </w:tcPr>
          <w:p w14:paraId="20A37F31" w14:textId="77777777" w:rsidR="00736D0B" w:rsidRPr="00736D0B" w:rsidRDefault="00736D0B" w:rsidP="00736D0B">
            <w:pPr>
              <w:pStyle w:val="Table"/>
              <w:rPr>
                <w:sz w:val="18"/>
                <w:szCs w:val="18"/>
              </w:rPr>
            </w:pPr>
            <w:r w:rsidRPr="00736D0B">
              <w:rPr>
                <w:sz w:val="18"/>
                <w:szCs w:val="18"/>
              </w:rPr>
              <w:t>Vote share Labor Party (2000)</w:t>
            </w:r>
          </w:p>
        </w:tc>
        <w:tc>
          <w:tcPr>
            <w:tcW w:w="1137" w:type="dxa"/>
            <w:vAlign w:val="center"/>
          </w:tcPr>
          <w:p w14:paraId="3B534FB2" w14:textId="77777777" w:rsidR="00736D0B" w:rsidRPr="00736D0B" w:rsidRDefault="00736D0B" w:rsidP="00736D0B">
            <w:pPr>
              <w:pStyle w:val="Table"/>
              <w:rPr>
                <w:sz w:val="18"/>
                <w:szCs w:val="18"/>
              </w:rPr>
            </w:pPr>
            <w:r w:rsidRPr="00736D0B">
              <w:rPr>
                <w:sz w:val="18"/>
                <w:szCs w:val="18"/>
              </w:rPr>
              <w:t>0.566 [0.056]</w:t>
            </w:r>
          </w:p>
        </w:tc>
        <w:tc>
          <w:tcPr>
            <w:tcW w:w="1136" w:type="dxa"/>
            <w:vAlign w:val="center"/>
          </w:tcPr>
          <w:p w14:paraId="062531CA" w14:textId="77777777" w:rsidR="00736D0B" w:rsidRPr="00736D0B" w:rsidRDefault="00736D0B" w:rsidP="00736D0B">
            <w:pPr>
              <w:pStyle w:val="Table"/>
              <w:rPr>
                <w:sz w:val="18"/>
                <w:szCs w:val="18"/>
              </w:rPr>
            </w:pPr>
            <w:r w:rsidRPr="00736D0B">
              <w:rPr>
                <w:sz w:val="18"/>
                <w:szCs w:val="18"/>
              </w:rPr>
              <w:t>0.179 [0.073]</w:t>
            </w:r>
          </w:p>
        </w:tc>
        <w:tc>
          <w:tcPr>
            <w:tcW w:w="1216" w:type="dxa"/>
            <w:vAlign w:val="center"/>
          </w:tcPr>
          <w:p w14:paraId="5BF3C8DB" w14:textId="77777777" w:rsidR="00736D0B" w:rsidRPr="00736D0B" w:rsidRDefault="00736D0B" w:rsidP="00736D0B">
            <w:pPr>
              <w:pStyle w:val="Table"/>
              <w:rPr>
                <w:sz w:val="18"/>
                <w:szCs w:val="18"/>
              </w:rPr>
            </w:pPr>
            <w:r w:rsidRPr="00736D0B">
              <w:rPr>
                <w:sz w:val="18"/>
                <w:szCs w:val="18"/>
              </w:rPr>
              <w:t>0.141 [0.076]</w:t>
            </w:r>
          </w:p>
        </w:tc>
        <w:tc>
          <w:tcPr>
            <w:tcW w:w="1203" w:type="dxa"/>
            <w:vAlign w:val="center"/>
          </w:tcPr>
          <w:p w14:paraId="326D556C" w14:textId="77777777" w:rsidR="00736D0B" w:rsidRPr="00736D0B" w:rsidRDefault="00736D0B" w:rsidP="00736D0B">
            <w:pPr>
              <w:pStyle w:val="Table"/>
              <w:rPr>
                <w:sz w:val="18"/>
                <w:szCs w:val="18"/>
              </w:rPr>
            </w:pPr>
            <w:r w:rsidRPr="00736D0B">
              <w:rPr>
                <w:sz w:val="18"/>
                <w:szCs w:val="18"/>
              </w:rPr>
              <w:t>0.152 [0.071]</w:t>
            </w:r>
          </w:p>
        </w:tc>
        <w:tc>
          <w:tcPr>
            <w:tcW w:w="1203" w:type="dxa"/>
            <w:vAlign w:val="center"/>
          </w:tcPr>
          <w:p w14:paraId="2772DE3D" w14:textId="77777777" w:rsidR="00736D0B" w:rsidRPr="00736D0B" w:rsidRDefault="00736D0B" w:rsidP="00736D0B">
            <w:pPr>
              <w:pStyle w:val="Table"/>
              <w:rPr>
                <w:sz w:val="18"/>
                <w:szCs w:val="18"/>
              </w:rPr>
            </w:pPr>
            <w:r w:rsidRPr="00736D0B">
              <w:rPr>
                <w:sz w:val="18"/>
                <w:szCs w:val="18"/>
              </w:rPr>
              <w:t>0.155 [0.071]</w:t>
            </w:r>
          </w:p>
        </w:tc>
      </w:tr>
      <w:tr w:rsidR="00736D0B" w:rsidRPr="00736D0B" w14:paraId="1F7B713A" w14:textId="77777777" w:rsidTr="00736D0B">
        <w:trPr>
          <w:trHeight w:val="293"/>
        </w:trPr>
        <w:tc>
          <w:tcPr>
            <w:tcW w:w="3463" w:type="dxa"/>
            <w:vAlign w:val="center"/>
          </w:tcPr>
          <w:p w14:paraId="19960212" w14:textId="77777777" w:rsidR="00736D0B" w:rsidRPr="00736D0B" w:rsidRDefault="00736D0B" w:rsidP="00736D0B">
            <w:pPr>
              <w:pStyle w:val="Table"/>
              <w:rPr>
                <w:sz w:val="18"/>
                <w:szCs w:val="18"/>
              </w:rPr>
            </w:pPr>
            <w:r w:rsidRPr="00736D0B">
              <w:rPr>
                <w:sz w:val="18"/>
                <w:szCs w:val="18"/>
              </w:rPr>
              <w:t>Average Nominal Income (log)</w:t>
            </w:r>
          </w:p>
        </w:tc>
        <w:tc>
          <w:tcPr>
            <w:tcW w:w="1137" w:type="dxa"/>
            <w:vAlign w:val="center"/>
          </w:tcPr>
          <w:p w14:paraId="2ADA2603" w14:textId="77777777" w:rsidR="00736D0B" w:rsidRPr="00736D0B" w:rsidRDefault="00736D0B" w:rsidP="00736D0B">
            <w:pPr>
              <w:pStyle w:val="Table"/>
              <w:rPr>
                <w:sz w:val="18"/>
                <w:szCs w:val="18"/>
              </w:rPr>
            </w:pPr>
          </w:p>
        </w:tc>
        <w:tc>
          <w:tcPr>
            <w:tcW w:w="1136" w:type="dxa"/>
            <w:vAlign w:val="center"/>
          </w:tcPr>
          <w:p w14:paraId="0DF100C8" w14:textId="77777777" w:rsidR="00736D0B" w:rsidRPr="00736D0B" w:rsidRDefault="00736D0B" w:rsidP="00736D0B">
            <w:pPr>
              <w:pStyle w:val="Table"/>
              <w:rPr>
                <w:sz w:val="18"/>
                <w:szCs w:val="18"/>
              </w:rPr>
            </w:pPr>
            <w:r w:rsidRPr="00736D0B">
              <w:rPr>
                <w:sz w:val="18"/>
                <w:szCs w:val="18"/>
              </w:rPr>
              <w:t>-0.040 [0.006]</w:t>
            </w:r>
          </w:p>
        </w:tc>
        <w:tc>
          <w:tcPr>
            <w:tcW w:w="1216" w:type="dxa"/>
            <w:vAlign w:val="center"/>
          </w:tcPr>
          <w:p w14:paraId="71B7BB44" w14:textId="77777777" w:rsidR="00736D0B" w:rsidRPr="00736D0B" w:rsidRDefault="00736D0B" w:rsidP="00736D0B">
            <w:pPr>
              <w:pStyle w:val="Table"/>
              <w:rPr>
                <w:sz w:val="18"/>
                <w:szCs w:val="18"/>
              </w:rPr>
            </w:pPr>
            <w:r w:rsidRPr="00736D0B">
              <w:rPr>
                <w:sz w:val="18"/>
                <w:szCs w:val="18"/>
              </w:rPr>
              <w:t>-0.040 [0.007]</w:t>
            </w:r>
          </w:p>
        </w:tc>
        <w:tc>
          <w:tcPr>
            <w:tcW w:w="1203" w:type="dxa"/>
            <w:vAlign w:val="center"/>
          </w:tcPr>
          <w:p w14:paraId="30980BE7" w14:textId="77777777" w:rsidR="00736D0B" w:rsidRPr="00736D0B" w:rsidRDefault="00736D0B" w:rsidP="00736D0B">
            <w:pPr>
              <w:pStyle w:val="Table"/>
              <w:rPr>
                <w:sz w:val="18"/>
                <w:szCs w:val="18"/>
              </w:rPr>
            </w:pPr>
            <w:r w:rsidRPr="00736D0B">
              <w:rPr>
                <w:sz w:val="18"/>
                <w:szCs w:val="18"/>
              </w:rPr>
              <w:t>-0.030 [0.007]</w:t>
            </w:r>
          </w:p>
        </w:tc>
        <w:tc>
          <w:tcPr>
            <w:tcW w:w="1203" w:type="dxa"/>
            <w:vAlign w:val="center"/>
          </w:tcPr>
          <w:p w14:paraId="540D5B7B" w14:textId="77777777" w:rsidR="00736D0B" w:rsidRPr="00736D0B" w:rsidRDefault="00736D0B" w:rsidP="00736D0B">
            <w:pPr>
              <w:pStyle w:val="Table"/>
              <w:rPr>
                <w:sz w:val="18"/>
                <w:szCs w:val="18"/>
              </w:rPr>
            </w:pPr>
            <w:r w:rsidRPr="00736D0B">
              <w:rPr>
                <w:sz w:val="18"/>
                <w:szCs w:val="18"/>
              </w:rPr>
              <w:t>-0.033 [0.008]</w:t>
            </w:r>
          </w:p>
        </w:tc>
      </w:tr>
      <w:tr w:rsidR="00736D0B" w:rsidRPr="00736D0B" w14:paraId="4A116606" w14:textId="77777777" w:rsidTr="00736D0B">
        <w:trPr>
          <w:trHeight w:val="293"/>
        </w:trPr>
        <w:tc>
          <w:tcPr>
            <w:tcW w:w="3463" w:type="dxa"/>
            <w:vAlign w:val="center"/>
          </w:tcPr>
          <w:p w14:paraId="5DB374FE" w14:textId="77777777" w:rsidR="00736D0B" w:rsidRPr="00736D0B" w:rsidRDefault="00736D0B" w:rsidP="00736D0B">
            <w:pPr>
              <w:pStyle w:val="Table"/>
              <w:rPr>
                <w:sz w:val="18"/>
                <w:szCs w:val="18"/>
              </w:rPr>
            </w:pPr>
            <w:r w:rsidRPr="00736D0B">
              <w:rPr>
                <w:sz w:val="18"/>
                <w:szCs w:val="18"/>
              </w:rPr>
              <w:t>Distance to the nearest rail station (Km)</w:t>
            </w:r>
          </w:p>
        </w:tc>
        <w:tc>
          <w:tcPr>
            <w:tcW w:w="1137" w:type="dxa"/>
            <w:vAlign w:val="center"/>
          </w:tcPr>
          <w:p w14:paraId="489C1395" w14:textId="77777777" w:rsidR="00736D0B" w:rsidRPr="00736D0B" w:rsidRDefault="00736D0B" w:rsidP="00736D0B">
            <w:pPr>
              <w:pStyle w:val="Table"/>
              <w:rPr>
                <w:sz w:val="18"/>
                <w:szCs w:val="18"/>
              </w:rPr>
            </w:pPr>
          </w:p>
        </w:tc>
        <w:tc>
          <w:tcPr>
            <w:tcW w:w="1136" w:type="dxa"/>
            <w:vAlign w:val="center"/>
          </w:tcPr>
          <w:p w14:paraId="26A816C5" w14:textId="77777777" w:rsidR="00736D0B" w:rsidRPr="00736D0B" w:rsidRDefault="00736D0B" w:rsidP="00736D0B">
            <w:pPr>
              <w:pStyle w:val="Table"/>
              <w:rPr>
                <w:sz w:val="18"/>
                <w:szCs w:val="18"/>
              </w:rPr>
            </w:pPr>
            <w:r w:rsidRPr="00736D0B">
              <w:rPr>
                <w:sz w:val="18"/>
                <w:szCs w:val="18"/>
              </w:rPr>
              <w:t>0.004 [0.002]</w:t>
            </w:r>
          </w:p>
        </w:tc>
        <w:tc>
          <w:tcPr>
            <w:tcW w:w="1216" w:type="dxa"/>
            <w:vAlign w:val="center"/>
          </w:tcPr>
          <w:p w14:paraId="197E3CAA" w14:textId="77777777" w:rsidR="00736D0B" w:rsidRPr="00736D0B" w:rsidRDefault="00736D0B" w:rsidP="00736D0B">
            <w:pPr>
              <w:pStyle w:val="Table"/>
              <w:rPr>
                <w:sz w:val="18"/>
                <w:szCs w:val="18"/>
              </w:rPr>
            </w:pPr>
            <w:r w:rsidRPr="00736D0B">
              <w:rPr>
                <w:sz w:val="18"/>
                <w:szCs w:val="18"/>
              </w:rPr>
              <w:t>0.003 [0.002]</w:t>
            </w:r>
          </w:p>
        </w:tc>
        <w:tc>
          <w:tcPr>
            <w:tcW w:w="1203" w:type="dxa"/>
            <w:vAlign w:val="center"/>
          </w:tcPr>
          <w:p w14:paraId="1AEA08F9" w14:textId="77777777" w:rsidR="00736D0B" w:rsidRPr="00736D0B" w:rsidRDefault="00736D0B" w:rsidP="00736D0B">
            <w:pPr>
              <w:pStyle w:val="Table"/>
              <w:rPr>
                <w:sz w:val="18"/>
                <w:szCs w:val="18"/>
              </w:rPr>
            </w:pPr>
            <w:r w:rsidRPr="00736D0B">
              <w:rPr>
                <w:sz w:val="18"/>
                <w:szCs w:val="18"/>
              </w:rPr>
              <w:t>0.003 [0.002]</w:t>
            </w:r>
          </w:p>
        </w:tc>
        <w:tc>
          <w:tcPr>
            <w:tcW w:w="1203" w:type="dxa"/>
            <w:vAlign w:val="center"/>
          </w:tcPr>
          <w:p w14:paraId="1F66E950" w14:textId="77777777" w:rsidR="00736D0B" w:rsidRPr="00736D0B" w:rsidRDefault="00736D0B" w:rsidP="00736D0B">
            <w:pPr>
              <w:pStyle w:val="Table"/>
              <w:rPr>
                <w:sz w:val="18"/>
                <w:szCs w:val="18"/>
              </w:rPr>
            </w:pPr>
            <w:r w:rsidRPr="00736D0B">
              <w:rPr>
                <w:sz w:val="18"/>
                <w:szCs w:val="18"/>
              </w:rPr>
              <w:t>0.002 [0.002]</w:t>
            </w:r>
          </w:p>
        </w:tc>
      </w:tr>
      <w:tr w:rsidR="00736D0B" w:rsidRPr="00736D0B" w14:paraId="273A62D0" w14:textId="77777777" w:rsidTr="00736D0B">
        <w:trPr>
          <w:trHeight w:val="293"/>
        </w:trPr>
        <w:tc>
          <w:tcPr>
            <w:tcW w:w="3463" w:type="dxa"/>
            <w:vAlign w:val="center"/>
          </w:tcPr>
          <w:p w14:paraId="1883C45B" w14:textId="77777777" w:rsidR="00736D0B" w:rsidRPr="00736D0B" w:rsidRDefault="00736D0B" w:rsidP="00736D0B">
            <w:pPr>
              <w:pStyle w:val="Table"/>
              <w:rPr>
                <w:sz w:val="18"/>
                <w:szCs w:val="18"/>
              </w:rPr>
            </w:pPr>
            <w:r w:rsidRPr="00736D0B">
              <w:rPr>
                <w:sz w:val="18"/>
                <w:szCs w:val="18"/>
              </w:rPr>
              <w:t>Distance to nearest bus corridor (Km)</w:t>
            </w:r>
          </w:p>
        </w:tc>
        <w:tc>
          <w:tcPr>
            <w:tcW w:w="1137" w:type="dxa"/>
            <w:vAlign w:val="center"/>
          </w:tcPr>
          <w:p w14:paraId="1210982D" w14:textId="77777777" w:rsidR="00736D0B" w:rsidRPr="00736D0B" w:rsidRDefault="00736D0B" w:rsidP="00736D0B">
            <w:pPr>
              <w:pStyle w:val="Table"/>
              <w:rPr>
                <w:sz w:val="18"/>
                <w:szCs w:val="18"/>
              </w:rPr>
            </w:pPr>
          </w:p>
        </w:tc>
        <w:tc>
          <w:tcPr>
            <w:tcW w:w="1136" w:type="dxa"/>
            <w:vAlign w:val="center"/>
          </w:tcPr>
          <w:p w14:paraId="21AAA3E8" w14:textId="77777777" w:rsidR="00736D0B" w:rsidRPr="00736D0B" w:rsidRDefault="00736D0B" w:rsidP="00736D0B">
            <w:pPr>
              <w:pStyle w:val="Table"/>
              <w:rPr>
                <w:sz w:val="18"/>
                <w:szCs w:val="18"/>
              </w:rPr>
            </w:pPr>
          </w:p>
        </w:tc>
        <w:tc>
          <w:tcPr>
            <w:tcW w:w="1216" w:type="dxa"/>
            <w:vAlign w:val="center"/>
          </w:tcPr>
          <w:p w14:paraId="2A5EBF8B" w14:textId="77777777" w:rsidR="00736D0B" w:rsidRPr="00736D0B" w:rsidRDefault="00736D0B" w:rsidP="00736D0B">
            <w:pPr>
              <w:pStyle w:val="Table"/>
              <w:rPr>
                <w:sz w:val="18"/>
                <w:szCs w:val="18"/>
              </w:rPr>
            </w:pPr>
            <w:r w:rsidRPr="00736D0B">
              <w:rPr>
                <w:sz w:val="18"/>
                <w:szCs w:val="18"/>
              </w:rPr>
              <w:t>-0.0002 [0.001]</w:t>
            </w:r>
          </w:p>
        </w:tc>
        <w:tc>
          <w:tcPr>
            <w:tcW w:w="1203" w:type="dxa"/>
            <w:vAlign w:val="center"/>
          </w:tcPr>
          <w:p w14:paraId="0FE6FD2F" w14:textId="77777777" w:rsidR="00736D0B" w:rsidRPr="00736D0B" w:rsidRDefault="00736D0B" w:rsidP="00736D0B">
            <w:pPr>
              <w:pStyle w:val="Table"/>
              <w:rPr>
                <w:sz w:val="18"/>
                <w:szCs w:val="18"/>
              </w:rPr>
            </w:pPr>
            <w:r w:rsidRPr="00736D0B">
              <w:rPr>
                <w:sz w:val="18"/>
                <w:szCs w:val="18"/>
              </w:rPr>
              <w:t>-0.001 [0.001]</w:t>
            </w:r>
          </w:p>
        </w:tc>
        <w:tc>
          <w:tcPr>
            <w:tcW w:w="1203" w:type="dxa"/>
            <w:vAlign w:val="center"/>
          </w:tcPr>
          <w:p w14:paraId="2B8BA4B4" w14:textId="77777777" w:rsidR="00736D0B" w:rsidRPr="00736D0B" w:rsidRDefault="00736D0B" w:rsidP="00736D0B">
            <w:pPr>
              <w:pStyle w:val="Table"/>
              <w:rPr>
                <w:sz w:val="18"/>
                <w:szCs w:val="18"/>
              </w:rPr>
            </w:pPr>
            <w:r w:rsidRPr="00736D0B">
              <w:rPr>
                <w:sz w:val="18"/>
                <w:szCs w:val="18"/>
              </w:rPr>
              <w:t>-0.001 [0.001]</w:t>
            </w:r>
          </w:p>
        </w:tc>
      </w:tr>
      <w:tr w:rsidR="00736D0B" w:rsidRPr="00736D0B" w14:paraId="19E9FC38" w14:textId="77777777" w:rsidTr="00736D0B">
        <w:trPr>
          <w:trHeight w:val="293"/>
        </w:trPr>
        <w:tc>
          <w:tcPr>
            <w:tcW w:w="3463" w:type="dxa"/>
            <w:vAlign w:val="center"/>
          </w:tcPr>
          <w:p w14:paraId="05ED7BBD" w14:textId="77777777" w:rsidR="00736D0B" w:rsidRPr="00736D0B" w:rsidRDefault="00736D0B" w:rsidP="00736D0B">
            <w:pPr>
              <w:pStyle w:val="Table"/>
              <w:rPr>
                <w:sz w:val="18"/>
                <w:szCs w:val="18"/>
              </w:rPr>
            </w:pPr>
            <w:r w:rsidRPr="00736D0B">
              <w:rPr>
                <w:sz w:val="18"/>
                <w:szCs w:val="18"/>
              </w:rPr>
              <w:t>The proportion of Transport Voucher users</w:t>
            </w:r>
          </w:p>
        </w:tc>
        <w:tc>
          <w:tcPr>
            <w:tcW w:w="1137" w:type="dxa"/>
            <w:vAlign w:val="center"/>
          </w:tcPr>
          <w:p w14:paraId="02B0C1A7" w14:textId="77777777" w:rsidR="00736D0B" w:rsidRPr="00736D0B" w:rsidRDefault="00736D0B" w:rsidP="00736D0B">
            <w:pPr>
              <w:pStyle w:val="Table"/>
              <w:rPr>
                <w:sz w:val="18"/>
                <w:szCs w:val="18"/>
              </w:rPr>
            </w:pPr>
          </w:p>
        </w:tc>
        <w:tc>
          <w:tcPr>
            <w:tcW w:w="1136" w:type="dxa"/>
            <w:vAlign w:val="center"/>
          </w:tcPr>
          <w:p w14:paraId="5201DBCA" w14:textId="77777777" w:rsidR="00736D0B" w:rsidRPr="00736D0B" w:rsidRDefault="00736D0B" w:rsidP="00736D0B">
            <w:pPr>
              <w:pStyle w:val="Table"/>
              <w:rPr>
                <w:sz w:val="18"/>
                <w:szCs w:val="18"/>
              </w:rPr>
            </w:pPr>
            <w:r w:rsidRPr="00736D0B">
              <w:rPr>
                <w:sz w:val="18"/>
                <w:szCs w:val="18"/>
              </w:rPr>
              <w:t>0.043 [0.030]</w:t>
            </w:r>
          </w:p>
        </w:tc>
        <w:tc>
          <w:tcPr>
            <w:tcW w:w="1216" w:type="dxa"/>
            <w:vAlign w:val="center"/>
          </w:tcPr>
          <w:p w14:paraId="2C59B019" w14:textId="77777777" w:rsidR="00736D0B" w:rsidRPr="00736D0B" w:rsidRDefault="00736D0B" w:rsidP="00736D0B">
            <w:pPr>
              <w:pStyle w:val="Table"/>
              <w:rPr>
                <w:sz w:val="18"/>
                <w:szCs w:val="18"/>
              </w:rPr>
            </w:pPr>
            <w:r w:rsidRPr="00736D0B">
              <w:rPr>
                <w:sz w:val="18"/>
                <w:szCs w:val="18"/>
              </w:rPr>
              <w:t>0.054 [0.029]</w:t>
            </w:r>
          </w:p>
        </w:tc>
        <w:tc>
          <w:tcPr>
            <w:tcW w:w="1203" w:type="dxa"/>
            <w:vAlign w:val="center"/>
          </w:tcPr>
          <w:p w14:paraId="07C58627" w14:textId="77777777" w:rsidR="00736D0B" w:rsidRPr="00736D0B" w:rsidRDefault="00736D0B" w:rsidP="00736D0B">
            <w:pPr>
              <w:pStyle w:val="Table"/>
              <w:rPr>
                <w:sz w:val="18"/>
                <w:szCs w:val="18"/>
              </w:rPr>
            </w:pPr>
            <w:r w:rsidRPr="00736D0B">
              <w:rPr>
                <w:sz w:val="18"/>
                <w:szCs w:val="18"/>
              </w:rPr>
              <w:t>0.042 [0.028]</w:t>
            </w:r>
          </w:p>
        </w:tc>
        <w:tc>
          <w:tcPr>
            <w:tcW w:w="1203" w:type="dxa"/>
            <w:vAlign w:val="center"/>
          </w:tcPr>
          <w:p w14:paraId="3FB83C31" w14:textId="77777777" w:rsidR="00736D0B" w:rsidRPr="00736D0B" w:rsidRDefault="00736D0B" w:rsidP="00736D0B">
            <w:pPr>
              <w:pStyle w:val="Table"/>
              <w:rPr>
                <w:sz w:val="18"/>
                <w:szCs w:val="18"/>
              </w:rPr>
            </w:pPr>
            <w:r w:rsidRPr="00736D0B">
              <w:rPr>
                <w:sz w:val="18"/>
                <w:szCs w:val="18"/>
              </w:rPr>
              <w:t>0.022 [0.029]</w:t>
            </w:r>
          </w:p>
        </w:tc>
      </w:tr>
      <w:tr w:rsidR="00736D0B" w:rsidRPr="00736D0B" w14:paraId="333DC252" w14:textId="77777777" w:rsidTr="00736D0B">
        <w:trPr>
          <w:trHeight w:val="293"/>
        </w:trPr>
        <w:tc>
          <w:tcPr>
            <w:tcW w:w="3463" w:type="dxa"/>
            <w:vAlign w:val="center"/>
          </w:tcPr>
          <w:p w14:paraId="407DB0B5" w14:textId="77777777" w:rsidR="00736D0B" w:rsidRPr="00736D0B" w:rsidRDefault="00736D0B" w:rsidP="00736D0B">
            <w:pPr>
              <w:pStyle w:val="Table"/>
              <w:rPr>
                <w:sz w:val="18"/>
                <w:szCs w:val="18"/>
              </w:rPr>
            </w:pPr>
            <w:r w:rsidRPr="00736D0B">
              <w:rPr>
                <w:sz w:val="18"/>
                <w:szCs w:val="18"/>
              </w:rPr>
              <w:t>Proportion of Students</w:t>
            </w:r>
          </w:p>
        </w:tc>
        <w:tc>
          <w:tcPr>
            <w:tcW w:w="1137" w:type="dxa"/>
            <w:vAlign w:val="center"/>
          </w:tcPr>
          <w:p w14:paraId="30F0EAB8" w14:textId="77777777" w:rsidR="00736D0B" w:rsidRPr="00736D0B" w:rsidRDefault="00736D0B" w:rsidP="00736D0B">
            <w:pPr>
              <w:pStyle w:val="Table"/>
              <w:rPr>
                <w:sz w:val="18"/>
                <w:szCs w:val="18"/>
              </w:rPr>
            </w:pPr>
          </w:p>
        </w:tc>
        <w:tc>
          <w:tcPr>
            <w:tcW w:w="1136" w:type="dxa"/>
            <w:vAlign w:val="center"/>
          </w:tcPr>
          <w:p w14:paraId="25695BF4" w14:textId="77777777" w:rsidR="00736D0B" w:rsidRPr="00736D0B" w:rsidRDefault="00736D0B" w:rsidP="00736D0B">
            <w:pPr>
              <w:pStyle w:val="Table"/>
              <w:rPr>
                <w:sz w:val="18"/>
                <w:szCs w:val="18"/>
              </w:rPr>
            </w:pPr>
          </w:p>
        </w:tc>
        <w:tc>
          <w:tcPr>
            <w:tcW w:w="1216" w:type="dxa"/>
            <w:vAlign w:val="center"/>
          </w:tcPr>
          <w:p w14:paraId="55F96194" w14:textId="77777777" w:rsidR="00736D0B" w:rsidRPr="00736D0B" w:rsidRDefault="00736D0B" w:rsidP="00736D0B">
            <w:pPr>
              <w:pStyle w:val="Table"/>
              <w:rPr>
                <w:sz w:val="18"/>
                <w:szCs w:val="18"/>
              </w:rPr>
            </w:pPr>
            <w:r w:rsidRPr="00736D0B">
              <w:rPr>
                <w:sz w:val="18"/>
                <w:szCs w:val="18"/>
              </w:rPr>
              <w:t>0.037 [0.026]</w:t>
            </w:r>
          </w:p>
        </w:tc>
        <w:tc>
          <w:tcPr>
            <w:tcW w:w="1203" w:type="dxa"/>
            <w:vAlign w:val="center"/>
          </w:tcPr>
          <w:p w14:paraId="5B213E9C" w14:textId="77777777" w:rsidR="00736D0B" w:rsidRPr="00736D0B" w:rsidRDefault="00736D0B" w:rsidP="00736D0B">
            <w:pPr>
              <w:pStyle w:val="Table"/>
              <w:rPr>
                <w:sz w:val="18"/>
                <w:szCs w:val="18"/>
              </w:rPr>
            </w:pPr>
            <w:r w:rsidRPr="00736D0B">
              <w:rPr>
                <w:sz w:val="18"/>
                <w:szCs w:val="18"/>
              </w:rPr>
              <w:t>0.019 [0.029]</w:t>
            </w:r>
          </w:p>
        </w:tc>
        <w:tc>
          <w:tcPr>
            <w:tcW w:w="1203" w:type="dxa"/>
            <w:vAlign w:val="center"/>
          </w:tcPr>
          <w:p w14:paraId="256BCA54" w14:textId="77777777" w:rsidR="00736D0B" w:rsidRPr="00736D0B" w:rsidRDefault="00736D0B" w:rsidP="00736D0B">
            <w:pPr>
              <w:pStyle w:val="Table"/>
              <w:rPr>
                <w:sz w:val="18"/>
                <w:szCs w:val="18"/>
              </w:rPr>
            </w:pPr>
            <w:r w:rsidRPr="00736D0B">
              <w:rPr>
                <w:sz w:val="18"/>
                <w:szCs w:val="18"/>
              </w:rPr>
              <w:t>0.022 [0.029]</w:t>
            </w:r>
          </w:p>
        </w:tc>
      </w:tr>
      <w:tr w:rsidR="00736D0B" w:rsidRPr="00736D0B" w14:paraId="2351F654" w14:textId="77777777" w:rsidTr="00736D0B">
        <w:trPr>
          <w:trHeight w:val="329"/>
        </w:trPr>
        <w:tc>
          <w:tcPr>
            <w:tcW w:w="3463" w:type="dxa"/>
            <w:tcBorders>
              <w:bottom w:val="single" w:sz="4" w:space="0" w:color="000000"/>
            </w:tcBorders>
            <w:vAlign w:val="center"/>
          </w:tcPr>
          <w:p w14:paraId="63549A68" w14:textId="77777777" w:rsidR="00736D0B" w:rsidRPr="00736D0B" w:rsidRDefault="00736D0B" w:rsidP="00736D0B">
            <w:pPr>
              <w:pStyle w:val="Table"/>
              <w:rPr>
                <w:sz w:val="18"/>
                <w:szCs w:val="18"/>
              </w:rPr>
            </w:pPr>
            <w:r w:rsidRPr="00736D0B">
              <w:rPr>
                <w:sz w:val="18"/>
                <w:szCs w:val="18"/>
              </w:rPr>
              <w:t>Presence of CEU unit (1 km radius, dummy)</w:t>
            </w:r>
          </w:p>
        </w:tc>
        <w:tc>
          <w:tcPr>
            <w:tcW w:w="1137" w:type="dxa"/>
            <w:tcBorders>
              <w:bottom w:val="single" w:sz="4" w:space="0" w:color="000000"/>
            </w:tcBorders>
            <w:vAlign w:val="center"/>
          </w:tcPr>
          <w:p w14:paraId="3FB460B9" w14:textId="77777777" w:rsidR="00736D0B" w:rsidRPr="00736D0B" w:rsidRDefault="00736D0B" w:rsidP="00736D0B">
            <w:pPr>
              <w:pStyle w:val="Table"/>
              <w:rPr>
                <w:sz w:val="18"/>
                <w:szCs w:val="18"/>
              </w:rPr>
            </w:pPr>
          </w:p>
        </w:tc>
        <w:tc>
          <w:tcPr>
            <w:tcW w:w="1136" w:type="dxa"/>
            <w:tcBorders>
              <w:bottom w:val="single" w:sz="4" w:space="0" w:color="000000"/>
            </w:tcBorders>
            <w:vAlign w:val="center"/>
          </w:tcPr>
          <w:p w14:paraId="05EF63FD" w14:textId="77777777" w:rsidR="00736D0B" w:rsidRPr="00736D0B" w:rsidRDefault="00736D0B" w:rsidP="00736D0B">
            <w:pPr>
              <w:pStyle w:val="Table"/>
              <w:rPr>
                <w:sz w:val="18"/>
                <w:szCs w:val="18"/>
              </w:rPr>
            </w:pPr>
          </w:p>
        </w:tc>
        <w:tc>
          <w:tcPr>
            <w:tcW w:w="1216" w:type="dxa"/>
            <w:tcBorders>
              <w:bottom w:val="single" w:sz="4" w:space="0" w:color="000000"/>
            </w:tcBorders>
            <w:vAlign w:val="center"/>
          </w:tcPr>
          <w:p w14:paraId="4BDB9F06" w14:textId="77777777" w:rsidR="00736D0B" w:rsidRPr="00736D0B" w:rsidRDefault="00736D0B" w:rsidP="00736D0B">
            <w:pPr>
              <w:pStyle w:val="Table"/>
              <w:rPr>
                <w:sz w:val="18"/>
                <w:szCs w:val="18"/>
              </w:rPr>
            </w:pPr>
            <w:r w:rsidRPr="00736D0B">
              <w:rPr>
                <w:sz w:val="18"/>
                <w:szCs w:val="18"/>
              </w:rPr>
              <w:t>0.058 [0.015]</w:t>
            </w:r>
          </w:p>
        </w:tc>
        <w:tc>
          <w:tcPr>
            <w:tcW w:w="1203" w:type="dxa"/>
            <w:tcBorders>
              <w:bottom w:val="single" w:sz="4" w:space="0" w:color="000000"/>
            </w:tcBorders>
            <w:vAlign w:val="center"/>
          </w:tcPr>
          <w:p w14:paraId="43709946" w14:textId="77777777" w:rsidR="00736D0B" w:rsidRPr="00736D0B" w:rsidRDefault="00736D0B" w:rsidP="00736D0B">
            <w:pPr>
              <w:pStyle w:val="Table"/>
              <w:rPr>
                <w:sz w:val="18"/>
                <w:szCs w:val="18"/>
              </w:rPr>
            </w:pPr>
            <w:r w:rsidRPr="00736D0B">
              <w:rPr>
                <w:sz w:val="18"/>
                <w:szCs w:val="18"/>
              </w:rPr>
              <w:t>0.047 [0.015]</w:t>
            </w:r>
          </w:p>
        </w:tc>
        <w:tc>
          <w:tcPr>
            <w:tcW w:w="1203" w:type="dxa"/>
            <w:tcBorders>
              <w:bottom w:val="single" w:sz="4" w:space="0" w:color="000000"/>
            </w:tcBorders>
            <w:vAlign w:val="center"/>
          </w:tcPr>
          <w:p w14:paraId="51B4E214" w14:textId="77777777" w:rsidR="00736D0B" w:rsidRPr="00736D0B" w:rsidRDefault="00736D0B" w:rsidP="00736D0B">
            <w:pPr>
              <w:pStyle w:val="Table"/>
              <w:rPr>
                <w:sz w:val="18"/>
                <w:szCs w:val="18"/>
              </w:rPr>
            </w:pPr>
            <w:r w:rsidRPr="00736D0B">
              <w:rPr>
                <w:sz w:val="18"/>
                <w:szCs w:val="18"/>
              </w:rPr>
              <w:t>0.048 [0.015]</w:t>
            </w:r>
          </w:p>
        </w:tc>
      </w:tr>
      <w:tr w:rsidR="00736D0B" w:rsidRPr="00736D0B" w14:paraId="091CCF98" w14:textId="77777777" w:rsidTr="00736D0B">
        <w:trPr>
          <w:trHeight w:val="364"/>
        </w:trPr>
        <w:tc>
          <w:tcPr>
            <w:tcW w:w="3463" w:type="dxa"/>
            <w:tcBorders>
              <w:top w:val="single" w:sz="4" w:space="0" w:color="000000"/>
              <w:bottom w:val="single" w:sz="4" w:space="0" w:color="000000"/>
            </w:tcBorders>
            <w:vAlign w:val="center"/>
          </w:tcPr>
          <w:p w14:paraId="1A63BEEC" w14:textId="77777777" w:rsidR="00736D0B" w:rsidRPr="00736D0B" w:rsidRDefault="00736D0B" w:rsidP="00736D0B">
            <w:pPr>
              <w:pStyle w:val="Table"/>
              <w:rPr>
                <w:i/>
                <w:iCs/>
                <w:sz w:val="18"/>
                <w:szCs w:val="18"/>
              </w:rPr>
            </w:pPr>
            <w:r w:rsidRPr="00736D0B">
              <w:rPr>
                <w:i/>
                <w:iCs/>
                <w:sz w:val="18"/>
                <w:szCs w:val="18"/>
              </w:rPr>
              <w:t>Interaction terms:</w:t>
            </w:r>
          </w:p>
        </w:tc>
        <w:tc>
          <w:tcPr>
            <w:tcW w:w="1137" w:type="dxa"/>
            <w:tcBorders>
              <w:top w:val="single" w:sz="4" w:space="0" w:color="000000"/>
              <w:bottom w:val="single" w:sz="4" w:space="0" w:color="000000"/>
            </w:tcBorders>
            <w:vAlign w:val="center"/>
          </w:tcPr>
          <w:p w14:paraId="7FA0255E" w14:textId="77777777" w:rsidR="00736D0B" w:rsidRPr="00736D0B" w:rsidRDefault="00736D0B" w:rsidP="00736D0B">
            <w:pPr>
              <w:pStyle w:val="Table"/>
              <w:rPr>
                <w:i/>
                <w:iCs/>
                <w:sz w:val="18"/>
                <w:szCs w:val="18"/>
              </w:rPr>
            </w:pPr>
          </w:p>
        </w:tc>
        <w:tc>
          <w:tcPr>
            <w:tcW w:w="1136" w:type="dxa"/>
            <w:tcBorders>
              <w:top w:val="single" w:sz="4" w:space="0" w:color="000000"/>
              <w:bottom w:val="single" w:sz="4" w:space="0" w:color="000000"/>
            </w:tcBorders>
            <w:vAlign w:val="center"/>
          </w:tcPr>
          <w:p w14:paraId="3DC68BD9" w14:textId="77777777" w:rsidR="00736D0B" w:rsidRPr="00736D0B" w:rsidRDefault="00736D0B" w:rsidP="00736D0B">
            <w:pPr>
              <w:pStyle w:val="Table"/>
              <w:rPr>
                <w:i/>
                <w:iCs/>
                <w:sz w:val="18"/>
                <w:szCs w:val="18"/>
              </w:rPr>
            </w:pPr>
          </w:p>
        </w:tc>
        <w:tc>
          <w:tcPr>
            <w:tcW w:w="1216" w:type="dxa"/>
            <w:tcBorders>
              <w:top w:val="single" w:sz="4" w:space="0" w:color="000000"/>
              <w:bottom w:val="single" w:sz="4" w:space="0" w:color="000000"/>
            </w:tcBorders>
            <w:vAlign w:val="center"/>
          </w:tcPr>
          <w:p w14:paraId="04EFD1B0" w14:textId="77777777" w:rsidR="00736D0B" w:rsidRPr="00736D0B" w:rsidRDefault="00736D0B" w:rsidP="00736D0B">
            <w:pPr>
              <w:pStyle w:val="Table"/>
              <w:rPr>
                <w:i/>
                <w:iCs/>
                <w:sz w:val="18"/>
                <w:szCs w:val="18"/>
              </w:rPr>
            </w:pPr>
          </w:p>
        </w:tc>
        <w:tc>
          <w:tcPr>
            <w:tcW w:w="1203" w:type="dxa"/>
            <w:tcBorders>
              <w:top w:val="single" w:sz="4" w:space="0" w:color="000000"/>
              <w:bottom w:val="single" w:sz="4" w:space="0" w:color="000000"/>
            </w:tcBorders>
            <w:vAlign w:val="center"/>
          </w:tcPr>
          <w:p w14:paraId="7F4BF5D8" w14:textId="77777777" w:rsidR="00736D0B" w:rsidRPr="00736D0B" w:rsidRDefault="00736D0B" w:rsidP="00736D0B">
            <w:pPr>
              <w:pStyle w:val="Table"/>
              <w:rPr>
                <w:i/>
                <w:iCs/>
                <w:sz w:val="18"/>
                <w:szCs w:val="18"/>
              </w:rPr>
            </w:pPr>
          </w:p>
        </w:tc>
        <w:tc>
          <w:tcPr>
            <w:tcW w:w="1203" w:type="dxa"/>
            <w:tcBorders>
              <w:top w:val="single" w:sz="4" w:space="0" w:color="000000"/>
              <w:bottom w:val="single" w:sz="4" w:space="0" w:color="000000"/>
            </w:tcBorders>
            <w:vAlign w:val="center"/>
          </w:tcPr>
          <w:p w14:paraId="2023666B" w14:textId="77777777" w:rsidR="00736D0B" w:rsidRPr="00736D0B" w:rsidRDefault="00736D0B" w:rsidP="00736D0B">
            <w:pPr>
              <w:pStyle w:val="Table"/>
              <w:rPr>
                <w:i/>
                <w:iCs/>
                <w:sz w:val="18"/>
                <w:szCs w:val="18"/>
              </w:rPr>
            </w:pPr>
          </w:p>
        </w:tc>
      </w:tr>
      <w:tr w:rsidR="00736D0B" w:rsidRPr="00736D0B" w14:paraId="6F878652" w14:textId="77777777" w:rsidTr="00736D0B">
        <w:trPr>
          <w:trHeight w:val="328"/>
        </w:trPr>
        <w:tc>
          <w:tcPr>
            <w:tcW w:w="3463" w:type="dxa"/>
            <w:tcBorders>
              <w:top w:val="single" w:sz="4" w:space="0" w:color="000000"/>
            </w:tcBorders>
            <w:vAlign w:val="center"/>
          </w:tcPr>
          <w:p w14:paraId="3154C0F4" w14:textId="77777777" w:rsidR="00736D0B" w:rsidRPr="00736D0B" w:rsidRDefault="00736D0B" w:rsidP="00736D0B">
            <w:pPr>
              <w:pStyle w:val="Table"/>
              <w:rPr>
                <w:sz w:val="18"/>
                <w:szCs w:val="18"/>
              </w:rPr>
            </w:pPr>
            <w:r w:rsidRPr="00736D0B">
              <w:rPr>
                <w:sz w:val="18"/>
                <w:szCs w:val="18"/>
              </w:rPr>
              <w:t>Smart card x Income</w:t>
            </w:r>
          </w:p>
        </w:tc>
        <w:tc>
          <w:tcPr>
            <w:tcW w:w="1137" w:type="dxa"/>
            <w:tcBorders>
              <w:top w:val="single" w:sz="4" w:space="0" w:color="000000"/>
            </w:tcBorders>
            <w:vAlign w:val="center"/>
          </w:tcPr>
          <w:p w14:paraId="1B7B161A" w14:textId="77777777" w:rsidR="00736D0B" w:rsidRPr="00736D0B" w:rsidRDefault="00736D0B" w:rsidP="00736D0B">
            <w:pPr>
              <w:pStyle w:val="Table"/>
              <w:rPr>
                <w:sz w:val="18"/>
                <w:szCs w:val="18"/>
              </w:rPr>
            </w:pPr>
          </w:p>
        </w:tc>
        <w:tc>
          <w:tcPr>
            <w:tcW w:w="1136" w:type="dxa"/>
            <w:tcBorders>
              <w:top w:val="single" w:sz="4" w:space="0" w:color="000000"/>
            </w:tcBorders>
            <w:vAlign w:val="center"/>
          </w:tcPr>
          <w:p w14:paraId="5C0BA588" w14:textId="77777777" w:rsidR="00736D0B" w:rsidRPr="00736D0B" w:rsidRDefault="00736D0B" w:rsidP="00736D0B">
            <w:pPr>
              <w:pStyle w:val="Table"/>
              <w:rPr>
                <w:sz w:val="18"/>
                <w:szCs w:val="18"/>
              </w:rPr>
            </w:pPr>
          </w:p>
        </w:tc>
        <w:tc>
          <w:tcPr>
            <w:tcW w:w="1216" w:type="dxa"/>
            <w:tcBorders>
              <w:top w:val="single" w:sz="4" w:space="0" w:color="000000"/>
            </w:tcBorders>
            <w:vAlign w:val="center"/>
          </w:tcPr>
          <w:p w14:paraId="45DA3430" w14:textId="77777777" w:rsidR="00736D0B" w:rsidRPr="00736D0B" w:rsidRDefault="00736D0B" w:rsidP="00736D0B">
            <w:pPr>
              <w:pStyle w:val="Table"/>
              <w:rPr>
                <w:sz w:val="18"/>
                <w:szCs w:val="18"/>
              </w:rPr>
            </w:pPr>
          </w:p>
        </w:tc>
        <w:tc>
          <w:tcPr>
            <w:tcW w:w="1203" w:type="dxa"/>
            <w:tcBorders>
              <w:top w:val="single" w:sz="4" w:space="0" w:color="000000"/>
            </w:tcBorders>
            <w:vAlign w:val="center"/>
          </w:tcPr>
          <w:p w14:paraId="5F10F0D9" w14:textId="77777777" w:rsidR="00736D0B" w:rsidRPr="00736D0B" w:rsidRDefault="00736D0B" w:rsidP="00736D0B">
            <w:pPr>
              <w:pStyle w:val="Table"/>
              <w:rPr>
                <w:sz w:val="18"/>
                <w:szCs w:val="18"/>
              </w:rPr>
            </w:pPr>
            <w:r w:rsidRPr="00736D0B">
              <w:rPr>
                <w:sz w:val="18"/>
                <w:szCs w:val="18"/>
              </w:rPr>
              <w:t>-0.376 [0.146]</w:t>
            </w:r>
          </w:p>
        </w:tc>
        <w:tc>
          <w:tcPr>
            <w:tcW w:w="1203" w:type="dxa"/>
            <w:tcBorders>
              <w:top w:val="single" w:sz="4" w:space="0" w:color="000000"/>
            </w:tcBorders>
            <w:vAlign w:val="center"/>
          </w:tcPr>
          <w:p w14:paraId="27F4A5C0" w14:textId="77777777" w:rsidR="00736D0B" w:rsidRPr="00736D0B" w:rsidRDefault="00736D0B" w:rsidP="00736D0B">
            <w:pPr>
              <w:pStyle w:val="Table"/>
              <w:rPr>
                <w:sz w:val="18"/>
                <w:szCs w:val="18"/>
              </w:rPr>
            </w:pPr>
            <w:r w:rsidRPr="00736D0B">
              <w:rPr>
                <w:sz w:val="18"/>
                <w:szCs w:val="18"/>
              </w:rPr>
              <w:t>-0.317 [0.166]</w:t>
            </w:r>
          </w:p>
        </w:tc>
      </w:tr>
      <w:tr w:rsidR="00736D0B" w:rsidRPr="00736D0B" w14:paraId="6D305B3B" w14:textId="77777777" w:rsidTr="00736D0B">
        <w:trPr>
          <w:trHeight w:val="293"/>
        </w:trPr>
        <w:tc>
          <w:tcPr>
            <w:tcW w:w="3463" w:type="dxa"/>
            <w:vAlign w:val="center"/>
          </w:tcPr>
          <w:p w14:paraId="3D38F43F" w14:textId="77777777" w:rsidR="00736D0B" w:rsidRPr="00736D0B" w:rsidRDefault="00736D0B" w:rsidP="00736D0B">
            <w:pPr>
              <w:pStyle w:val="Table"/>
              <w:rPr>
                <w:sz w:val="18"/>
                <w:szCs w:val="18"/>
              </w:rPr>
            </w:pPr>
            <w:r w:rsidRPr="00736D0B">
              <w:rPr>
                <w:sz w:val="18"/>
                <w:szCs w:val="18"/>
              </w:rPr>
              <w:t>Smart card x bus corridor</w:t>
            </w:r>
          </w:p>
        </w:tc>
        <w:tc>
          <w:tcPr>
            <w:tcW w:w="1137" w:type="dxa"/>
            <w:vAlign w:val="center"/>
          </w:tcPr>
          <w:p w14:paraId="4CFEE37C" w14:textId="77777777" w:rsidR="00736D0B" w:rsidRPr="00736D0B" w:rsidRDefault="00736D0B" w:rsidP="00736D0B">
            <w:pPr>
              <w:pStyle w:val="Table"/>
              <w:rPr>
                <w:sz w:val="18"/>
                <w:szCs w:val="18"/>
              </w:rPr>
            </w:pPr>
          </w:p>
        </w:tc>
        <w:tc>
          <w:tcPr>
            <w:tcW w:w="1136" w:type="dxa"/>
            <w:vAlign w:val="center"/>
          </w:tcPr>
          <w:p w14:paraId="6969FAA4" w14:textId="77777777" w:rsidR="00736D0B" w:rsidRPr="00736D0B" w:rsidRDefault="00736D0B" w:rsidP="00736D0B">
            <w:pPr>
              <w:pStyle w:val="Table"/>
              <w:rPr>
                <w:sz w:val="18"/>
                <w:szCs w:val="18"/>
              </w:rPr>
            </w:pPr>
          </w:p>
        </w:tc>
        <w:tc>
          <w:tcPr>
            <w:tcW w:w="1216" w:type="dxa"/>
            <w:vAlign w:val="center"/>
          </w:tcPr>
          <w:p w14:paraId="21C14351" w14:textId="77777777" w:rsidR="00736D0B" w:rsidRPr="00736D0B" w:rsidRDefault="00736D0B" w:rsidP="00736D0B">
            <w:pPr>
              <w:pStyle w:val="Table"/>
              <w:rPr>
                <w:sz w:val="18"/>
                <w:szCs w:val="18"/>
              </w:rPr>
            </w:pPr>
          </w:p>
        </w:tc>
        <w:tc>
          <w:tcPr>
            <w:tcW w:w="1203" w:type="dxa"/>
            <w:vAlign w:val="center"/>
          </w:tcPr>
          <w:p w14:paraId="0E4036D2" w14:textId="77777777" w:rsidR="00736D0B" w:rsidRPr="00736D0B" w:rsidRDefault="00736D0B" w:rsidP="00736D0B">
            <w:pPr>
              <w:pStyle w:val="Table"/>
              <w:rPr>
                <w:sz w:val="18"/>
                <w:szCs w:val="18"/>
              </w:rPr>
            </w:pPr>
            <w:r w:rsidRPr="00736D0B">
              <w:rPr>
                <w:sz w:val="18"/>
                <w:szCs w:val="18"/>
              </w:rPr>
              <w:t>0.015 [0.010]</w:t>
            </w:r>
          </w:p>
        </w:tc>
        <w:tc>
          <w:tcPr>
            <w:tcW w:w="1203" w:type="dxa"/>
            <w:vAlign w:val="center"/>
          </w:tcPr>
          <w:p w14:paraId="5083D933" w14:textId="77777777" w:rsidR="00736D0B" w:rsidRPr="00736D0B" w:rsidRDefault="00736D0B" w:rsidP="00736D0B">
            <w:pPr>
              <w:pStyle w:val="Table"/>
              <w:rPr>
                <w:sz w:val="18"/>
                <w:szCs w:val="18"/>
              </w:rPr>
            </w:pPr>
            <w:r w:rsidRPr="00736D0B">
              <w:rPr>
                <w:sz w:val="18"/>
                <w:szCs w:val="18"/>
              </w:rPr>
              <w:t>0.015 [0.010]</w:t>
            </w:r>
          </w:p>
        </w:tc>
      </w:tr>
      <w:tr w:rsidR="00736D0B" w:rsidRPr="00736D0B" w14:paraId="4C8709C0" w14:textId="77777777" w:rsidTr="00736D0B">
        <w:trPr>
          <w:trHeight w:val="293"/>
        </w:trPr>
        <w:tc>
          <w:tcPr>
            <w:tcW w:w="3463" w:type="dxa"/>
            <w:vAlign w:val="center"/>
          </w:tcPr>
          <w:p w14:paraId="7328E13D" w14:textId="77777777" w:rsidR="00736D0B" w:rsidRPr="00736D0B" w:rsidRDefault="00736D0B" w:rsidP="00736D0B">
            <w:pPr>
              <w:pStyle w:val="Table"/>
              <w:rPr>
                <w:sz w:val="18"/>
                <w:szCs w:val="18"/>
              </w:rPr>
            </w:pPr>
            <w:r w:rsidRPr="00736D0B">
              <w:rPr>
                <w:sz w:val="18"/>
                <w:szCs w:val="18"/>
              </w:rPr>
              <w:t>Smart card x students</w:t>
            </w:r>
          </w:p>
        </w:tc>
        <w:tc>
          <w:tcPr>
            <w:tcW w:w="1137" w:type="dxa"/>
            <w:vAlign w:val="center"/>
          </w:tcPr>
          <w:p w14:paraId="0255D647" w14:textId="77777777" w:rsidR="00736D0B" w:rsidRPr="00736D0B" w:rsidRDefault="00736D0B" w:rsidP="00736D0B">
            <w:pPr>
              <w:pStyle w:val="Table"/>
              <w:rPr>
                <w:sz w:val="18"/>
                <w:szCs w:val="18"/>
              </w:rPr>
            </w:pPr>
          </w:p>
        </w:tc>
        <w:tc>
          <w:tcPr>
            <w:tcW w:w="1136" w:type="dxa"/>
            <w:vAlign w:val="center"/>
          </w:tcPr>
          <w:p w14:paraId="320A11AC" w14:textId="77777777" w:rsidR="00736D0B" w:rsidRPr="00736D0B" w:rsidRDefault="00736D0B" w:rsidP="00736D0B">
            <w:pPr>
              <w:pStyle w:val="Table"/>
              <w:rPr>
                <w:sz w:val="18"/>
                <w:szCs w:val="18"/>
              </w:rPr>
            </w:pPr>
          </w:p>
        </w:tc>
        <w:tc>
          <w:tcPr>
            <w:tcW w:w="1216" w:type="dxa"/>
            <w:vAlign w:val="center"/>
          </w:tcPr>
          <w:p w14:paraId="4754CFF3" w14:textId="77777777" w:rsidR="00736D0B" w:rsidRPr="00736D0B" w:rsidRDefault="00736D0B" w:rsidP="00736D0B">
            <w:pPr>
              <w:pStyle w:val="Table"/>
              <w:rPr>
                <w:sz w:val="18"/>
                <w:szCs w:val="18"/>
              </w:rPr>
            </w:pPr>
          </w:p>
        </w:tc>
        <w:tc>
          <w:tcPr>
            <w:tcW w:w="1203" w:type="dxa"/>
            <w:vAlign w:val="center"/>
          </w:tcPr>
          <w:p w14:paraId="1BBA6D4E" w14:textId="77777777" w:rsidR="00736D0B" w:rsidRPr="00736D0B" w:rsidRDefault="00736D0B" w:rsidP="00736D0B">
            <w:pPr>
              <w:pStyle w:val="Table"/>
              <w:rPr>
                <w:sz w:val="18"/>
                <w:szCs w:val="18"/>
              </w:rPr>
            </w:pPr>
            <w:r w:rsidRPr="00736D0B">
              <w:rPr>
                <w:sz w:val="18"/>
                <w:szCs w:val="18"/>
              </w:rPr>
              <w:t>0.223 [0.580]</w:t>
            </w:r>
          </w:p>
        </w:tc>
        <w:tc>
          <w:tcPr>
            <w:tcW w:w="1203" w:type="dxa"/>
            <w:vAlign w:val="center"/>
          </w:tcPr>
          <w:p w14:paraId="59FFFC83" w14:textId="77777777" w:rsidR="00736D0B" w:rsidRPr="00736D0B" w:rsidRDefault="00736D0B" w:rsidP="00736D0B">
            <w:pPr>
              <w:pStyle w:val="Table"/>
              <w:rPr>
                <w:sz w:val="18"/>
                <w:szCs w:val="18"/>
              </w:rPr>
            </w:pPr>
            <w:r w:rsidRPr="00736D0B">
              <w:rPr>
                <w:sz w:val="18"/>
                <w:szCs w:val="18"/>
              </w:rPr>
              <w:t>0.176 [0.573]</w:t>
            </w:r>
          </w:p>
        </w:tc>
      </w:tr>
      <w:tr w:rsidR="00736D0B" w:rsidRPr="00736D0B" w14:paraId="39EDE832" w14:textId="77777777" w:rsidTr="00736D0B">
        <w:trPr>
          <w:trHeight w:val="293"/>
        </w:trPr>
        <w:tc>
          <w:tcPr>
            <w:tcW w:w="3463" w:type="dxa"/>
            <w:vAlign w:val="center"/>
          </w:tcPr>
          <w:p w14:paraId="738DF49F" w14:textId="77777777" w:rsidR="00736D0B" w:rsidRPr="00736D0B" w:rsidRDefault="00736D0B" w:rsidP="00736D0B">
            <w:pPr>
              <w:pStyle w:val="Table"/>
              <w:rPr>
                <w:sz w:val="18"/>
                <w:szCs w:val="18"/>
              </w:rPr>
            </w:pPr>
            <w:r w:rsidRPr="00736D0B">
              <w:rPr>
                <w:sz w:val="18"/>
                <w:szCs w:val="18"/>
              </w:rPr>
              <w:t>Smart card x CEU</w:t>
            </w:r>
          </w:p>
        </w:tc>
        <w:tc>
          <w:tcPr>
            <w:tcW w:w="1137" w:type="dxa"/>
            <w:vAlign w:val="center"/>
          </w:tcPr>
          <w:p w14:paraId="27EE6ADA" w14:textId="77777777" w:rsidR="00736D0B" w:rsidRPr="00736D0B" w:rsidRDefault="00736D0B" w:rsidP="00736D0B">
            <w:pPr>
              <w:pStyle w:val="Table"/>
              <w:rPr>
                <w:sz w:val="18"/>
                <w:szCs w:val="18"/>
              </w:rPr>
            </w:pPr>
          </w:p>
        </w:tc>
        <w:tc>
          <w:tcPr>
            <w:tcW w:w="1136" w:type="dxa"/>
            <w:vAlign w:val="center"/>
          </w:tcPr>
          <w:p w14:paraId="0086070A" w14:textId="77777777" w:rsidR="00736D0B" w:rsidRPr="00736D0B" w:rsidRDefault="00736D0B" w:rsidP="00736D0B">
            <w:pPr>
              <w:pStyle w:val="Table"/>
              <w:rPr>
                <w:sz w:val="18"/>
                <w:szCs w:val="18"/>
              </w:rPr>
            </w:pPr>
          </w:p>
        </w:tc>
        <w:tc>
          <w:tcPr>
            <w:tcW w:w="1216" w:type="dxa"/>
            <w:vAlign w:val="center"/>
          </w:tcPr>
          <w:p w14:paraId="30C8B5F1" w14:textId="77777777" w:rsidR="00736D0B" w:rsidRPr="00736D0B" w:rsidRDefault="00736D0B" w:rsidP="00736D0B">
            <w:pPr>
              <w:pStyle w:val="Table"/>
              <w:rPr>
                <w:sz w:val="18"/>
                <w:szCs w:val="18"/>
              </w:rPr>
            </w:pPr>
          </w:p>
        </w:tc>
        <w:tc>
          <w:tcPr>
            <w:tcW w:w="1203" w:type="dxa"/>
            <w:vAlign w:val="center"/>
          </w:tcPr>
          <w:p w14:paraId="1EF8B7F2" w14:textId="77777777" w:rsidR="00736D0B" w:rsidRPr="00736D0B" w:rsidRDefault="00736D0B" w:rsidP="00736D0B">
            <w:pPr>
              <w:pStyle w:val="Table"/>
              <w:rPr>
                <w:sz w:val="18"/>
                <w:szCs w:val="18"/>
              </w:rPr>
            </w:pPr>
            <w:r w:rsidRPr="00736D0B">
              <w:rPr>
                <w:sz w:val="18"/>
                <w:szCs w:val="18"/>
              </w:rPr>
              <w:t>0.051 [0.183]</w:t>
            </w:r>
          </w:p>
        </w:tc>
        <w:tc>
          <w:tcPr>
            <w:tcW w:w="1203" w:type="dxa"/>
            <w:vAlign w:val="center"/>
          </w:tcPr>
          <w:p w14:paraId="46B57247" w14:textId="77777777" w:rsidR="00736D0B" w:rsidRPr="00736D0B" w:rsidRDefault="00736D0B" w:rsidP="00736D0B">
            <w:pPr>
              <w:pStyle w:val="Table"/>
              <w:rPr>
                <w:sz w:val="18"/>
                <w:szCs w:val="18"/>
              </w:rPr>
            </w:pPr>
            <w:r w:rsidRPr="00736D0B">
              <w:rPr>
                <w:sz w:val="18"/>
                <w:szCs w:val="18"/>
              </w:rPr>
              <w:t>0.044 [0.190]</w:t>
            </w:r>
          </w:p>
        </w:tc>
      </w:tr>
      <w:tr w:rsidR="00736D0B" w:rsidRPr="00736D0B" w14:paraId="7F0FF410" w14:textId="77777777" w:rsidTr="00736D0B">
        <w:trPr>
          <w:trHeight w:val="293"/>
        </w:trPr>
        <w:tc>
          <w:tcPr>
            <w:tcW w:w="3463" w:type="dxa"/>
            <w:vAlign w:val="center"/>
          </w:tcPr>
          <w:p w14:paraId="76F19297" w14:textId="77777777" w:rsidR="00736D0B" w:rsidRPr="00736D0B" w:rsidRDefault="00736D0B" w:rsidP="00736D0B">
            <w:pPr>
              <w:pStyle w:val="Table"/>
              <w:rPr>
                <w:sz w:val="18"/>
                <w:szCs w:val="18"/>
              </w:rPr>
            </w:pPr>
            <w:r w:rsidRPr="00736D0B">
              <w:rPr>
                <w:sz w:val="18"/>
                <w:szCs w:val="18"/>
              </w:rPr>
              <w:t>Smart card x rail station</w:t>
            </w:r>
          </w:p>
        </w:tc>
        <w:tc>
          <w:tcPr>
            <w:tcW w:w="1137" w:type="dxa"/>
            <w:vAlign w:val="center"/>
          </w:tcPr>
          <w:p w14:paraId="2C918F30" w14:textId="77777777" w:rsidR="00736D0B" w:rsidRPr="00736D0B" w:rsidRDefault="00736D0B" w:rsidP="00736D0B">
            <w:pPr>
              <w:pStyle w:val="Table"/>
              <w:rPr>
                <w:sz w:val="18"/>
                <w:szCs w:val="18"/>
              </w:rPr>
            </w:pPr>
          </w:p>
        </w:tc>
        <w:tc>
          <w:tcPr>
            <w:tcW w:w="1136" w:type="dxa"/>
            <w:vAlign w:val="center"/>
          </w:tcPr>
          <w:p w14:paraId="672EE04E" w14:textId="77777777" w:rsidR="00736D0B" w:rsidRPr="00736D0B" w:rsidRDefault="00736D0B" w:rsidP="00736D0B">
            <w:pPr>
              <w:pStyle w:val="Table"/>
              <w:rPr>
                <w:sz w:val="18"/>
                <w:szCs w:val="18"/>
              </w:rPr>
            </w:pPr>
          </w:p>
        </w:tc>
        <w:tc>
          <w:tcPr>
            <w:tcW w:w="1216" w:type="dxa"/>
            <w:vAlign w:val="center"/>
          </w:tcPr>
          <w:p w14:paraId="0C5FEF33" w14:textId="77777777" w:rsidR="00736D0B" w:rsidRPr="00736D0B" w:rsidRDefault="00736D0B" w:rsidP="00736D0B">
            <w:pPr>
              <w:pStyle w:val="Table"/>
              <w:rPr>
                <w:sz w:val="18"/>
                <w:szCs w:val="18"/>
              </w:rPr>
            </w:pPr>
          </w:p>
        </w:tc>
        <w:tc>
          <w:tcPr>
            <w:tcW w:w="1203" w:type="dxa"/>
            <w:vAlign w:val="center"/>
          </w:tcPr>
          <w:p w14:paraId="5768295B" w14:textId="77777777" w:rsidR="00736D0B" w:rsidRPr="00736D0B" w:rsidRDefault="00736D0B" w:rsidP="00736D0B">
            <w:pPr>
              <w:pStyle w:val="Table"/>
              <w:rPr>
                <w:sz w:val="18"/>
                <w:szCs w:val="18"/>
              </w:rPr>
            </w:pPr>
          </w:p>
        </w:tc>
        <w:tc>
          <w:tcPr>
            <w:tcW w:w="1203" w:type="dxa"/>
            <w:vAlign w:val="center"/>
          </w:tcPr>
          <w:p w14:paraId="520759E1" w14:textId="77777777" w:rsidR="00736D0B" w:rsidRPr="00736D0B" w:rsidRDefault="00736D0B" w:rsidP="00736D0B">
            <w:pPr>
              <w:pStyle w:val="Table"/>
              <w:rPr>
                <w:sz w:val="18"/>
                <w:szCs w:val="18"/>
              </w:rPr>
            </w:pPr>
            <w:r w:rsidRPr="00736D0B">
              <w:rPr>
                <w:sz w:val="18"/>
                <w:szCs w:val="18"/>
              </w:rPr>
              <w:t>0.018 [0.038]</w:t>
            </w:r>
          </w:p>
        </w:tc>
      </w:tr>
      <w:tr w:rsidR="00736D0B" w:rsidRPr="00736D0B" w14:paraId="736B59B4" w14:textId="77777777" w:rsidTr="00736D0B">
        <w:trPr>
          <w:trHeight w:val="293"/>
        </w:trPr>
        <w:tc>
          <w:tcPr>
            <w:tcW w:w="3463" w:type="dxa"/>
            <w:vAlign w:val="center"/>
          </w:tcPr>
          <w:p w14:paraId="2212F629" w14:textId="77777777" w:rsidR="00736D0B" w:rsidRPr="00736D0B" w:rsidRDefault="00736D0B" w:rsidP="00736D0B">
            <w:pPr>
              <w:pStyle w:val="Table"/>
              <w:rPr>
                <w:sz w:val="18"/>
                <w:szCs w:val="18"/>
              </w:rPr>
            </w:pPr>
            <w:r w:rsidRPr="00736D0B">
              <w:rPr>
                <w:sz w:val="18"/>
                <w:szCs w:val="18"/>
              </w:rPr>
              <w:t>Smart card x Transport Voucher</w:t>
            </w:r>
          </w:p>
        </w:tc>
        <w:tc>
          <w:tcPr>
            <w:tcW w:w="1137" w:type="dxa"/>
            <w:vAlign w:val="center"/>
          </w:tcPr>
          <w:p w14:paraId="4C7A4F65" w14:textId="77777777" w:rsidR="00736D0B" w:rsidRPr="00736D0B" w:rsidRDefault="00736D0B" w:rsidP="00736D0B">
            <w:pPr>
              <w:pStyle w:val="Table"/>
              <w:rPr>
                <w:sz w:val="18"/>
                <w:szCs w:val="18"/>
              </w:rPr>
            </w:pPr>
          </w:p>
        </w:tc>
        <w:tc>
          <w:tcPr>
            <w:tcW w:w="1136" w:type="dxa"/>
            <w:vAlign w:val="center"/>
          </w:tcPr>
          <w:p w14:paraId="0B44C0FE" w14:textId="77777777" w:rsidR="00736D0B" w:rsidRPr="00736D0B" w:rsidRDefault="00736D0B" w:rsidP="00736D0B">
            <w:pPr>
              <w:pStyle w:val="Table"/>
              <w:rPr>
                <w:sz w:val="18"/>
                <w:szCs w:val="18"/>
              </w:rPr>
            </w:pPr>
          </w:p>
        </w:tc>
        <w:tc>
          <w:tcPr>
            <w:tcW w:w="1216" w:type="dxa"/>
            <w:vAlign w:val="center"/>
          </w:tcPr>
          <w:p w14:paraId="67AC87F1" w14:textId="77777777" w:rsidR="00736D0B" w:rsidRPr="00736D0B" w:rsidRDefault="00736D0B" w:rsidP="00736D0B">
            <w:pPr>
              <w:pStyle w:val="Table"/>
              <w:rPr>
                <w:sz w:val="18"/>
                <w:szCs w:val="18"/>
              </w:rPr>
            </w:pPr>
          </w:p>
        </w:tc>
        <w:tc>
          <w:tcPr>
            <w:tcW w:w="1203" w:type="dxa"/>
            <w:vAlign w:val="center"/>
          </w:tcPr>
          <w:p w14:paraId="60E8272E" w14:textId="77777777" w:rsidR="00736D0B" w:rsidRPr="00736D0B" w:rsidRDefault="00736D0B" w:rsidP="00736D0B">
            <w:pPr>
              <w:pStyle w:val="Table"/>
              <w:rPr>
                <w:sz w:val="18"/>
                <w:szCs w:val="18"/>
              </w:rPr>
            </w:pPr>
          </w:p>
        </w:tc>
        <w:tc>
          <w:tcPr>
            <w:tcW w:w="1203" w:type="dxa"/>
            <w:vAlign w:val="center"/>
          </w:tcPr>
          <w:p w14:paraId="4533E880" w14:textId="77777777" w:rsidR="00736D0B" w:rsidRPr="00736D0B" w:rsidRDefault="00736D0B" w:rsidP="00736D0B">
            <w:pPr>
              <w:pStyle w:val="Table"/>
              <w:rPr>
                <w:sz w:val="18"/>
                <w:szCs w:val="18"/>
              </w:rPr>
            </w:pPr>
            <w:r w:rsidRPr="00736D0B">
              <w:rPr>
                <w:sz w:val="18"/>
                <w:szCs w:val="18"/>
              </w:rPr>
              <w:t>0.495 [0.656]</w:t>
            </w:r>
          </w:p>
        </w:tc>
      </w:tr>
      <w:tr w:rsidR="00736D0B" w:rsidRPr="00736D0B" w14:paraId="7FB72734" w14:textId="77777777" w:rsidTr="00736D0B">
        <w:trPr>
          <w:trHeight w:val="329"/>
        </w:trPr>
        <w:tc>
          <w:tcPr>
            <w:tcW w:w="3463" w:type="dxa"/>
            <w:tcBorders>
              <w:bottom w:val="single" w:sz="4" w:space="0" w:color="000000"/>
            </w:tcBorders>
            <w:vAlign w:val="center"/>
          </w:tcPr>
          <w:p w14:paraId="785D3B1C" w14:textId="77777777" w:rsidR="00736D0B" w:rsidRPr="00736D0B" w:rsidRDefault="00736D0B" w:rsidP="00736D0B">
            <w:pPr>
              <w:pStyle w:val="Table"/>
              <w:rPr>
                <w:sz w:val="18"/>
                <w:szCs w:val="18"/>
              </w:rPr>
            </w:pPr>
            <w:r w:rsidRPr="00736D0B">
              <w:rPr>
                <w:sz w:val="18"/>
                <w:szCs w:val="18"/>
              </w:rPr>
              <w:t>Constant</w:t>
            </w:r>
          </w:p>
        </w:tc>
        <w:tc>
          <w:tcPr>
            <w:tcW w:w="1137" w:type="dxa"/>
            <w:tcBorders>
              <w:bottom w:val="single" w:sz="4" w:space="0" w:color="000000"/>
            </w:tcBorders>
            <w:vAlign w:val="center"/>
          </w:tcPr>
          <w:p w14:paraId="2BB19098" w14:textId="77777777" w:rsidR="00736D0B" w:rsidRPr="00736D0B" w:rsidRDefault="00736D0B" w:rsidP="00736D0B">
            <w:pPr>
              <w:pStyle w:val="Table"/>
              <w:rPr>
                <w:sz w:val="18"/>
                <w:szCs w:val="18"/>
              </w:rPr>
            </w:pPr>
            <w:r w:rsidRPr="00736D0B">
              <w:rPr>
                <w:sz w:val="18"/>
                <w:szCs w:val="18"/>
              </w:rPr>
              <w:t>-0.234 [0.018]</w:t>
            </w:r>
          </w:p>
        </w:tc>
        <w:tc>
          <w:tcPr>
            <w:tcW w:w="1136" w:type="dxa"/>
            <w:tcBorders>
              <w:bottom w:val="single" w:sz="4" w:space="0" w:color="000000"/>
            </w:tcBorders>
            <w:vAlign w:val="center"/>
          </w:tcPr>
          <w:p w14:paraId="5604CE97" w14:textId="77777777" w:rsidR="00736D0B" w:rsidRPr="00736D0B" w:rsidRDefault="00736D0B" w:rsidP="00736D0B">
            <w:pPr>
              <w:pStyle w:val="Table"/>
              <w:rPr>
                <w:sz w:val="18"/>
                <w:szCs w:val="18"/>
              </w:rPr>
            </w:pPr>
            <w:r w:rsidRPr="00736D0B">
              <w:rPr>
                <w:sz w:val="18"/>
                <w:szCs w:val="18"/>
              </w:rPr>
              <w:t>0.174 [0.064]</w:t>
            </w:r>
          </w:p>
        </w:tc>
        <w:tc>
          <w:tcPr>
            <w:tcW w:w="1216" w:type="dxa"/>
            <w:tcBorders>
              <w:bottom w:val="single" w:sz="4" w:space="0" w:color="000000"/>
            </w:tcBorders>
            <w:vAlign w:val="center"/>
          </w:tcPr>
          <w:p w14:paraId="1176599D" w14:textId="77777777" w:rsidR="00736D0B" w:rsidRPr="00736D0B" w:rsidRDefault="00736D0B" w:rsidP="00736D0B">
            <w:pPr>
              <w:pStyle w:val="Table"/>
              <w:rPr>
                <w:sz w:val="18"/>
                <w:szCs w:val="18"/>
              </w:rPr>
            </w:pPr>
            <w:r w:rsidRPr="00736D0B">
              <w:rPr>
                <w:sz w:val="18"/>
                <w:szCs w:val="18"/>
              </w:rPr>
              <w:t>0.179 [0.066]</w:t>
            </w:r>
          </w:p>
        </w:tc>
        <w:tc>
          <w:tcPr>
            <w:tcW w:w="1203" w:type="dxa"/>
            <w:tcBorders>
              <w:bottom w:val="single" w:sz="4" w:space="0" w:color="000000"/>
            </w:tcBorders>
            <w:vAlign w:val="center"/>
          </w:tcPr>
          <w:p w14:paraId="04589EF3" w14:textId="77777777" w:rsidR="00736D0B" w:rsidRPr="00736D0B" w:rsidRDefault="00736D0B" w:rsidP="00736D0B">
            <w:pPr>
              <w:pStyle w:val="Table"/>
              <w:rPr>
                <w:sz w:val="18"/>
                <w:szCs w:val="18"/>
              </w:rPr>
            </w:pPr>
            <w:r w:rsidRPr="00736D0B">
              <w:rPr>
                <w:sz w:val="18"/>
                <w:szCs w:val="18"/>
              </w:rPr>
              <w:t>0.119 [0.066]</w:t>
            </w:r>
          </w:p>
        </w:tc>
        <w:tc>
          <w:tcPr>
            <w:tcW w:w="1203" w:type="dxa"/>
            <w:tcBorders>
              <w:bottom w:val="single" w:sz="4" w:space="0" w:color="000000"/>
            </w:tcBorders>
            <w:vAlign w:val="center"/>
          </w:tcPr>
          <w:p w14:paraId="56D68B9F" w14:textId="77777777" w:rsidR="00736D0B" w:rsidRPr="00736D0B" w:rsidRDefault="00736D0B" w:rsidP="00736D0B">
            <w:pPr>
              <w:pStyle w:val="Table"/>
              <w:rPr>
                <w:sz w:val="18"/>
                <w:szCs w:val="18"/>
              </w:rPr>
            </w:pPr>
            <w:r w:rsidRPr="00736D0B">
              <w:rPr>
                <w:sz w:val="18"/>
                <w:szCs w:val="18"/>
              </w:rPr>
              <w:t>0.119 [0.066]</w:t>
            </w:r>
          </w:p>
        </w:tc>
      </w:tr>
      <w:tr w:rsidR="00736D0B" w:rsidRPr="00736D0B" w14:paraId="23982378" w14:textId="77777777" w:rsidTr="00736D0B">
        <w:trPr>
          <w:trHeight w:val="328"/>
        </w:trPr>
        <w:tc>
          <w:tcPr>
            <w:tcW w:w="3463" w:type="dxa"/>
            <w:tcBorders>
              <w:top w:val="single" w:sz="4" w:space="0" w:color="000000"/>
            </w:tcBorders>
            <w:vAlign w:val="center"/>
          </w:tcPr>
          <w:p w14:paraId="3067EAEE" w14:textId="77777777" w:rsidR="00736D0B" w:rsidRPr="00736D0B" w:rsidRDefault="00736D0B" w:rsidP="00736D0B">
            <w:pPr>
              <w:pStyle w:val="Table"/>
              <w:rPr>
                <w:sz w:val="18"/>
                <w:szCs w:val="18"/>
              </w:rPr>
            </w:pPr>
            <w:r w:rsidRPr="00736D0B">
              <w:rPr>
                <w:sz w:val="18"/>
                <w:szCs w:val="18"/>
              </w:rPr>
              <w:t>Interaction terms F-test statistic</w:t>
            </w:r>
          </w:p>
        </w:tc>
        <w:tc>
          <w:tcPr>
            <w:tcW w:w="1137" w:type="dxa"/>
            <w:tcBorders>
              <w:top w:val="single" w:sz="4" w:space="0" w:color="000000"/>
            </w:tcBorders>
            <w:vAlign w:val="center"/>
          </w:tcPr>
          <w:p w14:paraId="1DAC7BAA" w14:textId="77777777" w:rsidR="00736D0B" w:rsidRPr="00736D0B" w:rsidRDefault="00736D0B" w:rsidP="00736D0B">
            <w:pPr>
              <w:pStyle w:val="Table"/>
              <w:rPr>
                <w:sz w:val="18"/>
                <w:szCs w:val="18"/>
              </w:rPr>
            </w:pPr>
          </w:p>
        </w:tc>
        <w:tc>
          <w:tcPr>
            <w:tcW w:w="1136" w:type="dxa"/>
            <w:tcBorders>
              <w:top w:val="single" w:sz="4" w:space="0" w:color="000000"/>
            </w:tcBorders>
            <w:vAlign w:val="center"/>
          </w:tcPr>
          <w:p w14:paraId="7D10DC01" w14:textId="77777777" w:rsidR="00736D0B" w:rsidRPr="00736D0B" w:rsidRDefault="00736D0B" w:rsidP="00736D0B">
            <w:pPr>
              <w:pStyle w:val="Table"/>
              <w:rPr>
                <w:sz w:val="18"/>
                <w:szCs w:val="18"/>
              </w:rPr>
            </w:pPr>
          </w:p>
        </w:tc>
        <w:tc>
          <w:tcPr>
            <w:tcW w:w="1216" w:type="dxa"/>
            <w:tcBorders>
              <w:top w:val="single" w:sz="4" w:space="0" w:color="000000"/>
            </w:tcBorders>
            <w:vAlign w:val="center"/>
          </w:tcPr>
          <w:p w14:paraId="0AD51BDC" w14:textId="77777777" w:rsidR="00736D0B" w:rsidRPr="00736D0B" w:rsidRDefault="00736D0B" w:rsidP="00736D0B">
            <w:pPr>
              <w:pStyle w:val="Table"/>
              <w:rPr>
                <w:sz w:val="18"/>
                <w:szCs w:val="18"/>
              </w:rPr>
            </w:pPr>
          </w:p>
        </w:tc>
        <w:tc>
          <w:tcPr>
            <w:tcW w:w="1203" w:type="dxa"/>
            <w:tcBorders>
              <w:top w:val="single" w:sz="4" w:space="0" w:color="000000"/>
            </w:tcBorders>
            <w:vAlign w:val="center"/>
          </w:tcPr>
          <w:p w14:paraId="2C9A8663" w14:textId="77777777" w:rsidR="00736D0B" w:rsidRPr="00736D0B" w:rsidRDefault="00736D0B" w:rsidP="00736D0B">
            <w:pPr>
              <w:pStyle w:val="Table"/>
              <w:rPr>
                <w:sz w:val="18"/>
                <w:szCs w:val="18"/>
              </w:rPr>
            </w:pPr>
            <w:r w:rsidRPr="00736D0B">
              <w:rPr>
                <w:sz w:val="18"/>
                <w:szCs w:val="18"/>
              </w:rPr>
              <w:t>12.59</w:t>
            </w:r>
          </w:p>
        </w:tc>
        <w:tc>
          <w:tcPr>
            <w:tcW w:w="1203" w:type="dxa"/>
            <w:tcBorders>
              <w:top w:val="single" w:sz="4" w:space="0" w:color="000000"/>
            </w:tcBorders>
            <w:vAlign w:val="center"/>
          </w:tcPr>
          <w:p w14:paraId="3F225809" w14:textId="77777777" w:rsidR="00736D0B" w:rsidRPr="00736D0B" w:rsidRDefault="00736D0B" w:rsidP="00736D0B">
            <w:pPr>
              <w:pStyle w:val="Table"/>
              <w:rPr>
                <w:sz w:val="18"/>
                <w:szCs w:val="18"/>
              </w:rPr>
            </w:pPr>
            <w:r w:rsidRPr="00736D0B">
              <w:rPr>
                <w:sz w:val="18"/>
                <w:szCs w:val="18"/>
              </w:rPr>
              <w:t>9.15</w:t>
            </w:r>
          </w:p>
        </w:tc>
      </w:tr>
      <w:tr w:rsidR="00736D0B" w:rsidRPr="00736D0B" w14:paraId="4AC0DE70" w14:textId="77777777" w:rsidTr="00736D0B">
        <w:trPr>
          <w:trHeight w:val="293"/>
        </w:trPr>
        <w:tc>
          <w:tcPr>
            <w:tcW w:w="3463" w:type="dxa"/>
            <w:vAlign w:val="center"/>
          </w:tcPr>
          <w:p w14:paraId="1E95700A" w14:textId="18F4EF40" w:rsidR="00736D0B" w:rsidRPr="00736D0B" w:rsidRDefault="00736D0B" w:rsidP="00736D0B">
            <w:pPr>
              <w:pStyle w:val="Table"/>
              <w:rPr>
                <w:sz w:val="18"/>
                <w:szCs w:val="18"/>
              </w:rPr>
            </w:pPr>
            <w:r w:rsidRPr="00736D0B">
              <w:rPr>
                <w:sz w:val="18"/>
                <w:szCs w:val="18"/>
              </w:rPr>
              <w:t>Degrees of freedom F-test</w:t>
            </w:r>
          </w:p>
        </w:tc>
        <w:tc>
          <w:tcPr>
            <w:tcW w:w="1137" w:type="dxa"/>
            <w:vAlign w:val="center"/>
          </w:tcPr>
          <w:p w14:paraId="65F7E102" w14:textId="77777777" w:rsidR="00736D0B" w:rsidRPr="00736D0B" w:rsidRDefault="00736D0B" w:rsidP="00736D0B">
            <w:pPr>
              <w:pStyle w:val="Table"/>
              <w:rPr>
                <w:sz w:val="18"/>
                <w:szCs w:val="18"/>
              </w:rPr>
            </w:pPr>
          </w:p>
        </w:tc>
        <w:tc>
          <w:tcPr>
            <w:tcW w:w="1136" w:type="dxa"/>
            <w:vAlign w:val="center"/>
          </w:tcPr>
          <w:p w14:paraId="717FFE76" w14:textId="77777777" w:rsidR="00736D0B" w:rsidRPr="00736D0B" w:rsidRDefault="00736D0B" w:rsidP="00736D0B">
            <w:pPr>
              <w:pStyle w:val="Table"/>
              <w:rPr>
                <w:sz w:val="18"/>
                <w:szCs w:val="18"/>
              </w:rPr>
            </w:pPr>
          </w:p>
        </w:tc>
        <w:tc>
          <w:tcPr>
            <w:tcW w:w="1216" w:type="dxa"/>
            <w:vAlign w:val="center"/>
          </w:tcPr>
          <w:p w14:paraId="5651F4EB" w14:textId="77777777" w:rsidR="00736D0B" w:rsidRPr="00736D0B" w:rsidRDefault="00736D0B" w:rsidP="00736D0B">
            <w:pPr>
              <w:pStyle w:val="Table"/>
              <w:rPr>
                <w:sz w:val="18"/>
                <w:szCs w:val="18"/>
              </w:rPr>
            </w:pPr>
          </w:p>
        </w:tc>
        <w:tc>
          <w:tcPr>
            <w:tcW w:w="1203" w:type="dxa"/>
            <w:vAlign w:val="center"/>
          </w:tcPr>
          <w:p w14:paraId="212DC58C" w14:textId="77777777" w:rsidR="00736D0B" w:rsidRPr="00736D0B" w:rsidRDefault="00736D0B" w:rsidP="00736D0B">
            <w:pPr>
              <w:pStyle w:val="Table"/>
              <w:rPr>
                <w:sz w:val="18"/>
                <w:szCs w:val="18"/>
              </w:rPr>
            </w:pPr>
            <w:r w:rsidRPr="00736D0B">
              <w:rPr>
                <w:sz w:val="18"/>
                <w:szCs w:val="18"/>
              </w:rPr>
              <w:t>(</w:t>
            </w:r>
            <w:proofErr w:type="spellStart"/>
            <w:r w:rsidRPr="00736D0B">
              <w:rPr>
                <w:sz w:val="18"/>
                <w:szCs w:val="18"/>
              </w:rPr>
              <w:t>df</w:t>
            </w:r>
            <w:proofErr w:type="spellEnd"/>
            <w:r w:rsidRPr="00736D0B">
              <w:rPr>
                <w:sz w:val="18"/>
                <w:szCs w:val="18"/>
              </w:rPr>
              <w:t xml:space="preserve"> = 5; 601)</w:t>
            </w:r>
          </w:p>
        </w:tc>
        <w:tc>
          <w:tcPr>
            <w:tcW w:w="1203" w:type="dxa"/>
            <w:vAlign w:val="center"/>
          </w:tcPr>
          <w:p w14:paraId="74004E18" w14:textId="77777777" w:rsidR="00736D0B" w:rsidRPr="00736D0B" w:rsidRDefault="00736D0B" w:rsidP="00736D0B">
            <w:pPr>
              <w:pStyle w:val="Table"/>
              <w:rPr>
                <w:sz w:val="18"/>
                <w:szCs w:val="18"/>
              </w:rPr>
            </w:pPr>
            <w:r w:rsidRPr="00736D0B">
              <w:rPr>
                <w:sz w:val="18"/>
                <w:szCs w:val="18"/>
              </w:rPr>
              <w:t>(</w:t>
            </w:r>
            <w:proofErr w:type="spellStart"/>
            <w:r w:rsidRPr="00736D0B">
              <w:rPr>
                <w:sz w:val="18"/>
                <w:szCs w:val="18"/>
              </w:rPr>
              <w:t>df</w:t>
            </w:r>
            <w:proofErr w:type="spellEnd"/>
            <w:r w:rsidRPr="00736D0B">
              <w:rPr>
                <w:sz w:val="18"/>
                <w:szCs w:val="18"/>
              </w:rPr>
              <w:t xml:space="preserve"> = 7; 599)</w:t>
            </w:r>
          </w:p>
        </w:tc>
      </w:tr>
      <w:tr w:rsidR="00736D0B" w:rsidRPr="00736D0B" w14:paraId="411ABFD6" w14:textId="77777777" w:rsidTr="00736D0B">
        <w:trPr>
          <w:trHeight w:val="293"/>
        </w:trPr>
        <w:tc>
          <w:tcPr>
            <w:tcW w:w="3463" w:type="dxa"/>
            <w:vAlign w:val="center"/>
          </w:tcPr>
          <w:p w14:paraId="642241EE" w14:textId="77777777" w:rsidR="00736D0B" w:rsidRPr="00736D0B" w:rsidRDefault="00736D0B" w:rsidP="00736D0B">
            <w:pPr>
              <w:pStyle w:val="Table"/>
              <w:rPr>
                <w:sz w:val="18"/>
                <w:szCs w:val="18"/>
              </w:rPr>
            </w:pPr>
            <w:r w:rsidRPr="00736D0B">
              <w:rPr>
                <w:sz w:val="18"/>
                <w:szCs w:val="18"/>
              </w:rPr>
              <w:t>Observations</w:t>
            </w:r>
          </w:p>
        </w:tc>
        <w:tc>
          <w:tcPr>
            <w:tcW w:w="1137" w:type="dxa"/>
            <w:vAlign w:val="center"/>
          </w:tcPr>
          <w:p w14:paraId="11484019" w14:textId="77777777" w:rsidR="00736D0B" w:rsidRPr="00736D0B" w:rsidRDefault="00736D0B" w:rsidP="00736D0B">
            <w:pPr>
              <w:pStyle w:val="Table"/>
              <w:rPr>
                <w:sz w:val="18"/>
                <w:szCs w:val="18"/>
              </w:rPr>
            </w:pPr>
            <w:r w:rsidRPr="00736D0B">
              <w:rPr>
                <w:sz w:val="18"/>
                <w:szCs w:val="18"/>
              </w:rPr>
              <w:t>614</w:t>
            </w:r>
          </w:p>
        </w:tc>
        <w:tc>
          <w:tcPr>
            <w:tcW w:w="1136" w:type="dxa"/>
            <w:vAlign w:val="center"/>
          </w:tcPr>
          <w:p w14:paraId="1BCFC37E" w14:textId="77777777" w:rsidR="00736D0B" w:rsidRPr="00736D0B" w:rsidRDefault="00736D0B" w:rsidP="00736D0B">
            <w:pPr>
              <w:pStyle w:val="Table"/>
              <w:rPr>
                <w:sz w:val="18"/>
                <w:szCs w:val="18"/>
              </w:rPr>
            </w:pPr>
            <w:r w:rsidRPr="00736D0B">
              <w:rPr>
                <w:sz w:val="18"/>
                <w:szCs w:val="18"/>
              </w:rPr>
              <w:t>614</w:t>
            </w:r>
          </w:p>
        </w:tc>
        <w:tc>
          <w:tcPr>
            <w:tcW w:w="1216" w:type="dxa"/>
            <w:vAlign w:val="center"/>
          </w:tcPr>
          <w:p w14:paraId="0C8B8C66" w14:textId="77777777" w:rsidR="00736D0B" w:rsidRPr="00736D0B" w:rsidRDefault="00736D0B" w:rsidP="00736D0B">
            <w:pPr>
              <w:pStyle w:val="Table"/>
              <w:rPr>
                <w:sz w:val="18"/>
                <w:szCs w:val="18"/>
              </w:rPr>
            </w:pPr>
            <w:r w:rsidRPr="00736D0B">
              <w:rPr>
                <w:sz w:val="18"/>
                <w:szCs w:val="18"/>
              </w:rPr>
              <w:t>614</w:t>
            </w:r>
          </w:p>
        </w:tc>
        <w:tc>
          <w:tcPr>
            <w:tcW w:w="1203" w:type="dxa"/>
            <w:vAlign w:val="center"/>
          </w:tcPr>
          <w:p w14:paraId="6095CD70" w14:textId="77777777" w:rsidR="00736D0B" w:rsidRPr="00736D0B" w:rsidRDefault="00736D0B" w:rsidP="00736D0B">
            <w:pPr>
              <w:pStyle w:val="Table"/>
              <w:rPr>
                <w:sz w:val="18"/>
                <w:szCs w:val="18"/>
              </w:rPr>
            </w:pPr>
            <w:r w:rsidRPr="00736D0B">
              <w:rPr>
                <w:sz w:val="18"/>
                <w:szCs w:val="18"/>
              </w:rPr>
              <w:t>614</w:t>
            </w:r>
          </w:p>
        </w:tc>
        <w:tc>
          <w:tcPr>
            <w:tcW w:w="1203" w:type="dxa"/>
            <w:vAlign w:val="center"/>
          </w:tcPr>
          <w:p w14:paraId="6DF73E37" w14:textId="77777777" w:rsidR="00736D0B" w:rsidRPr="00736D0B" w:rsidRDefault="00736D0B" w:rsidP="00736D0B">
            <w:pPr>
              <w:pStyle w:val="Table"/>
              <w:rPr>
                <w:sz w:val="18"/>
                <w:szCs w:val="18"/>
              </w:rPr>
            </w:pPr>
            <w:r w:rsidRPr="00736D0B">
              <w:rPr>
                <w:sz w:val="18"/>
                <w:szCs w:val="18"/>
              </w:rPr>
              <w:t>614</w:t>
            </w:r>
          </w:p>
        </w:tc>
      </w:tr>
      <w:tr w:rsidR="00736D0B" w:rsidRPr="00736D0B" w14:paraId="0BB458E1" w14:textId="77777777" w:rsidTr="00736D0B">
        <w:trPr>
          <w:trHeight w:val="293"/>
        </w:trPr>
        <w:tc>
          <w:tcPr>
            <w:tcW w:w="3463" w:type="dxa"/>
            <w:vAlign w:val="center"/>
          </w:tcPr>
          <w:p w14:paraId="3A3E5853" w14:textId="77777777" w:rsidR="00736D0B" w:rsidRPr="00736D0B" w:rsidRDefault="00736D0B" w:rsidP="00736D0B">
            <w:pPr>
              <w:pStyle w:val="Table"/>
              <w:rPr>
                <w:sz w:val="18"/>
                <w:szCs w:val="18"/>
              </w:rPr>
            </w:pPr>
            <w:r w:rsidRPr="00736D0B">
              <w:rPr>
                <w:sz w:val="18"/>
                <w:szCs w:val="18"/>
              </w:rPr>
              <w:t>Adjusted R-squared</w:t>
            </w:r>
          </w:p>
        </w:tc>
        <w:tc>
          <w:tcPr>
            <w:tcW w:w="1137" w:type="dxa"/>
            <w:vAlign w:val="center"/>
          </w:tcPr>
          <w:p w14:paraId="04CF2AFE" w14:textId="77777777" w:rsidR="00736D0B" w:rsidRPr="00736D0B" w:rsidRDefault="00736D0B" w:rsidP="00736D0B">
            <w:pPr>
              <w:pStyle w:val="Table"/>
              <w:rPr>
                <w:sz w:val="18"/>
                <w:szCs w:val="18"/>
              </w:rPr>
            </w:pPr>
            <w:r w:rsidRPr="00736D0B">
              <w:rPr>
                <w:sz w:val="18"/>
                <w:szCs w:val="18"/>
              </w:rPr>
              <w:t>0.278</w:t>
            </w:r>
          </w:p>
        </w:tc>
        <w:tc>
          <w:tcPr>
            <w:tcW w:w="1136" w:type="dxa"/>
            <w:vAlign w:val="center"/>
          </w:tcPr>
          <w:p w14:paraId="1AB106A7" w14:textId="77777777" w:rsidR="00736D0B" w:rsidRPr="00736D0B" w:rsidRDefault="00736D0B" w:rsidP="00736D0B">
            <w:pPr>
              <w:pStyle w:val="Table"/>
              <w:rPr>
                <w:sz w:val="18"/>
                <w:szCs w:val="18"/>
              </w:rPr>
            </w:pPr>
            <w:r w:rsidRPr="00736D0B">
              <w:rPr>
                <w:sz w:val="18"/>
                <w:szCs w:val="18"/>
              </w:rPr>
              <w:t>0.347</w:t>
            </w:r>
          </w:p>
        </w:tc>
        <w:tc>
          <w:tcPr>
            <w:tcW w:w="1216" w:type="dxa"/>
            <w:vAlign w:val="center"/>
          </w:tcPr>
          <w:p w14:paraId="1458E6DF" w14:textId="77777777" w:rsidR="00736D0B" w:rsidRPr="00736D0B" w:rsidRDefault="00736D0B" w:rsidP="00736D0B">
            <w:pPr>
              <w:pStyle w:val="Table"/>
              <w:rPr>
                <w:sz w:val="18"/>
                <w:szCs w:val="18"/>
              </w:rPr>
            </w:pPr>
            <w:r w:rsidRPr="00736D0B">
              <w:rPr>
                <w:sz w:val="18"/>
                <w:szCs w:val="18"/>
              </w:rPr>
              <w:t>0.367</w:t>
            </w:r>
          </w:p>
        </w:tc>
        <w:tc>
          <w:tcPr>
            <w:tcW w:w="1203" w:type="dxa"/>
            <w:vAlign w:val="center"/>
          </w:tcPr>
          <w:p w14:paraId="319DC750" w14:textId="77777777" w:rsidR="00736D0B" w:rsidRPr="00736D0B" w:rsidRDefault="00736D0B" w:rsidP="00736D0B">
            <w:pPr>
              <w:pStyle w:val="Table"/>
              <w:rPr>
                <w:sz w:val="18"/>
                <w:szCs w:val="18"/>
              </w:rPr>
            </w:pPr>
            <w:r w:rsidRPr="00736D0B">
              <w:rPr>
                <w:sz w:val="18"/>
                <w:szCs w:val="18"/>
              </w:rPr>
              <w:t>0.406</w:t>
            </w:r>
          </w:p>
        </w:tc>
        <w:tc>
          <w:tcPr>
            <w:tcW w:w="1203" w:type="dxa"/>
            <w:vAlign w:val="center"/>
          </w:tcPr>
          <w:p w14:paraId="0CF41AC9" w14:textId="77777777" w:rsidR="00736D0B" w:rsidRPr="00736D0B" w:rsidRDefault="00736D0B" w:rsidP="00736D0B">
            <w:pPr>
              <w:pStyle w:val="Table"/>
              <w:rPr>
                <w:sz w:val="18"/>
                <w:szCs w:val="18"/>
              </w:rPr>
            </w:pPr>
            <w:r w:rsidRPr="00736D0B">
              <w:rPr>
                <w:sz w:val="18"/>
                <w:szCs w:val="18"/>
              </w:rPr>
              <w:t>0.406</w:t>
            </w:r>
          </w:p>
        </w:tc>
      </w:tr>
      <w:tr w:rsidR="00736D0B" w:rsidRPr="00736D0B" w14:paraId="4804B7E8" w14:textId="77777777" w:rsidTr="00736D0B">
        <w:trPr>
          <w:trHeight w:val="293"/>
        </w:trPr>
        <w:tc>
          <w:tcPr>
            <w:tcW w:w="3463" w:type="dxa"/>
            <w:vAlign w:val="center"/>
          </w:tcPr>
          <w:p w14:paraId="20C26AA2" w14:textId="77777777" w:rsidR="00736D0B" w:rsidRPr="00736D0B" w:rsidRDefault="00736D0B" w:rsidP="00736D0B">
            <w:pPr>
              <w:pStyle w:val="Table"/>
              <w:rPr>
                <w:sz w:val="18"/>
                <w:szCs w:val="18"/>
              </w:rPr>
            </w:pPr>
            <w:r w:rsidRPr="00736D0B">
              <w:rPr>
                <w:sz w:val="18"/>
                <w:szCs w:val="18"/>
              </w:rPr>
              <w:t>Full model F-test statistic</w:t>
            </w:r>
          </w:p>
        </w:tc>
        <w:tc>
          <w:tcPr>
            <w:tcW w:w="1137" w:type="dxa"/>
            <w:vAlign w:val="center"/>
          </w:tcPr>
          <w:p w14:paraId="5D8199D9" w14:textId="77777777" w:rsidR="00736D0B" w:rsidRPr="00736D0B" w:rsidRDefault="00736D0B" w:rsidP="00736D0B">
            <w:pPr>
              <w:pStyle w:val="Table"/>
              <w:rPr>
                <w:sz w:val="18"/>
                <w:szCs w:val="18"/>
              </w:rPr>
            </w:pPr>
          </w:p>
        </w:tc>
        <w:tc>
          <w:tcPr>
            <w:tcW w:w="1136" w:type="dxa"/>
            <w:vAlign w:val="center"/>
          </w:tcPr>
          <w:p w14:paraId="4FF8013C" w14:textId="77777777" w:rsidR="00736D0B" w:rsidRPr="00736D0B" w:rsidRDefault="00736D0B" w:rsidP="00736D0B">
            <w:pPr>
              <w:pStyle w:val="Table"/>
              <w:rPr>
                <w:sz w:val="18"/>
                <w:szCs w:val="18"/>
              </w:rPr>
            </w:pPr>
          </w:p>
        </w:tc>
        <w:tc>
          <w:tcPr>
            <w:tcW w:w="1216" w:type="dxa"/>
            <w:vAlign w:val="center"/>
          </w:tcPr>
          <w:p w14:paraId="785427BF" w14:textId="77777777" w:rsidR="00736D0B" w:rsidRPr="00736D0B" w:rsidRDefault="00736D0B" w:rsidP="00736D0B">
            <w:pPr>
              <w:pStyle w:val="Table"/>
              <w:rPr>
                <w:sz w:val="18"/>
                <w:szCs w:val="18"/>
              </w:rPr>
            </w:pPr>
          </w:p>
        </w:tc>
        <w:tc>
          <w:tcPr>
            <w:tcW w:w="1203" w:type="dxa"/>
            <w:vAlign w:val="center"/>
          </w:tcPr>
          <w:p w14:paraId="4F85B921" w14:textId="77777777" w:rsidR="00736D0B" w:rsidRPr="00736D0B" w:rsidRDefault="00736D0B" w:rsidP="00736D0B">
            <w:pPr>
              <w:pStyle w:val="Table"/>
              <w:rPr>
                <w:sz w:val="18"/>
                <w:szCs w:val="18"/>
              </w:rPr>
            </w:pPr>
            <w:r w:rsidRPr="00736D0B">
              <w:rPr>
                <w:sz w:val="18"/>
                <w:szCs w:val="18"/>
              </w:rPr>
              <w:t>35.97</w:t>
            </w:r>
          </w:p>
        </w:tc>
        <w:tc>
          <w:tcPr>
            <w:tcW w:w="1203" w:type="dxa"/>
            <w:vAlign w:val="center"/>
          </w:tcPr>
          <w:p w14:paraId="581C12A9" w14:textId="77777777" w:rsidR="00736D0B" w:rsidRPr="00736D0B" w:rsidRDefault="00736D0B" w:rsidP="00736D0B">
            <w:pPr>
              <w:pStyle w:val="Table"/>
              <w:rPr>
                <w:sz w:val="18"/>
                <w:szCs w:val="18"/>
              </w:rPr>
            </w:pPr>
            <w:r w:rsidRPr="00736D0B">
              <w:rPr>
                <w:sz w:val="18"/>
                <w:szCs w:val="18"/>
              </w:rPr>
              <w:t>30.87</w:t>
            </w:r>
          </w:p>
        </w:tc>
      </w:tr>
      <w:tr w:rsidR="00736D0B" w:rsidRPr="00736D0B" w14:paraId="146BCDA3" w14:textId="77777777" w:rsidTr="00736D0B">
        <w:trPr>
          <w:trHeight w:val="329"/>
        </w:trPr>
        <w:tc>
          <w:tcPr>
            <w:tcW w:w="3463" w:type="dxa"/>
            <w:tcBorders>
              <w:bottom w:val="single" w:sz="6" w:space="0" w:color="000000"/>
            </w:tcBorders>
            <w:vAlign w:val="center"/>
          </w:tcPr>
          <w:p w14:paraId="7810294D" w14:textId="29321201" w:rsidR="00736D0B" w:rsidRPr="00736D0B" w:rsidRDefault="00736D0B" w:rsidP="00736D0B">
            <w:pPr>
              <w:pStyle w:val="Table"/>
              <w:rPr>
                <w:sz w:val="18"/>
                <w:szCs w:val="18"/>
              </w:rPr>
            </w:pPr>
            <w:r w:rsidRPr="00736D0B">
              <w:rPr>
                <w:sz w:val="18"/>
                <w:szCs w:val="18"/>
              </w:rPr>
              <w:t>Degrees of freedom F-test</w:t>
            </w:r>
          </w:p>
        </w:tc>
        <w:tc>
          <w:tcPr>
            <w:tcW w:w="1137" w:type="dxa"/>
            <w:tcBorders>
              <w:bottom w:val="single" w:sz="6" w:space="0" w:color="000000"/>
            </w:tcBorders>
            <w:vAlign w:val="center"/>
          </w:tcPr>
          <w:p w14:paraId="1F0D7000" w14:textId="77777777" w:rsidR="00736D0B" w:rsidRPr="00736D0B" w:rsidRDefault="00736D0B" w:rsidP="00736D0B">
            <w:pPr>
              <w:pStyle w:val="Table"/>
              <w:rPr>
                <w:sz w:val="18"/>
                <w:szCs w:val="18"/>
              </w:rPr>
            </w:pPr>
          </w:p>
        </w:tc>
        <w:tc>
          <w:tcPr>
            <w:tcW w:w="1136" w:type="dxa"/>
            <w:tcBorders>
              <w:bottom w:val="single" w:sz="6" w:space="0" w:color="000000"/>
            </w:tcBorders>
            <w:vAlign w:val="center"/>
          </w:tcPr>
          <w:p w14:paraId="618E8198" w14:textId="77777777" w:rsidR="00736D0B" w:rsidRPr="00736D0B" w:rsidRDefault="00736D0B" w:rsidP="00736D0B">
            <w:pPr>
              <w:pStyle w:val="Table"/>
              <w:rPr>
                <w:sz w:val="18"/>
                <w:szCs w:val="18"/>
              </w:rPr>
            </w:pPr>
          </w:p>
        </w:tc>
        <w:tc>
          <w:tcPr>
            <w:tcW w:w="1216" w:type="dxa"/>
            <w:tcBorders>
              <w:bottom w:val="single" w:sz="6" w:space="0" w:color="000000"/>
            </w:tcBorders>
            <w:vAlign w:val="center"/>
          </w:tcPr>
          <w:p w14:paraId="330E9D01" w14:textId="77777777" w:rsidR="00736D0B" w:rsidRPr="00736D0B" w:rsidRDefault="00736D0B" w:rsidP="00736D0B">
            <w:pPr>
              <w:pStyle w:val="Table"/>
              <w:rPr>
                <w:sz w:val="18"/>
                <w:szCs w:val="18"/>
              </w:rPr>
            </w:pPr>
          </w:p>
        </w:tc>
        <w:tc>
          <w:tcPr>
            <w:tcW w:w="1203" w:type="dxa"/>
            <w:tcBorders>
              <w:bottom w:val="single" w:sz="6" w:space="0" w:color="000000"/>
            </w:tcBorders>
            <w:vAlign w:val="center"/>
          </w:tcPr>
          <w:p w14:paraId="52AA01B5" w14:textId="77777777" w:rsidR="00736D0B" w:rsidRPr="00736D0B" w:rsidRDefault="00736D0B" w:rsidP="00736D0B">
            <w:pPr>
              <w:pStyle w:val="Table"/>
              <w:rPr>
                <w:sz w:val="18"/>
                <w:szCs w:val="18"/>
              </w:rPr>
            </w:pPr>
            <w:r w:rsidRPr="00736D0B">
              <w:rPr>
                <w:sz w:val="18"/>
                <w:szCs w:val="18"/>
              </w:rPr>
              <w:t>(</w:t>
            </w:r>
            <w:proofErr w:type="spellStart"/>
            <w:r w:rsidRPr="00736D0B">
              <w:rPr>
                <w:sz w:val="18"/>
                <w:szCs w:val="18"/>
              </w:rPr>
              <w:t>df</w:t>
            </w:r>
            <w:proofErr w:type="spellEnd"/>
            <w:r w:rsidRPr="00736D0B">
              <w:rPr>
                <w:sz w:val="18"/>
                <w:szCs w:val="18"/>
              </w:rPr>
              <w:t xml:space="preserve"> = 12; 601)</w:t>
            </w:r>
          </w:p>
        </w:tc>
        <w:tc>
          <w:tcPr>
            <w:tcW w:w="1203" w:type="dxa"/>
            <w:tcBorders>
              <w:bottom w:val="single" w:sz="6" w:space="0" w:color="000000"/>
            </w:tcBorders>
            <w:vAlign w:val="center"/>
          </w:tcPr>
          <w:p w14:paraId="5F106E7E" w14:textId="77777777" w:rsidR="00736D0B" w:rsidRPr="00736D0B" w:rsidRDefault="00736D0B" w:rsidP="00736D0B">
            <w:pPr>
              <w:pStyle w:val="Table"/>
              <w:rPr>
                <w:sz w:val="18"/>
                <w:szCs w:val="18"/>
              </w:rPr>
            </w:pPr>
            <w:r w:rsidRPr="00736D0B">
              <w:rPr>
                <w:sz w:val="18"/>
                <w:szCs w:val="18"/>
              </w:rPr>
              <w:t>(</w:t>
            </w:r>
            <w:proofErr w:type="spellStart"/>
            <w:r w:rsidRPr="00736D0B">
              <w:rPr>
                <w:sz w:val="18"/>
                <w:szCs w:val="18"/>
              </w:rPr>
              <w:t>df</w:t>
            </w:r>
            <w:proofErr w:type="spellEnd"/>
            <w:r w:rsidRPr="00736D0B">
              <w:rPr>
                <w:sz w:val="18"/>
                <w:szCs w:val="18"/>
              </w:rPr>
              <w:t xml:space="preserve"> = 14; 599)</w:t>
            </w:r>
          </w:p>
        </w:tc>
      </w:tr>
    </w:tbl>
    <w:p w14:paraId="651FD5F2" w14:textId="77777777" w:rsidR="00736D0B" w:rsidRDefault="00736D0B" w:rsidP="00736D0B"/>
    <w:p w14:paraId="6D3742A9" w14:textId="77777777" w:rsidR="00146369" w:rsidRDefault="00146369" w:rsidP="00736D0B">
      <w:pPr>
        <w:rPr>
          <w:rFonts w:eastAsiaTheme="majorEastAsia" w:cstheme="majorBidi"/>
          <w:b/>
          <w:i/>
          <w:szCs w:val="26"/>
        </w:rPr>
      </w:pPr>
      <w:r w:rsidRPr="00146369">
        <w:rPr>
          <w:rFonts w:eastAsiaTheme="majorEastAsia" w:cstheme="majorBidi"/>
          <w:b/>
          <w:i/>
          <w:szCs w:val="26"/>
        </w:rPr>
        <w:t>Sensitivity analysis</w:t>
      </w:r>
    </w:p>
    <w:p w14:paraId="748B41D4" w14:textId="42C07AE4" w:rsidR="00736D0B" w:rsidRDefault="00736D0B" w:rsidP="00736D0B">
      <w:r>
        <w:t>If the distribution of smart cards occurred randomly, we could interpret this magnitude as a causal impact, and adding covariates would not change the coefficient of interest. We know that, by design, this was not the case. Still, if our previously discussed exogeneity assumption holds, the coefficient for the treatment variable should be somewhat stable across different model specifications.</w:t>
      </w:r>
    </w:p>
    <w:p w14:paraId="0F0F2E1B" w14:textId="501C347A" w:rsidR="00736D0B" w:rsidRDefault="00736D0B" w:rsidP="00736D0B">
      <w:r>
        <w:t xml:space="preserve">We first include three control variables that were not directly subject to the mayor’s policies but could correlate with the Smart Card or regional voting behavior. Although already controlling for regional voting tendencies, our primary concern is to rule out the “periphery effect.” Thus, in </w:t>
      </w:r>
      <w:r w:rsidR="00D41876">
        <w:t xml:space="preserve">the </w:t>
      </w:r>
      <w:r>
        <w:t xml:space="preserve">model (2), we control for the zone’s average nominal income. In addition to this, we follow our </w:t>
      </w:r>
      <w:r>
        <w:lastRenderedPageBreak/>
        <w:t xml:space="preserve">strategy of controlling for different groups of bus users without the same fare discount benefits. We start by including the proportion of Transport </w:t>
      </w:r>
      <w:r w:rsidR="00A46DE4">
        <w:t>Vouchers</w:t>
      </w:r>
      <w:r>
        <w:t xml:space="preserve"> users</w:t>
      </w:r>
      <w:r w:rsidR="00A46DE4">
        <w:t xml:space="preserve"> (i.e., the formal workers)</w:t>
      </w:r>
      <w:r>
        <w:t xml:space="preserve">, which were not the focus of the </w:t>
      </w:r>
      <w:r w:rsidR="00A46DE4">
        <w:t>Smart Card</w:t>
      </w:r>
      <w:r>
        <w:t xml:space="preserve"> policy in terms of financial support. We do not expect this group to reward the incumbent retrospectively, simply because all their bus transfer savings would go to their employers. Even so, being formally employed could be another source of confusion that is worth controlling. The third confounding variable is the zone’s centroid distance to the nearest rail station. As expected, the inclusion of these three variables in the model (2) reduces the magnitude of the smart-card coefficient. However, the effect remains positive, relatively stable, and statistically significant at the 1% level.</w:t>
      </w:r>
    </w:p>
    <w:p w14:paraId="54688C83" w14:textId="31C6256B" w:rsidR="00736D0B" w:rsidRDefault="00736D0B" w:rsidP="00736D0B">
      <w:r>
        <w:t xml:space="preserve">Next, we include three more variables in the model (3). This time, more than worrying about theoretical </w:t>
      </w:r>
      <w:r w:rsidR="00A46DE4">
        <w:t>confounders</w:t>
      </w:r>
      <w:r>
        <w:t>, we know that they were policy choices made by the incumbent</w:t>
      </w:r>
      <w:r w:rsidR="00A46DE4">
        <w:t xml:space="preserve"> mayor</w:t>
      </w:r>
      <w:r>
        <w:t xml:space="preserve">. We include the zone centroid’s distance to the nearest bus corridor to measure the deliberate policy of improving and expanding the Bus Rapid System in São Paulo. We also include the proportion of students within a zone. Students were one of the first groups to receive the </w:t>
      </w:r>
      <w:r w:rsidR="00A46DE4">
        <w:t>S</w:t>
      </w:r>
      <w:r>
        <w:t xml:space="preserve">mart </w:t>
      </w:r>
      <w:r w:rsidR="00A46DE4">
        <w:t>C</w:t>
      </w:r>
      <w:r>
        <w:t>ard, and they received it at schools or universities, meaning that they did not have to seek delivery spots or face long waiting lines to get the card.</w:t>
      </w:r>
    </w:p>
    <w:p w14:paraId="40A32283" w14:textId="77777777" w:rsidR="00A46DE4" w:rsidRDefault="00736D0B" w:rsidP="00736D0B">
      <w:r>
        <w:t xml:space="preserve">Notwithstanding, unlike the formal workers who relied on the Transport Voucher, students and their families benefited from the transfer savings policy. Thus, we do expect a positive retrospective voting behavior from this group towards the incumbent mayor. We controlled for students not only because of the priority given to this group but also because they pay only half of the tariff costs, which means that transfer savings would be less pronounced in absolute terms. </w:t>
      </w:r>
    </w:p>
    <w:p w14:paraId="2469C77B" w14:textId="11D48E4A" w:rsidR="00A46DE4" w:rsidRDefault="00736D0B" w:rsidP="00736D0B">
      <w:r>
        <w:t xml:space="preserve">Finally, model (3) also controls for the presence of the CEU facilities. As a typical pork-barrel policy, the mayor would </w:t>
      </w:r>
      <w:r w:rsidR="00A46DE4">
        <w:t>potentially</w:t>
      </w:r>
      <w:r>
        <w:t xml:space="preserve"> target the CEU facilities in strategic neighborhoods that could render more votes. Because the access to CEUs could correlate to previous bus networks, we must avoid confusion with this policy. Following our exogeneity assumption, after controlling for these three municipal policies, the </w:t>
      </w:r>
      <w:r w:rsidR="00A46DE4">
        <w:t>treatment’s</w:t>
      </w:r>
      <w:r>
        <w:t xml:space="preserve"> coefficient only marginally varies while remaining significant at the 1% level. The impact varies from 0.233 percentage points in the model (2) to 0.213 percentage points in the model (3), a 0.02 difference.</w:t>
      </w:r>
    </w:p>
    <w:p w14:paraId="374855CF" w14:textId="0FBE47C8" w:rsidR="00A46DE4" w:rsidRDefault="00736D0B" w:rsidP="00736D0B">
      <w:r>
        <w:t xml:space="preserve">In models (4) and (5), we keep all control variables from the previous models </w:t>
      </w:r>
      <w:r w:rsidR="00A46DE4">
        <w:t>and</w:t>
      </w:r>
      <w:r>
        <w:t xml:space="preserve"> add interaction terms between them and our </w:t>
      </w:r>
      <w:r w:rsidR="00A46DE4">
        <w:t>treatment</w:t>
      </w:r>
      <w:r>
        <w:t xml:space="preserve"> variable. Our goal is to test to what extent heterogeneous </w:t>
      </w:r>
      <w:r>
        <w:lastRenderedPageBreak/>
        <w:t xml:space="preserve">effects could lead to substantially different conclusions. Because the policy reached groups of bus users at different times, we expect varying marginal effects. We also expect significant policies from </w:t>
      </w:r>
      <w:r w:rsidR="00D41876">
        <w:t xml:space="preserve">the </w:t>
      </w:r>
      <w:r w:rsidR="00A46DE4">
        <w:t>incumbent</w:t>
      </w:r>
      <w:r>
        <w:t xml:space="preserve">’s mandate (bus corridors and CEUs) to have a marginal impact on </w:t>
      </w:r>
      <w:r w:rsidR="00A46DE4">
        <w:t>Smart Card</w:t>
      </w:r>
      <w:r>
        <w:t xml:space="preserve"> users. </w:t>
      </w:r>
    </w:p>
    <w:p w14:paraId="62D78D6F" w14:textId="3A4E342A" w:rsidR="002F7415" w:rsidRDefault="00736D0B" w:rsidP="002F7415">
      <w:r>
        <w:t xml:space="preserve">In model (4), we include interaction terms for those variables likely to have heterogeneous effects. </w:t>
      </w:r>
      <w:r w:rsidR="00A46DE4">
        <w:t xml:space="preserve">We expect that voters with higher income tend to oppose the labor party due to historical trends from the </w:t>
      </w:r>
      <w:r w:rsidR="00D41876">
        <w:t>analysis period</w:t>
      </w:r>
      <w:r w:rsidR="00A46DE4">
        <w:t xml:space="preserve">; thus, we include the average zone income in the model (4) as one of our interaction terms. Among the groups of users that had fare discounts, students were the first ones to receive the smart cards. </w:t>
      </w:r>
      <w:r w:rsidR="002F7415">
        <w:t xml:space="preserve">For this reason, we also include a student’s interaction term in model (4). </w:t>
      </w:r>
    </w:p>
    <w:p w14:paraId="4466B2C7" w14:textId="6D2E3BDF" w:rsidR="002F7415" w:rsidRDefault="002F7415" w:rsidP="002F7415">
      <w:r>
        <w:t xml:space="preserve">As for CEU facilities and bus corridors, these are municipal policies the incumbent could target; as such, we included them in the model (4) because of their potential effects </w:t>
      </w:r>
      <w:r w:rsidR="00D41876">
        <w:t>on</w:t>
      </w:r>
      <w:r>
        <w:t xml:space="preserve"> its beneficiaries. We leave the interaction terms of the proportion of Transport Voucher users and Distance to Rail Stations to model (5) because these variables represent groups of voters that are neither beneficiaries of the smart-card discounts nor direct targets of municipal policies.</w:t>
      </w:r>
    </w:p>
    <w:p w14:paraId="00B1DAE3" w14:textId="77777777" w:rsidR="002F7415" w:rsidRDefault="00736D0B" w:rsidP="00736D0B">
      <w:r>
        <w:t>The constitutive coefficients from the smart-card policy in models (4) and (5) are not directly comparable to those of the previous models because of the interaction terms. While in models (1)</w:t>
      </w:r>
      <w:r w:rsidR="002F7415">
        <w:t>, (2), and</w:t>
      </w:r>
      <w:r>
        <w:t xml:space="preserve"> (3) the </w:t>
      </w:r>
      <w:r w:rsidR="002F7415">
        <w:t>treatment</w:t>
      </w:r>
      <w:r>
        <w:t xml:space="preserve"> variable</w:t>
      </w:r>
      <w:r w:rsidR="002F7415">
        <w:t>’s</w:t>
      </w:r>
      <w:r>
        <w:t xml:space="preserve"> coefficients represent the average effects of the policy, in models (4) and (5) we must not interpret the constitutive terms as unconditional marginal effects precisely because the interaction term for each covariate invokes a conditional interpretation. </w:t>
      </w:r>
    </w:p>
    <w:p w14:paraId="172C57D3" w14:textId="77777777" w:rsidR="002F7415" w:rsidRDefault="00736D0B" w:rsidP="00736D0B">
      <w:r>
        <w:t xml:space="preserve">To recover comparability, we compute the average marginal effect of the </w:t>
      </w:r>
      <w:r w:rsidR="002F7415">
        <w:t xml:space="preserve">Smart Card </w:t>
      </w:r>
      <w:r>
        <w:t xml:space="preserve">policy for models (4) and (5) using the average values of each covariate in the interaction terms. By imputing the average values for each covariate and by using estimated coefficients, we compute a marginal effect of the </w:t>
      </w:r>
      <w:r w:rsidR="002F7415">
        <w:t>Smart Card</w:t>
      </w:r>
      <w:r>
        <w:t xml:space="preserve"> policy of 0.1 percentage points on the incumbent’s voting share between 2000 and 2004 for model (4). Similarly, we compute an impact of 0.09 percentage points on the vote share in the model (5). </w:t>
      </w:r>
    </w:p>
    <w:p w14:paraId="0C1F9CC8" w14:textId="1954DB77" w:rsidR="00E918C7" w:rsidRDefault="00E918C7" w:rsidP="00736D0B">
      <w:r>
        <w:t xml:space="preserve">We add that the heterogeneous effects are minor across the different values of our remaining covariates, even though impacts are positive and statistically significant. For instance, the treatment’s marginal effect increases the further away commuters are from the rail and rapid-bus </w:t>
      </w:r>
      <w:r>
        <w:lastRenderedPageBreak/>
        <w:t>systems. Commuters who mostly benefit from bus transfers are usually distant from rail stations and bus corridors. Hence, we theoretically predict that voters who live in zones that lack public transport development depend more on bus transfers.</w:t>
      </w:r>
    </w:p>
    <w:p w14:paraId="62027DFB" w14:textId="0BE2DD6A" w:rsidR="00736D0B" w:rsidRDefault="00736D0B" w:rsidP="00736D0B">
      <w:r>
        <w:t>We perform a conjoint F-test on the null hypothesis that all interaction term coefficients are equal to zero for both models. We reject the null hypothesis at the 1% significance level for model</w:t>
      </w:r>
      <w:r w:rsidR="002F7415">
        <w:t>s</w:t>
      </w:r>
      <w:r>
        <w:t xml:space="preserve"> (4) and (5). Although the smart-card policy marginal impact is shorter when compared to the unconditional average effect of models (2) and (3), we still find it substantive and statistically significant. More importantly, the effect size is stable from model (4) to model (5), even after including more interaction terms.</w:t>
      </w:r>
    </w:p>
    <w:p w14:paraId="1E3CD0DE" w14:textId="3B60CE9B" w:rsidR="002F7415" w:rsidRDefault="00736D0B" w:rsidP="00736D0B">
      <w:r>
        <w:t xml:space="preserve">To </w:t>
      </w:r>
      <w:r w:rsidR="00E918C7">
        <w:t>illustrate the Smart Card’s</w:t>
      </w:r>
      <w:r>
        <w:t xml:space="preserve"> impact on the incumbent’s performance, </w:t>
      </w:r>
      <w:r w:rsidR="002F7415">
        <w:t>consider the following descriptive data</w:t>
      </w:r>
      <w:r>
        <w:t>. From the 2000 municipal elections to the 2004 elections,</w:t>
      </w:r>
      <w:r w:rsidR="002F7415">
        <w:t xml:space="preserve"> the incumbent mayor</w:t>
      </w:r>
      <w:r>
        <w:t xml:space="preserve"> Marta </w:t>
      </w:r>
      <w:proofErr w:type="spellStart"/>
      <w:r>
        <w:t>Suplicy</w:t>
      </w:r>
      <w:proofErr w:type="spellEnd"/>
      <w:r>
        <w:t xml:space="preserve"> lost on average -2.2 percentage points across all city zones. Taking the conditional average marginal effects of the </w:t>
      </w:r>
      <w:r w:rsidR="002F7415">
        <w:t>Smart Card</w:t>
      </w:r>
      <w:r>
        <w:t xml:space="preserve"> policy from models (4) and (5) as our preferred parameters, we have an increase of approximately 0.1 percentage points in the incumbent’s voting share for </w:t>
      </w:r>
      <w:r w:rsidR="00D41876">
        <w:t xml:space="preserve">a </w:t>
      </w:r>
      <w:r>
        <w:t xml:space="preserve">one percentage point increase in the share of </w:t>
      </w:r>
      <w:r w:rsidR="002F7415">
        <w:t>Smart Card</w:t>
      </w:r>
      <w:r>
        <w:t xml:space="preserve"> beneficiaries. </w:t>
      </w:r>
    </w:p>
    <w:p w14:paraId="77FAEA73" w14:textId="2F094D27" w:rsidR="00146369" w:rsidRPr="00146369" w:rsidRDefault="00736D0B" w:rsidP="00144ADE">
      <w:r>
        <w:t xml:space="preserve">About 25% of our sample zones have no policy beneficiaries, but 5% of voters are beneficiaries in the mean zone. The most intensively treated zone has 30% of beneficiaries. Considering that a five percentage points increase in the smart card variable is reasonable in our sample, the impact on votes would reach up to 0.5 points, which amounts to more than 20% of the vote share average fall. Such marginal differences could be decisive in competitive elections. In 2004, Marta </w:t>
      </w:r>
      <w:r w:rsidR="002F7415">
        <w:t>obtained</w:t>
      </w:r>
      <w:r>
        <w:t xml:space="preserve"> 35.82% of the votes in the first round elections, while José Serra, her main competitor, </w:t>
      </w:r>
      <w:r w:rsidR="002F7415">
        <w:t xml:space="preserve">obtained </w:t>
      </w:r>
      <w:r>
        <w:t xml:space="preserve">43.56% (7.74 </w:t>
      </w:r>
      <w:proofErr w:type="spellStart"/>
      <w:proofErr w:type="gramStart"/>
      <w:r>
        <w:t>p.p</w:t>
      </w:r>
      <w:proofErr w:type="spellEnd"/>
      <w:proofErr w:type="gramEnd"/>
      <w:r>
        <w:t xml:space="preserve"> distance). In the second round, she lost by a difference of 9.72 p.p. In 2000 she reached 34.40% of the votes in the first round (17 points more than the second place) and won the second-round elections with 58.51% of the votes (while Paulo </w:t>
      </w:r>
      <w:proofErr w:type="spellStart"/>
      <w:r>
        <w:t>Maluf</w:t>
      </w:r>
      <w:proofErr w:type="spellEnd"/>
      <w:r>
        <w:t xml:space="preserve"> reached 41.49%).</w:t>
      </w:r>
    </w:p>
    <w:p w14:paraId="1976DC8A" w14:textId="6D5E06F2" w:rsidR="000B330C" w:rsidRDefault="00144ADE" w:rsidP="002F7415">
      <w:pPr>
        <w:pStyle w:val="Heading2"/>
      </w:pPr>
      <w:r>
        <w:t>The Matching Approach</w:t>
      </w:r>
    </w:p>
    <w:p w14:paraId="38A45909" w14:textId="680C2B75" w:rsidR="00657BE6" w:rsidRDefault="00657BE6" w:rsidP="00657BE6">
      <w:r>
        <w:t>One competing explanation for our results, as we previously explained, regards the “peripher</w:t>
      </w:r>
      <w:r w:rsidR="00F608C6">
        <w:t>y</w:t>
      </w:r>
      <w:r>
        <w:t xml:space="preserve"> effects” of São Paulo. Voters of higher-income neighborhoods typically vote against the left-wing PT, which is most supported in the city’s low-income regions </w:t>
      </w:r>
      <w:r>
        <w:fldChar w:fldCharType="begin"/>
      </w:r>
      <w:r>
        <w:instrText xml:space="preserve"> ADDIN ZOTERO_ITEM CSL_CITATION {"citationID":"mo1s0eEy","properties":{"formattedCitation":"(Limongi &amp; Mesquita, 2008)","plainCitation":"(Limongi &amp; Mesquita, 2008)","noteIndex":0},"citationItems":[{"id":2373,"uris":["http://zotero.org/users/5602238/items/PH4AL9DU"],"itemData":{"id":2373,"type":"article-journal","container-title":"Novos Estudos CEBRAP","page":"49-67","title":"Estratégia partidária e preferência dos eleitores: As eleições municipais em São Paulo entre 1985 e 2004","volume":"81","author":[{"family":"Limongi","given":"Fernando"},{"family":"Mesquita","given":"Lara"}],"issued":{"date-parts":[["2008"]]}}}],"schema":"https://github.com/citation-style-language/schema/raw/master/csl-citation.json"} </w:instrText>
      </w:r>
      <w:r>
        <w:fldChar w:fldCharType="separate"/>
      </w:r>
      <w:r>
        <w:rPr>
          <w:noProof/>
        </w:rPr>
        <w:t>(Limongi &amp; Mesquita, 2008)</w:t>
      </w:r>
      <w:r>
        <w:fldChar w:fldCharType="end"/>
      </w:r>
      <w:r>
        <w:t xml:space="preserve">. Because our exogeneity assumption depends on territorial patterns, it is difficult to partial out the </w:t>
      </w:r>
      <w:r>
        <w:lastRenderedPageBreak/>
        <w:t xml:space="preserve">effects </w:t>
      </w:r>
      <w:r w:rsidR="00D41876">
        <w:t>of</w:t>
      </w:r>
      <w:r>
        <w:t xml:space="preserve"> historical partisan trends </w:t>
      </w:r>
      <w:r w:rsidR="00D41876">
        <w:t>on</w:t>
      </w:r>
      <w:r>
        <w:t xml:space="preserve"> the real influence of the smart-card policy. To circumvent this problem, we adopt a matching method that selects only comparable zones. We systematically exclude most zones from the affluent central district and end up with a sample of middle-to-long distant regions. Some of the remaining zones are better provisioned by train, subway, and bus corridors, but others are not. Most likely, the under-provisioned zones are where bus transfers are widespread, and policy impacts are higher. The matched sub-sample allows us to compare these two zones where the income influence is less pronounced.</w:t>
      </w:r>
    </w:p>
    <w:p w14:paraId="7F7DDDDC" w14:textId="1E09962C" w:rsidR="00657BE6" w:rsidRDefault="00657BE6" w:rsidP="00657BE6">
      <w:r>
        <w:t xml:space="preserve">In </w:t>
      </w:r>
      <w:r>
        <w:fldChar w:fldCharType="begin"/>
      </w:r>
      <w:r>
        <w:instrText xml:space="preserve"> REF _Ref150181856 \h </w:instrText>
      </w:r>
      <w:r>
        <w:fldChar w:fldCharType="separate"/>
      </w:r>
      <w:r>
        <w:t xml:space="preserve">Figure </w:t>
      </w:r>
      <w:r>
        <w:rPr>
          <w:noProof/>
        </w:rPr>
        <w:t>2</w:t>
      </w:r>
      <w:r>
        <w:fldChar w:fldCharType="end"/>
      </w:r>
      <w:r>
        <w:t>, we show that our initial sample is unbalanced for most variables of our propensity score model.</w:t>
      </w:r>
      <w:r w:rsidRPr="00657BE6">
        <w:t xml:space="preserve"> </w:t>
      </w:r>
      <w:r>
        <w:t>Treated zones, which we defined as having above-median values of the Smart Card variable, are substantially different than non-treated zones (</w:t>
      </w:r>
      <w:r w:rsidR="00D41876">
        <w:t>below</w:t>
      </w:r>
      <w:r>
        <w:t xml:space="preserve"> the Smart Card median). However, the graphical analysis shows that after adopting the nearest neighbor matching, we successfully </w:t>
      </w:r>
      <w:r w:rsidR="00D41876">
        <w:t>reduced</w:t>
      </w:r>
      <w:r>
        <w:t xml:space="preserve"> the discrepancy between zones, making them more comparable. The sub-sample of matched zones has six out of eight variables below the threshold of 0.1 absolute standardized mean differences (our primary metric for balance). Although we would ideally want all variables to be balanced, the two </w:t>
      </w:r>
      <w:r w:rsidR="00D41876">
        <w:t>unbalanced</w:t>
      </w:r>
      <w:r>
        <w:t xml:space="preserve"> variables are close to the threshold and substantively improved after the matching. More importantly, average income and related social-economic variables were successfully balanced. Therefore, we are confident that the new sample corroborates our strategy of ruling out the “periphery effect.”</w:t>
      </w:r>
    </w:p>
    <w:p w14:paraId="06CA8BA9" w14:textId="77777777" w:rsidR="00657BE6" w:rsidRDefault="00657BE6" w:rsidP="00657BE6">
      <w:pPr>
        <w:keepNext/>
        <w:jc w:val="center"/>
      </w:pPr>
      <w:r>
        <w:rPr>
          <w:noProof/>
        </w:rPr>
        <w:drawing>
          <wp:inline distT="0" distB="0" distL="0" distR="0" wp14:anchorId="62EFB3F2" wp14:editId="1CA924BB">
            <wp:extent cx="4320000" cy="2980286"/>
            <wp:effectExtent l="0" t="0" r="0" b="4445"/>
            <wp:docPr id="1359687063" name="Picture 1359687063"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descr="A graph with red and blue dots&#10;&#10;Description automatically generated"/>
                    <pic:cNvPicPr/>
                  </pic:nvPicPr>
                  <pic:blipFill>
                    <a:blip r:embed="rId12" cstate="print"/>
                    <a:stretch>
                      <a:fillRect/>
                    </a:stretch>
                  </pic:blipFill>
                  <pic:spPr>
                    <a:xfrm>
                      <a:off x="0" y="0"/>
                      <a:ext cx="4320000" cy="2980286"/>
                    </a:xfrm>
                    <a:prstGeom prst="rect">
                      <a:avLst/>
                    </a:prstGeom>
                  </pic:spPr>
                </pic:pic>
              </a:graphicData>
            </a:graphic>
          </wp:inline>
        </w:drawing>
      </w:r>
    </w:p>
    <w:p w14:paraId="1AB5452C" w14:textId="635FDA0C" w:rsidR="00657BE6" w:rsidRDefault="00657BE6" w:rsidP="00657BE6">
      <w:pPr>
        <w:pStyle w:val="Caption"/>
        <w:jc w:val="center"/>
      </w:pPr>
      <w:bookmarkStart w:id="5" w:name="_Ref150181856"/>
      <w:r>
        <w:t xml:space="preserve">Figure </w:t>
      </w:r>
      <w:fldSimple w:instr=" SEQ Figure \* ARABIC ">
        <w:r>
          <w:rPr>
            <w:noProof/>
          </w:rPr>
          <w:t>2</w:t>
        </w:r>
      </w:fldSimple>
      <w:bookmarkEnd w:id="5"/>
      <w:r>
        <w:t>. Matching Covariate Balance</w:t>
      </w:r>
    </w:p>
    <w:p w14:paraId="4457D611" w14:textId="26E68E00" w:rsidR="00657BE6" w:rsidRDefault="00782223" w:rsidP="00657BE6">
      <w:r>
        <w:lastRenderedPageBreak/>
        <w:fldChar w:fldCharType="begin"/>
      </w:r>
      <w:r>
        <w:instrText xml:space="preserve"> REF _Ref151037785 \h </w:instrText>
      </w:r>
      <w:r>
        <w:fldChar w:fldCharType="separate"/>
      </w:r>
      <w:r>
        <w:t xml:space="preserve">Table </w:t>
      </w:r>
      <w:r>
        <w:rPr>
          <w:noProof/>
        </w:rPr>
        <w:t>2</w:t>
      </w:r>
      <w:r>
        <w:fldChar w:fldCharType="end"/>
      </w:r>
      <w:r>
        <w:t xml:space="preserve"> </w:t>
      </w:r>
      <w:r w:rsidR="00657BE6">
        <w:t>shows the same set of regressions from</w:t>
      </w:r>
      <w:r w:rsidR="00144ADE">
        <w:t xml:space="preserve"> </w:t>
      </w:r>
      <w:r w:rsidR="00144ADE">
        <w:fldChar w:fldCharType="begin"/>
      </w:r>
      <w:r w:rsidR="00144ADE">
        <w:instrText xml:space="preserve"> REF _Ref150182206 \h </w:instrText>
      </w:r>
      <w:r w:rsidR="00144ADE">
        <w:fldChar w:fldCharType="separate"/>
      </w:r>
      <w:r w:rsidR="00144ADE">
        <w:t xml:space="preserve">Table </w:t>
      </w:r>
      <w:r w:rsidR="00144ADE">
        <w:rPr>
          <w:noProof/>
        </w:rPr>
        <w:t>1</w:t>
      </w:r>
      <w:r w:rsidR="00144ADE">
        <w:fldChar w:fldCharType="end"/>
      </w:r>
      <w:r w:rsidR="00657BE6">
        <w:t xml:space="preserve">, but using the matched sample. Notice that estimates for models (1)-(3) are similar in both samples. Not only estimates for the </w:t>
      </w:r>
      <w:r w:rsidR="00144ADE">
        <w:t>treatment</w:t>
      </w:r>
      <w:r w:rsidR="00657BE6">
        <w:t xml:space="preserve"> variable are stable, but also for most of the covariates. Additionally, most coefficients remain correctly signed and statistically significant. Models (4) and (5) are more difficult to compare due to sample variance, but the results are also similar. In model (4), we find that conditional on covariate means, the impact of the smart card on votes reaches 0.16 percentage points. In model (5), the same parameter is</w:t>
      </w:r>
      <w:r w:rsidR="00144ADE">
        <w:t xml:space="preserve"> </w:t>
      </w:r>
      <w:r w:rsidR="00657BE6">
        <w:t>0.15 percentage points. The full sample models have similar impact values of 0.1</w:t>
      </w:r>
      <w:r w:rsidR="00144ADE">
        <w:t>0</w:t>
      </w:r>
      <w:r w:rsidR="00657BE6">
        <w:t xml:space="preserve"> and 0.09, respectively. Accordingly, statistical significance is also present in the matched sample. </w:t>
      </w:r>
    </w:p>
    <w:p w14:paraId="59563556" w14:textId="3E53A206" w:rsidR="00782223" w:rsidRDefault="00782223" w:rsidP="00782223">
      <w:pPr>
        <w:pStyle w:val="Caption"/>
        <w:keepNext/>
      </w:pPr>
      <w:bookmarkStart w:id="6" w:name="_Ref151037785"/>
      <w:r>
        <w:t xml:space="preserve">Table </w:t>
      </w:r>
      <w:fldSimple w:instr=" SEQ Table \* ARABIC ">
        <w:r>
          <w:rPr>
            <w:noProof/>
          </w:rPr>
          <w:t>2</w:t>
        </w:r>
      </w:fldSimple>
      <w:bookmarkEnd w:id="6"/>
      <w:r>
        <w:t xml:space="preserve">. </w:t>
      </w:r>
      <w:r w:rsidRPr="00FB0472">
        <w:t xml:space="preserve">OLS estimates of incumbent party voting difference (2004-2000) using a matched </w:t>
      </w:r>
      <w:proofErr w:type="gramStart"/>
      <w:r w:rsidRPr="00FB0472">
        <w:t>sample</w:t>
      </w:r>
      <w:proofErr w:type="gramEnd"/>
    </w:p>
    <w:tbl>
      <w:tblPr>
        <w:tblW w:w="9356" w:type="dxa"/>
        <w:tblInd w:w="147" w:type="dxa"/>
        <w:tblLayout w:type="fixed"/>
        <w:tblCellMar>
          <w:left w:w="0" w:type="dxa"/>
          <w:right w:w="0" w:type="dxa"/>
        </w:tblCellMar>
        <w:tblLook w:val="01E0" w:firstRow="1" w:lastRow="1" w:firstColumn="1" w:lastColumn="1" w:noHBand="0" w:noVBand="0"/>
      </w:tblPr>
      <w:tblGrid>
        <w:gridCol w:w="3503"/>
        <w:gridCol w:w="1095"/>
        <w:gridCol w:w="1149"/>
        <w:gridCol w:w="1175"/>
        <w:gridCol w:w="1217"/>
        <w:gridCol w:w="1217"/>
      </w:tblGrid>
      <w:tr w:rsidR="00782223" w:rsidRPr="00657BE6" w14:paraId="6DF340B7" w14:textId="77777777" w:rsidTr="007B77FC">
        <w:trPr>
          <w:trHeight w:val="369"/>
        </w:trPr>
        <w:tc>
          <w:tcPr>
            <w:tcW w:w="3503" w:type="dxa"/>
            <w:tcBorders>
              <w:top w:val="single" w:sz="4" w:space="0" w:color="000000"/>
              <w:bottom w:val="single" w:sz="4" w:space="0" w:color="000000"/>
            </w:tcBorders>
          </w:tcPr>
          <w:p w14:paraId="11672C81" w14:textId="77777777" w:rsidR="00782223" w:rsidRPr="00657BE6" w:rsidRDefault="00782223" w:rsidP="007B77FC">
            <w:pPr>
              <w:pStyle w:val="Table"/>
              <w:rPr>
                <w:rFonts w:cs="Times New Roman"/>
                <w:sz w:val="18"/>
                <w:szCs w:val="18"/>
              </w:rPr>
            </w:pPr>
          </w:p>
        </w:tc>
        <w:tc>
          <w:tcPr>
            <w:tcW w:w="1095" w:type="dxa"/>
            <w:tcBorders>
              <w:top w:val="single" w:sz="4" w:space="0" w:color="000000"/>
              <w:bottom w:val="single" w:sz="4" w:space="0" w:color="000000"/>
            </w:tcBorders>
          </w:tcPr>
          <w:p w14:paraId="3E22FCFF" w14:textId="77777777" w:rsidR="00782223" w:rsidRPr="00657BE6" w:rsidRDefault="00782223" w:rsidP="007B77FC">
            <w:pPr>
              <w:pStyle w:val="Table"/>
              <w:jc w:val="center"/>
              <w:rPr>
                <w:rFonts w:cs="Times New Roman"/>
                <w:sz w:val="18"/>
                <w:szCs w:val="18"/>
              </w:rPr>
            </w:pPr>
            <w:r w:rsidRPr="00657BE6">
              <w:rPr>
                <w:rFonts w:cs="Times New Roman"/>
                <w:sz w:val="18"/>
                <w:szCs w:val="18"/>
              </w:rPr>
              <w:t>(1)</w:t>
            </w:r>
          </w:p>
        </w:tc>
        <w:tc>
          <w:tcPr>
            <w:tcW w:w="1149" w:type="dxa"/>
            <w:tcBorders>
              <w:top w:val="single" w:sz="4" w:space="0" w:color="000000"/>
              <w:bottom w:val="single" w:sz="4" w:space="0" w:color="000000"/>
            </w:tcBorders>
          </w:tcPr>
          <w:p w14:paraId="5F509BF3" w14:textId="77777777" w:rsidR="00782223" w:rsidRPr="00657BE6" w:rsidRDefault="00782223" w:rsidP="007B77FC">
            <w:pPr>
              <w:pStyle w:val="Table"/>
              <w:jc w:val="center"/>
              <w:rPr>
                <w:rFonts w:cs="Times New Roman"/>
                <w:sz w:val="18"/>
                <w:szCs w:val="18"/>
              </w:rPr>
            </w:pPr>
            <w:r w:rsidRPr="00657BE6">
              <w:rPr>
                <w:rFonts w:cs="Times New Roman"/>
                <w:sz w:val="18"/>
                <w:szCs w:val="18"/>
              </w:rPr>
              <w:t>(2)</w:t>
            </w:r>
          </w:p>
        </w:tc>
        <w:tc>
          <w:tcPr>
            <w:tcW w:w="1175" w:type="dxa"/>
            <w:tcBorders>
              <w:top w:val="single" w:sz="4" w:space="0" w:color="000000"/>
              <w:bottom w:val="single" w:sz="4" w:space="0" w:color="000000"/>
            </w:tcBorders>
          </w:tcPr>
          <w:p w14:paraId="327BA6E6" w14:textId="77777777" w:rsidR="00782223" w:rsidRPr="00657BE6" w:rsidRDefault="00782223" w:rsidP="007B77FC">
            <w:pPr>
              <w:pStyle w:val="Table"/>
              <w:jc w:val="center"/>
              <w:rPr>
                <w:rFonts w:cs="Times New Roman"/>
                <w:sz w:val="18"/>
                <w:szCs w:val="18"/>
              </w:rPr>
            </w:pPr>
            <w:r w:rsidRPr="00657BE6">
              <w:rPr>
                <w:rFonts w:cs="Times New Roman"/>
                <w:sz w:val="18"/>
                <w:szCs w:val="18"/>
              </w:rPr>
              <w:t>(3)</w:t>
            </w:r>
          </w:p>
        </w:tc>
        <w:tc>
          <w:tcPr>
            <w:tcW w:w="1217" w:type="dxa"/>
            <w:tcBorders>
              <w:top w:val="single" w:sz="4" w:space="0" w:color="000000"/>
              <w:bottom w:val="single" w:sz="4" w:space="0" w:color="000000"/>
            </w:tcBorders>
          </w:tcPr>
          <w:p w14:paraId="4CBE956E" w14:textId="77777777" w:rsidR="00782223" w:rsidRPr="00657BE6" w:rsidRDefault="00782223" w:rsidP="007B77FC">
            <w:pPr>
              <w:pStyle w:val="Table"/>
              <w:jc w:val="center"/>
              <w:rPr>
                <w:rFonts w:cs="Times New Roman"/>
                <w:sz w:val="18"/>
                <w:szCs w:val="18"/>
              </w:rPr>
            </w:pPr>
            <w:r w:rsidRPr="00657BE6">
              <w:rPr>
                <w:rFonts w:cs="Times New Roman"/>
                <w:sz w:val="18"/>
                <w:szCs w:val="18"/>
              </w:rPr>
              <w:t>(4)</w:t>
            </w:r>
          </w:p>
        </w:tc>
        <w:tc>
          <w:tcPr>
            <w:tcW w:w="1217" w:type="dxa"/>
            <w:tcBorders>
              <w:top w:val="single" w:sz="4" w:space="0" w:color="000000"/>
              <w:bottom w:val="single" w:sz="4" w:space="0" w:color="000000"/>
            </w:tcBorders>
          </w:tcPr>
          <w:p w14:paraId="46776890" w14:textId="77777777" w:rsidR="00782223" w:rsidRPr="00657BE6" w:rsidRDefault="00782223" w:rsidP="007B77FC">
            <w:pPr>
              <w:pStyle w:val="Table"/>
              <w:jc w:val="center"/>
              <w:rPr>
                <w:rFonts w:cs="Times New Roman"/>
                <w:sz w:val="18"/>
                <w:szCs w:val="18"/>
              </w:rPr>
            </w:pPr>
            <w:r w:rsidRPr="00657BE6">
              <w:rPr>
                <w:rFonts w:cs="Times New Roman"/>
                <w:sz w:val="18"/>
                <w:szCs w:val="18"/>
              </w:rPr>
              <w:t>(5)</w:t>
            </w:r>
          </w:p>
        </w:tc>
      </w:tr>
      <w:tr w:rsidR="00782223" w:rsidRPr="00657BE6" w14:paraId="5F2228AB" w14:textId="77777777" w:rsidTr="007B77FC">
        <w:trPr>
          <w:trHeight w:val="332"/>
        </w:trPr>
        <w:tc>
          <w:tcPr>
            <w:tcW w:w="3503" w:type="dxa"/>
            <w:tcBorders>
              <w:top w:val="single" w:sz="4" w:space="0" w:color="000000"/>
            </w:tcBorders>
            <w:vAlign w:val="center"/>
          </w:tcPr>
          <w:p w14:paraId="2806959B" w14:textId="77777777" w:rsidR="00782223" w:rsidRPr="00657BE6" w:rsidRDefault="00782223" w:rsidP="007B77FC">
            <w:pPr>
              <w:pStyle w:val="Table"/>
              <w:rPr>
                <w:rFonts w:cs="Times New Roman"/>
                <w:sz w:val="18"/>
                <w:szCs w:val="18"/>
              </w:rPr>
            </w:pPr>
            <w:r w:rsidRPr="00657BE6">
              <w:rPr>
                <w:rFonts w:cs="Times New Roman"/>
                <w:sz w:val="18"/>
                <w:szCs w:val="18"/>
              </w:rPr>
              <w:t>Proportion of Smart Card Users</w:t>
            </w:r>
          </w:p>
        </w:tc>
        <w:tc>
          <w:tcPr>
            <w:tcW w:w="1095" w:type="dxa"/>
            <w:tcBorders>
              <w:top w:val="single" w:sz="4" w:space="0" w:color="000000"/>
            </w:tcBorders>
            <w:vAlign w:val="center"/>
          </w:tcPr>
          <w:p w14:paraId="1FA62F28" w14:textId="77777777" w:rsidR="00782223" w:rsidRPr="00657BE6" w:rsidRDefault="00782223" w:rsidP="007B77FC">
            <w:pPr>
              <w:pStyle w:val="Table"/>
              <w:rPr>
                <w:rFonts w:cs="Times New Roman"/>
                <w:sz w:val="18"/>
                <w:szCs w:val="18"/>
              </w:rPr>
            </w:pPr>
            <w:r w:rsidRPr="00657BE6">
              <w:rPr>
                <w:rFonts w:cs="Times New Roman"/>
                <w:sz w:val="18"/>
                <w:szCs w:val="18"/>
              </w:rPr>
              <w:t>0.316 [0.088]</w:t>
            </w:r>
          </w:p>
        </w:tc>
        <w:tc>
          <w:tcPr>
            <w:tcW w:w="1149" w:type="dxa"/>
            <w:tcBorders>
              <w:top w:val="single" w:sz="4" w:space="0" w:color="000000"/>
            </w:tcBorders>
            <w:vAlign w:val="center"/>
          </w:tcPr>
          <w:p w14:paraId="456BCED3" w14:textId="77777777" w:rsidR="00782223" w:rsidRPr="00657BE6" w:rsidRDefault="00782223" w:rsidP="007B77FC">
            <w:pPr>
              <w:pStyle w:val="Table"/>
              <w:rPr>
                <w:rFonts w:cs="Times New Roman"/>
                <w:sz w:val="18"/>
                <w:szCs w:val="18"/>
              </w:rPr>
            </w:pPr>
            <w:r w:rsidRPr="00657BE6">
              <w:rPr>
                <w:rFonts w:cs="Times New Roman"/>
                <w:sz w:val="18"/>
                <w:szCs w:val="18"/>
              </w:rPr>
              <w:t>0.230 [0.079]</w:t>
            </w:r>
          </w:p>
        </w:tc>
        <w:tc>
          <w:tcPr>
            <w:tcW w:w="1175" w:type="dxa"/>
            <w:tcBorders>
              <w:top w:val="single" w:sz="4" w:space="0" w:color="000000"/>
            </w:tcBorders>
            <w:vAlign w:val="center"/>
          </w:tcPr>
          <w:p w14:paraId="53EA3E75" w14:textId="77777777" w:rsidR="00782223" w:rsidRPr="00657BE6" w:rsidRDefault="00782223" w:rsidP="007B77FC">
            <w:pPr>
              <w:pStyle w:val="Table"/>
              <w:rPr>
                <w:rFonts w:cs="Times New Roman"/>
                <w:sz w:val="18"/>
                <w:szCs w:val="18"/>
              </w:rPr>
            </w:pPr>
            <w:r w:rsidRPr="00657BE6">
              <w:rPr>
                <w:rFonts w:cs="Times New Roman"/>
                <w:sz w:val="18"/>
                <w:szCs w:val="18"/>
              </w:rPr>
              <w:t>0.194 [0.078]</w:t>
            </w:r>
          </w:p>
        </w:tc>
        <w:tc>
          <w:tcPr>
            <w:tcW w:w="1217" w:type="dxa"/>
            <w:tcBorders>
              <w:top w:val="single" w:sz="4" w:space="0" w:color="000000"/>
            </w:tcBorders>
            <w:vAlign w:val="center"/>
          </w:tcPr>
          <w:p w14:paraId="5C6AE51F" w14:textId="77777777" w:rsidR="00782223" w:rsidRPr="00657BE6" w:rsidRDefault="00782223" w:rsidP="007B77FC">
            <w:pPr>
              <w:pStyle w:val="Table"/>
              <w:rPr>
                <w:rFonts w:cs="Times New Roman"/>
                <w:sz w:val="18"/>
                <w:szCs w:val="18"/>
              </w:rPr>
            </w:pPr>
            <w:r w:rsidRPr="00657BE6">
              <w:rPr>
                <w:rFonts w:cs="Times New Roman"/>
                <w:sz w:val="18"/>
                <w:szCs w:val="18"/>
              </w:rPr>
              <w:t>0.395 [1.306]</w:t>
            </w:r>
          </w:p>
        </w:tc>
        <w:tc>
          <w:tcPr>
            <w:tcW w:w="1217" w:type="dxa"/>
            <w:tcBorders>
              <w:top w:val="single" w:sz="4" w:space="0" w:color="000000"/>
            </w:tcBorders>
            <w:vAlign w:val="center"/>
          </w:tcPr>
          <w:p w14:paraId="0BE4AF35" w14:textId="77777777" w:rsidR="00782223" w:rsidRPr="00657BE6" w:rsidRDefault="00782223" w:rsidP="007B77FC">
            <w:pPr>
              <w:pStyle w:val="Table"/>
              <w:rPr>
                <w:rFonts w:cs="Times New Roman"/>
                <w:sz w:val="18"/>
                <w:szCs w:val="18"/>
              </w:rPr>
            </w:pPr>
            <w:r w:rsidRPr="00657BE6">
              <w:rPr>
                <w:rFonts w:cs="Times New Roman"/>
                <w:sz w:val="18"/>
                <w:szCs w:val="18"/>
              </w:rPr>
              <w:t>-0.659 [1.713]</w:t>
            </w:r>
          </w:p>
        </w:tc>
      </w:tr>
      <w:tr w:rsidR="00782223" w:rsidRPr="00657BE6" w14:paraId="1B6EFF68" w14:textId="77777777" w:rsidTr="007B77FC">
        <w:trPr>
          <w:trHeight w:val="296"/>
        </w:trPr>
        <w:tc>
          <w:tcPr>
            <w:tcW w:w="3503" w:type="dxa"/>
            <w:vAlign w:val="center"/>
          </w:tcPr>
          <w:p w14:paraId="3C7F0C9A" w14:textId="77777777" w:rsidR="00782223" w:rsidRPr="00657BE6" w:rsidRDefault="00782223" w:rsidP="007B77FC">
            <w:pPr>
              <w:pStyle w:val="Table"/>
              <w:rPr>
                <w:rFonts w:cs="Times New Roman"/>
                <w:sz w:val="18"/>
                <w:szCs w:val="18"/>
              </w:rPr>
            </w:pPr>
            <w:r w:rsidRPr="00657BE6">
              <w:rPr>
                <w:rFonts w:cs="Times New Roman"/>
                <w:sz w:val="18"/>
                <w:szCs w:val="18"/>
              </w:rPr>
              <w:t>Vote share Labor Party (2000)</w:t>
            </w:r>
          </w:p>
        </w:tc>
        <w:tc>
          <w:tcPr>
            <w:tcW w:w="1095" w:type="dxa"/>
            <w:vAlign w:val="center"/>
          </w:tcPr>
          <w:p w14:paraId="711339AC" w14:textId="77777777" w:rsidR="00782223" w:rsidRPr="00657BE6" w:rsidRDefault="00782223" w:rsidP="007B77FC">
            <w:pPr>
              <w:pStyle w:val="Table"/>
              <w:rPr>
                <w:rFonts w:cs="Times New Roman"/>
                <w:sz w:val="18"/>
                <w:szCs w:val="18"/>
              </w:rPr>
            </w:pPr>
            <w:r w:rsidRPr="00657BE6">
              <w:rPr>
                <w:rFonts w:cs="Times New Roman"/>
                <w:sz w:val="18"/>
                <w:szCs w:val="18"/>
              </w:rPr>
              <w:t>0.795 [0.093]</w:t>
            </w:r>
          </w:p>
        </w:tc>
        <w:tc>
          <w:tcPr>
            <w:tcW w:w="1149" w:type="dxa"/>
            <w:vAlign w:val="center"/>
          </w:tcPr>
          <w:p w14:paraId="09987180" w14:textId="77777777" w:rsidR="00782223" w:rsidRPr="00657BE6" w:rsidRDefault="00782223" w:rsidP="007B77FC">
            <w:pPr>
              <w:pStyle w:val="Table"/>
              <w:rPr>
                <w:rFonts w:cs="Times New Roman"/>
                <w:sz w:val="18"/>
                <w:szCs w:val="18"/>
              </w:rPr>
            </w:pPr>
            <w:r w:rsidRPr="00657BE6">
              <w:rPr>
                <w:rFonts w:cs="Times New Roman"/>
                <w:sz w:val="18"/>
                <w:szCs w:val="18"/>
              </w:rPr>
              <w:t>0.209 [0.106]</w:t>
            </w:r>
          </w:p>
        </w:tc>
        <w:tc>
          <w:tcPr>
            <w:tcW w:w="1175" w:type="dxa"/>
            <w:vAlign w:val="center"/>
          </w:tcPr>
          <w:p w14:paraId="3846F246" w14:textId="77777777" w:rsidR="00782223" w:rsidRPr="00657BE6" w:rsidRDefault="00782223" w:rsidP="007B77FC">
            <w:pPr>
              <w:pStyle w:val="Table"/>
              <w:rPr>
                <w:rFonts w:cs="Times New Roman"/>
                <w:sz w:val="18"/>
                <w:szCs w:val="18"/>
              </w:rPr>
            </w:pPr>
            <w:r w:rsidRPr="00657BE6">
              <w:rPr>
                <w:rFonts w:cs="Times New Roman"/>
                <w:sz w:val="18"/>
                <w:szCs w:val="18"/>
              </w:rPr>
              <w:t>0.14 [0.109]</w:t>
            </w:r>
          </w:p>
        </w:tc>
        <w:tc>
          <w:tcPr>
            <w:tcW w:w="1217" w:type="dxa"/>
            <w:vAlign w:val="center"/>
          </w:tcPr>
          <w:p w14:paraId="14C938CE" w14:textId="77777777" w:rsidR="00782223" w:rsidRPr="00657BE6" w:rsidRDefault="00782223" w:rsidP="007B77FC">
            <w:pPr>
              <w:pStyle w:val="Table"/>
              <w:rPr>
                <w:rFonts w:cs="Times New Roman"/>
                <w:sz w:val="18"/>
                <w:szCs w:val="18"/>
              </w:rPr>
            </w:pPr>
            <w:r w:rsidRPr="00657BE6">
              <w:rPr>
                <w:rFonts w:cs="Times New Roman"/>
                <w:sz w:val="18"/>
                <w:szCs w:val="18"/>
              </w:rPr>
              <w:t>0.153 [0.109]</w:t>
            </w:r>
          </w:p>
        </w:tc>
        <w:tc>
          <w:tcPr>
            <w:tcW w:w="1217" w:type="dxa"/>
            <w:vAlign w:val="center"/>
          </w:tcPr>
          <w:p w14:paraId="0694F45B" w14:textId="77777777" w:rsidR="00782223" w:rsidRPr="00657BE6" w:rsidRDefault="00782223" w:rsidP="007B77FC">
            <w:pPr>
              <w:pStyle w:val="Table"/>
              <w:rPr>
                <w:rFonts w:cs="Times New Roman"/>
                <w:sz w:val="18"/>
                <w:szCs w:val="18"/>
              </w:rPr>
            </w:pPr>
            <w:r w:rsidRPr="00657BE6">
              <w:rPr>
                <w:rFonts w:cs="Times New Roman"/>
                <w:sz w:val="18"/>
                <w:szCs w:val="18"/>
              </w:rPr>
              <w:t>0.169 [0.108]</w:t>
            </w:r>
          </w:p>
        </w:tc>
      </w:tr>
      <w:tr w:rsidR="00782223" w:rsidRPr="00657BE6" w14:paraId="1DD5E9A6" w14:textId="77777777" w:rsidTr="007B77FC">
        <w:trPr>
          <w:trHeight w:val="296"/>
        </w:trPr>
        <w:tc>
          <w:tcPr>
            <w:tcW w:w="3503" w:type="dxa"/>
            <w:vAlign w:val="center"/>
          </w:tcPr>
          <w:p w14:paraId="0C49030A" w14:textId="77777777" w:rsidR="00782223" w:rsidRPr="00657BE6" w:rsidRDefault="00782223" w:rsidP="007B77FC">
            <w:pPr>
              <w:pStyle w:val="Table"/>
              <w:rPr>
                <w:rFonts w:cs="Times New Roman"/>
                <w:sz w:val="18"/>
                <w:szCs w:val="18"/>
              </w:rPr>
            </w:pPr>
            <w:r w:rsidRPr="00657BE6">
              <w:rPr>
                <w:rFonts w:cs="Times New Roman"/>
                <w:sz w:val="18"/>
                <w:szCs w:val="18"/>
              </w:rPr>
              <w:t>Average Nominal Income (log)</w:t>
            </w:r>
          </w:p>
        </w:tc>
        <w:tc>
          <w:tcPr>
            <w:tcW w:w="1095" w:type="dxa"/>
            <w:vAlign w:val="center"/>
          </w:tcPr>
          <w:p w14:paraId="68064A55" w14:textId="77777777" w:rsidR="00782223" w:rsidRPr="00657BE6" w:rsidRDefault="00782223" w:rsidP="007B77FC">
            <w:pPr>
              <w:pStyle w:val="Table"/>
              <w:rPr>
                <w:rFonts w:cs="Times New Roman"/>
                <w:sz w:val="18"/>
                <w:szCs w:val="18"/>
              </w:rPr>
            </w:pPr>
          </w:p>
        </w:tc>
        <w:tc>
          <w:tcPr>
            <w:tcW w:w="1149" w:type="dxa"/>
            <w:vAlign w:val="center"/>
          </w:tcPr>
          <w:p w14:paraId="545E8574" w14:textId="77777777" w:rsidR="00782223" w:rsidRPr="00657BE6" w:rsidRDefault="00782223" w:rsidP="007B77FC">
            <w:pPr>
              <w:pStyle w:val="Table"/>
              <w:rPr>
                <w:rFonts w:cs="Times New Roman"/>
                <w:sz w:val="18"/>
                <w:szCs w:val="18"/>
              </w:rPr>
            </w:pPr>
            <w:r w:rsidRPr="00657BE6">
              <w:rPr>
                <w:rFonts w:cs="Times New Roman"/>
                <w:sz w:val="18"/>
                <w:szCs w:val="18"/>
              </w:rPr>
              <w:t>-0.075 [0.012]</w:t>
            </w:r>
          </w:p>
        </w:tc>
        <w:tc>
          <w:tcPr>
            <w:tcW w:w="1175" w:type="dxa"/>
            <w:vAlign w:val="center"/>
          </w:tcPr>
          <w:p w14:paraId="4932A688" w14:textId="77777777" w:rsidR="00782223" w:rsidRPr="00657BE6" w:rsidRDefault="00782223" w:rsidP="007B77FC">
            <w:pPr>
              <w:pStyle w:val="Table"/>
              <w:rPr>
                <w:rFonts w:cs="Times New Roman"/>
                <w:sz w:val="18"/>
                <w:szCs w:val="18"/>
              </w:rPr>
            </w:pPr>
            <w:r w:rsidRPr="00657BE6">
              <w:rPr>
                <w:rFonts w:cs="Times New Roman"/>
                <w:sz w:val="18"/>
                <w:szCs w:val="18"/>
              </w:rPr>
              <w:t>-0.074 [0.012]</w:t>
            </w:r>
          </w:p>
        </w:tc>
        <w:tc>
          <w:tcPr>
            <w:tcW w:w="1217" w:type="dxa"/>
            <w:vAlign w:val="center"/>
          </w:tcPr>
          <w:p w14:paraId="372B7EC2" w14:textId="77777777" w:rsidR="00782223" w:rsidRPr="00657BE6" w:rsidRDefault="00782223" w:rsidP="007B77FC">
            <w:pPr>
              <w:pStyle w:val="Table"/>
              <w:rPr>
                <w:rFonts w:cs="Times New Roman"/>
                <w:sz w:val="18"/>
                <w:szCs w:val="18"/>
              </w:rPr>
            </w:pPr>
            <w:r w:rsidRPr="00657BE6">
              <w:rPr>
                <w:rFonts w:cs="Times New Roman"/>
                <w:sz w:val="18"/>
                <w:szCs w:val="18"/>
              </w:rPr>
              <w:t>-0.071 [0.017]</w:t>
            </w:r>
          </w:p>
        </w:tc>
        <w:tc>
          <w:tcPr>
            <w:tcW w:w="1217" w:type="dxa"/>
            <w:vAlign w:val="center"/>
          </w:tcPr>
          <w:p w14:paraId="1AAA99AB" w14:textId="77777777" w:rsidR="00782223" w:rsidRPr="00657BE6" w:rsidRDefault="00782223" w:rsidP="007B77FC">
            <w:pPr>
              <w:pStyle w:val="Table"/>
              <w:rPr>
                <w:rFonts w:cs="Times New Roman"/>
                <w:sz w:val="18"/>
                <w:szCs w:val="18"/>
              </w:rPr>
            </w:pPr>
            <w:r w:rsidRPr="00657BE6">
              <w:rPr>
                <w:rFonts w:cs="Times New Roman"/>
                <w:sz w:val="18"/>
                <w:szCs w:val="18"/>
              </w:rPr>
              <w:t>-0.078 [0.019]</w:t>
            </w:r>
          </w:p>
        </w:tc>
      </w:tr>
      <w:tr w:rsidR="00782223" w:rsidRPr="00657BE6" w14:paraId="379EEDF5" w14:textId="77777777" w:rsidTr="007B77FC">
        <w:trPr>
          <w:trHeight w:val="296"/>
        </w:trPr>
        <w:tc>
          <w:tcPr>
            <w:tcW w:w="3503" w:type="dxa"/>
            <w:vAlign w:val="center"/>
          </w:tcPr>
          <w:p w14:paraId="32714572" w14:textId="77777777" w:rsidR="00782223" w:rsidRPr="00657BE6" w:rsidRDefault="00782223" w:rsidP="007B77FC">
            <w:pPr>
              <w:pStyle w:val="Table"/>
              <w:rPr>
                <w:rFonts w:cs="Times New Roman"/>
                <w:sz w:val="18"/>
                <w:szCs w:val="18"/>
              </w:rPr>
            </w:pPr>
            <w:r w:rsidRPr="00657BE6">
              <w:rPr>
                <w:rFonts w:cs="Times New Roman"/>
                <w:sz w:val="18"/>
                <w:szCs w:val="18"/>
              </w:rPr>
              <w:t>Distance to the nearest rail station (Km)</w:t>
            </w:r>
          </w:p>
        </w:tc>
        <w:tc>
          <w:tcPr>
            <w:tcW w:w="1095" w:type="dxa"/>
            <w:vAlign w:val="center"/>
          </w:tcPr>
          <w:p w14:paraId="3E81EC79" w14:textId="77777777" w:rsidR="00782223" w:rsidRPr="00657BE6" w:rsidRDefault="00782223" w:rsidP="007B77FC">
            <w:pPr>
              <w:pStyle w:val="Table"/>
              <w:rPr>
                <w:rFonts w:cs="Times New Roman"/>
                <w:sz w:val="18"/>
                <w:szCs w:val="18"/>
              </w:rPr>
            </w:pPr>
          </w:p>
        </w:tc>
        <w:tc>
          <w:tcPr>
            <w:tcW w:w="1149" w:type="dxa"/>
            <w:vAlign w:val="center"/>
          </w:tcPr>
          <w:p w14:paraId="1959B16E" w14:textId="77777777" w:rsidR="00782223" w:rsidRPr="00657BE6" w:rsidRDefault="00782223" w:rsidP="007B77FC">
            <w:pPr>
              <w:pStyle w:val="Table"/>
              <w:rPr>
                <w:rFonts w:cs="Times New Roman"/>
                <w:sz w:val="18"/>
                <w:szCs w:val="18"/>
              </w:rPr>
            </w:pPr>
            <w:r w:rsidRPr="00657BE6">
              <w:rPr>
                <w:rFonts w:cs="Times New Roman"/>
                <w:sz w:val="18"/>
                <w:szCs w:val="18"/>
              </w:rPr>
              <w:t>0.004 [0.003]</w:t>
            </w:r>
          </w:p>
        </w:tc>
        <w:tc>
          <w:tcPr>
            <w:tcW w:w="1175" w:type="dxa"/>
            <w:vAlign w:val="center"/>
          </w:tcPr>
          <w:p w14:paraId="20F889C7" w14:textId="77777777" w:rsidR="00782223" w:rsidRPr="00657BE6" w:rsidRDefault="00782223" w:rsidP="007B77FC">
            <w:pPr>
              <w:pStyle w:val="Table"/>
              <w:rPr>
                <w:rFonts w:cs="Times New Roman"/>
                <w:sz w:val="18"/>
                <w:szCs w:val="18"/>
              </w:rPr>
            </w:pPr>
            <w:r w:rsidRPr="00657BE6">
              <w:rPr>
                <w:rFonts w:cs="Times New Roman"/>
                <w:sz w:val="18"/>
                <w:szCs w:val="18"/>
              </w:rPr>
              <w:t>0.004 [0.003]</w:t>
            </w:r>
          </w:p>
        </w:tc>
        <w:tc>
          <w:tcPr>
            <w:tcW w:w="1217" w:type="dxa"/>
            <w:vAlign w:val="center"/>
          </w:tcPr>
          <w:p w14:paraId="79CA4F56" w14:textId="77777777" w:rsidR="00782223" w:rsidRPr="00657BE6" w:rsidRDefault="00782223" w:rsidP="007B77FC">
            <w:pPr>
              <w:pStyle w:val="Table"/>
              <w:rPr>
                <w:rFonts w:cs="Times New Roman"/>
                <w:sz w:val="18"/>
                <w:szCs w:val="18"/>
              </w:rPr>
            </w:pPr>
            <w:r w:rsidRPr="00657BE6">
              <w:rPr>
                <w:rFonts w:cs="Times New Roman"/>
                <w:sz w:val="18"/>
                <w:szCs w:val="18"/>
              </w:rPr>
              <w:t>0.003 [0.003]</w:t>
            </w:r>
          </w:p>
        </w:tc>
        <w:tc>
          <w:tcPr>
            <w:tcW w:w="1217" w:type="dxa"/>
            <w:vAlign w:val="center"/>
          </w:tcPr>
          <w:p w14:paraId="61529159" w14:textId="77777777" w:rsidR="00782223" w:rsidRPr="00657BE6" w:rsidRDefault="00782223" w:rsidP="007B77FC">
            <w:pPr>
              <w:pStyle w:val="Table"/>
              <w:rPr>
                <w:rFonts w:cs="Times New Roman"/>
                <w:sz w:val="18"/>
                <w:szCs w:val="18"/>
              </w:rPr>
            </w:pPr>
            <w:r w:rsidRPr="00657BE6">
              <w:rPr>
                <w:rFonts w:cs="Times New Roman"/>
                <w:sz w:val="18"/>
                <w:szCs w:val="18"/>
              </w:rPr>
              <w:t>0.0001 [0.006]</w:t>
            </w:r>
          </w:p>
        </w:tc>
      </w:tr>
      <w:tr w:rsidR="00782223" w:rsidRPr="00657BE6" w14:paraId="3FF034CA" w14:textId="77777777" w:rsidTr="007B77FC">
        <w:trPr>
          <w:trHeight w:val="296"/>
        </w:trPr>
        <w:tc>
          <w:tcPr>
            <w:tcW w:w="3503" w:type="dxa"/>
            <w:vAlign w:val="center"/>
          </w:tcPr>
          <w:p w14:paraId="671B95AF" w14:textId="77777777" w:rsidR="00782223" w:rsidRPr="00657BE6" w:rsidRDefault="00782223" w:rsidP="007B77FC">
            <w:pPr>
              <w:pStyle w:val="Table"/>
              <w:rPr>
                <w:rFonts w:cs="Times New Roman"/>
                <w:sz w:val="18"/>
                <w:szCs w:val="18"/>
              </w:rPr>
            </w:pPr>
            <w:r w:rsidRPr="00657BE6">
              <w:rPr>
                <w:rFonts w:cs="Times New Roman"/>
                <w:sz w:val="18"/>
                <w:szCs w:val="18"/>
              </w:rPr>
              <w:t>Distance to nearest bus corridor (Km)</w:t>
            </w:r>
          </w:p>
        </w:tc>
        <w:tc>
          <w:tcPr>
            <w:tcW w:w="1095" w:type="dxa"/>
            <w:vAlign w:val="center"/>
          </w:tcPr>
          <w:p w14:paraId="284A57EE" w14:textId="77777777" w:rsidR="00782223" w:rsidRPr="00657BE6" w:rsidRDefault="00782223" w:rsidP="007B77FC">
            <w:pPr>
              <w:pStyle w:val="Table"/>
              <w:rPr>
                <w:rFonts w:cs="Times New Roman"/>
                <w:sz w:val="18"/>
                <w:szCs w:val="18"/>
              </w:rPr>
            </w:pPr>
          </w:p>
        </w:tc>
        <w:tc>
          <w:tcPr>
            <w:tcW w:w="1149" w:type="dxa"/>
            <w:vAlign w:val="center"/>
          </w:tcPr>
          <w:p w14:paraId="471C1AE1" w14:textId="77777777" w:rsidR="00782223" w:rsidRPr="00657BE6" w:rsidRDefault="00782223" w:rsidP="007B77FC">
            <w:pPr>
              <w:pStyle w:val="Table"/>
              <w:rPr>
                <w:rFonts w:cs="Times New Roman"/>
                <w:sz w:val="18"/>
                <w:szCs w:val="18"/>
              </w:rPr>
            </w:pPr>
          </w:p>
        </w:tc>
        <w:tc>
          <w:tcPr>
            <w:tcW w:w="1175" w:type="dxa"/>
            <w:vAlign w:val="center"/>
          </w:tcPr>
          <w:p w14:paraId="1C400647" w14:textId="77777777" w:rsidR="00782223" w:rsidRPr="00657BE6" w:rsidRDefault="00782223" w:rsidP="007B77FC">
            <w:pPr>
              <w:pStyle w:val="Table"/>
              <w:rPr>
                <w:rFonts w:cs="Times New Roman"/>
                <w:sz w:val="18"/>
                <w:szCs w:val="18"/>
              </w:rPr>
            </w:pPr>
            <w:r w:rsidRPr="00657BE6">
              <w:rPr>
                <w:rFonts w:cs="Times New Roman"/>
                <w:sz w:val="18"/>
                <w:szCs w:val="18"/>
              </w:rPr>
              <w:t>0.0001 [0.001]</w:t>
            </w:r>
          </w:p>
        </w:tc>
        <w:tc>
          <w:tcPr>
            <w:tcW w:w="1217" w:type="dxa"/>
            <w:vAlign w:val="center"/>
          </w:tcPr>
          <w:p w14:paraId="5F3D91C8" w14:textId="77777777" w:rsidR="00782223" w:rsidRPr="00657BE6" w:rsidRDefault="00782223" w:rsidP="007B77FC">
            <w:pPr>
              <w:pStyle w:val="Table"/>
              <w:rPr>
                <w:rFonts w:cs="Times New Roman"/>
                <w:sz w:val="18"/>
                <w:szCs w:val="18"/>
              </w:rPr>
            </w:pPr>
            <w:r w:rsidRPr="00657BE6">
              <w:rPr>
                <w:rFonts w:cs="Times New Roman"/>
                <w:sz w:val="18"/>
                <w:szCs w:val="18"/>
              </w:rPr>
              <w:t>-0.001 [0.001]</w:t>
            </w:r>
          </w:p>
        </w:tc>
        <w:tc>
          <w:tcPr>
            <w:tcW w:w="1217" w:type="dxa"/>
            <w:vAlign w:val="center"/>
          </w:tcPr>
          <w:p w14:paraId="580E8424" w14:textId="77777777" w:rsidR="00782223" w:rsidRPr="00657BE6" w:rsidRDefault="00782223" w:rsidP="007B77FC">
            <w:pPr>
              <w:pStyle w:val="Table"/>
              <w:rPr>
                <w:rFonts w:cs="Times New Roman"/>
                <w:sz w:val="18"/>
                <w:szCs w:val="18"/>
              </w:rPr>
            </w:pPr>
            <w:r w:rsidRPr="00657BE6">
              <w:rPr>
                <w:rFonts w:cs="Times New Roman"/>
                <w:sz w:val="18"/>
                <w:szCs w:val="18"/>
              </w:rPr>
              <w:t>-0.001 [0.002]</w:t>
            </w:r>
          </w:p>
        </w:tc>
      </w:tr>
      <w:tr w:rsidR="00782223" w:rsidRPr="00657BE6" w14:paraId="2565A2A2" w14:textId="77777777" w:rsidTr="007B77FC">
        <w:trPr>
          <w:trHeight w:val="296"/>
        </w:trPr>
        <w:tc>
          <w:tcPr>
            <w:tcW w:w="3503" w:type="dxa"/>
            <w:vAlign w:val="center"/>
          </w:tcPr>
          <w:p w14:paraId="7D260FCE" w14:textId="77777777" w:rsidR="00782223" w:rsidRPr="00657BE6" w:rsidRDefault="00782223" w:rsidP="007B77FC">
            <w:pPr>
              <w:pStyle w:val="Table"/>
              <w:rPr>
                <w:rFonts w:cs="Times New Roman"/>
                <w:sz w:val="18"/>
                <w:szCs w:val="18"/>
              </w:rPr>
            </w:pPr>
            <w:r w:rsidRPr="00657BE6">
              <w:rPr>
                <w:rFonts w:cs="Times New Roman"/>
                <w:sz w:val="18"/>
                <w:szCs w:val="18"/>
              </w:rPr>
              <w:t>The proportion of Transport Voucher users</w:t>
            </w:r>
          </w:p>
        </w:tc>
        <w:tc>
          <w:tcPr>
            <w:tcW w:w="1095" w:type="dxa"/>
            <w:vAlign w:val="center"/>
          </w:tcPr>
          <w:p w14:paraId="38395DA7" w14:textId="77777777" w:rsidR="00782223" w:rsidRPr="00657BE6" w:rsidRDefault="00782223" w:rsidP="007B77FC">
            <w:pPr>
              <w:pStyle w:val="Table"/>
              <w:rPr>
                <w:rFonts w:cs="Times New Roman"/>
                <w:sz w:val="18"/>
                <w:szCs w:val="18"/>
              </w:rPr>
            </w:pPr>
          </w:p>
        </w:tc>
        <w:tc>
          <w:tcPr>
            <w:tcW w:w="1149" w:type="dxa"/>
            <w:vAlign w:val="center"/>
          </w:tcPr>
          <w:p w14:paraId="0BCAA743" w14:textId="77777777" w:rsidR="00782223" w:rsidRPr="00657BE6" w:rsidRDefault="00782223" w:rsidP="007B77FC">
            <w:pPr>
              <w:pStyle w:val="Table"/>
              <w:rPr>
                <w:rFonts w:cs="Times New Roman"/>
                <w:sz w:val="18"/>
                <w:szCs w:val="18"/>
              </w:rPr>
            </w:pPr>
            <w:r w:rsidRPr="00657BE6">
              <w:rPr>
                <w:rFonts w:cs="Times New Roman"/>
                <w:sz w:val="18"/>
                <w:szCs w:val="18"/>
              </w:rPr>
              <w:t>0.023 [0.041]</w:t>
            </w:r>
          </w:p>
        </w:tc>
        <w:tc>
          <w:tcPr>
            <w:tcW w:w="1175" w:type="dxa"/>
            <w:vAlign w:val="center"/>
          </w:tcPr>
          <w:p w14:paraId="787F75C6" w14:textId="77777777" w:rsidR="00782223" w:rsidRPr="00657BE6" w:rsidRDefault="00782223" w:rsidP="007B77FC">
            <w:pPr>
              <w:pStyle w:val="Table"/>
              <w:rPr>
                <w:rFonts w:cs="Times New Roman"/>
                <w:sz w:val="18"/>
                <w:szCs w:val="18"/>
              </w:rPr>
            </w:pPr>
            <w:r w:rsidRPr="00657BE6">
              <w:rPr>
                <w:rFonts w:cs="Times New Roman"/>
                <w:sz w:val="18"/>
                <w:szCs w:val="18"/>
              </w:rPr>
              <w:t>0.033 [0.042]</w:t>
            </w:r>
          </w:p>
        </w:tc>
        <w:tc>
          <w:tcPr>
            <w:tcW w:w="1217" w:type="dxa"/>
            <w:vAlign w:val="center"/>
          </w:tcPr>
          <w:p w14:paraId="4CD63539" w14:textId="77777777" w:rsidR="00782223" w:rsidRPr="00657BE6" w:rsidRDefault="00782223" w:rsidP="007B77FC">
            <w:pPr>
              <w:pStyle w:val="Table"/>
              <w:rPr>
                <w:rFonts w:cs="Times New Roman"/>
                <w:sz w:val="18"/>
                <w:szCs w:val="18"/>
              </w:rPr>
            </w:pPr>
            <w:r w:rsidRPr="00657BE6">
              <w:rPr>
                <w:rFonts w:cs="Times New Roman"/>
                <w:sz w:val="18"/>
                <w:szCs w:val="18"/>
              </w:rPr>
              <w:t>0.029 [0.042]</w:t>
            </w:r>
          </w:p>
        </w:tc>
        <w:tc>
          <w:tcPr>
            <w:tcW w:w="1217" w:type="dxa"/>
            <w:vAlign w:val="center"/>
          </w:tcPr>
          <w:p w14:paraId="50C4B521" w14:textId="77777777" w:rsidR="00782223" w:rsidRPr="00657BE6" w:rsidRDefault="00782223" w:rsidP="007B77FC">
            <w:pPr>
              <w:pStyle w:val="Table"/>
              <w:rPr>
                <w:rFonts w:cs="Times New Roman"/>
                <w:sz w:val="18"/>
                <w:szCs w:val="18"/>
              </w:rPr>
            </w:pPr>
            <w:r w:rsidRPr="00657BE6">
              <w:rPr>
                <w:rFonts w:cs="Times New Roman"/>
                <w:sz w:val="18"/>
                <w:szCs w:val="18"/>
              </w:rPr>
              <w:t>-0.023 [0.065]</w:t>
            </w:r>
          </w:p>
        </w:tc>
      </w:tr>
      <w:tr w:rsidR="00782223" w:rsidRPr="00657BE6" w14:paraId="728E974A" w14:textId="77777777" w:rsidTr="007B77FC">
        <w:trPr>
          <w:trHeight w:val="296"/>
        </w:trPr>
        <w:tc>
          <w:tcPr>
            <w:tcW w:w="3503" w:type="dxa"/>
            <w:vAlign w:val="center"/>
          </w:tcPr>
          <w:p w14:paraId="471CED0E" w14:textId="77777777" w:rsidR="00782223" w:rsidRPr="00657BE6" w:rsidRDefault="00782223" w:rsidP="007B77FC">
            <w:pPr>
              <w:pStyle w:val="Table"/>
              <w:rPr>
                <w:rFonts w:cs="Times New Roman"/>
                <w:sz w:val="18"/>
                <w:szCs w:val="18"/>
              </w:rPr>
            </w:pPr>
            <w:r w:rsidRPr="00657BE6">
              <w:rPr>
                <w:rFonts w:cs="Times New Roman"/>
                <w:sz w:val="18"/>
                <w:szCs w:val="18"/>
              </w:rPr>
              <w:t>Proportion of Students</w:t>
            </w:r>
          </w:p>
        </w:tc>
        <w:tc>
          <w:tcPr>
            <w:tcW w:w="1095" w:type="dxa"/>
            <w:vAlign w:val="center"/>
          </w:tcPr>
          <w:p w14:paraId="3BBF0183" w14:textId="77777777" w:rsidR="00782223" w:rsidRPr="00657BE6" w:rsidRDefault="00782223" w:rsidP="007B77FC">
            <w:pPr>
              <w:pStyle w:val="Table"/>
              <w:rPr>
                <w:rFonts w:cs="Times New Roman"/>
                <w:sz w:val="18"/>
                <w:szCs w:val="18"/>
              </w:rPr>
            </w:pPr>
          </w:p>
        </w:tc>
        <w:tc>
          <w:tcPr>
            <w:tcW w:w="1149" w:type="dxa"/>
            <w:vAlign w:val="center"/>
          </w:tcPr>
          <w:p w14:paraId="29A9C6BF" w14:textId="77777777" w:rsidR="00782223" w:rsidRPr="00657BE6" w:rsidRDefault="00782223" w:rsidP="007B77FC">
            <w:pPr>
              <w:pStyle w:val="Table"/>
              <w:rPr>
                <w:rFonts w:cs="Times New Roman"/>
                <w:sz w:val="18"/>
                <w:szCs w:val="18"/>
              </w:rPr>
            </w:pPr>
          </w:p>
        </w:tc>
        <w:tc>
          <w:tcPr>
            <w:tcW w:w="1175" w:type="dxa"/>
            <w:vAlign w:val="center"/>
          </w:tcPr>
          <w:p w14:paraId="713A6427" w14:textId="77777777" w:rsidR="00782223" w:rsidRPr="00657BE6" w:rsidRDefault="00782223" w:rsidP="007B77FC">
            <w:pPr>
              <w:pStyle w:val="Table"/>
              <w:rPr>
                <w:rFonts w:cs="Times New Roman"/>
                <w:sz w:val="18"/>
                <w:szCs w:val="18"/>
              </w:rPr>
            </w:pPr>
            <w:r w:rsidRPr="00657BE6">
              <w:rPr>
                <w:rFonts w:cs="Times New Roman"/>
                <w:sz w:val="18"/>
                <w:szCs w:val="18"/>
              </w:rPr>
              <w:t>0.080 [0.041]</w:t>
            </w:r>
          </w:p>
        </w:tc>
        <w:tc>
          <w:tcPr>
            <w:tcW w:w="1217" w:type="dxa"/>
            <w:vAlign w:val="center"/>
          </w:tcPr>
          <w:p w14:paraId="6821130B" w14:textId="77777777" w:rsidR="00782223" w:rsidRPr="00657BE6" w:rsidRDefault="00782223" w:rsidP="007B77FC">
            <w:pPr>
              <w:pStyle w:val="Table"/>
              <w:rPr>
                <w:rFonts w:cs="Times New Roman"/>
                <w:sz w:val="18"/>
                <w:szCs w:val="18"/>
              </w:rPr>
            </w:pPr>
            <w:r w:rsidRPr="00657BE6">
              <w:rPr>
                <w:rFonts w:cs="Times New Roman"/>
                <w:sz w:val="18"/>
                <w:szCs w:val="18"/>
              </w:rPr>
              <w:t>0.080 [0.062]</w:t>
            </w:r>
          </w:p>
        </w:tc>
        <w:tc>
          <w:tcPr>
            <w:tcW w:w="1217" w:type="dxa"/>
            <w:vAlign w:val="center"/>
          </w:tcPr>
          <w:p w14:paraId="57E475F8" w14:textId="77777777" w:rsidR="00782223" w:rsidRPr="00657BE6" w:rsidRDefault="00782223" w:rsidP="007B77FC">
            <w:pPr>
              <w:pStyle w:val="Table"/>
              <w:rPr>
                <w:rFonts w:cs="Times New Roman"/>
                <w:sz w:val="18"/>
                <w:szCs w:val="18"/>
              </w:rPr>
            </w:pPr>
            <w:r w:rsidRPr="00657BE6">
              <w:rPr>
                <w:rFonts w:cs="Times New Roman"/>
                <w:sz w:val="18"/>
                <w:szCs w:val="18"/>
              </w:rPr>
              <w:t>0.090 [0.063]</w:t>
            </w:r>
          </w:p>
        </w:tc>
      </w:tr>
      <w:tr w:rsidR="00782223" w:rsidRPr="00657BE6" w14:paraId="178D9728" w14:textId="77777777" w:rsidTr="007B77FC">
        <w:trPr>
          <w:trHeight w:val="333"/>
        </w:trPr>
        <w:tc>
          <w:tcPr>
            <w:tcW w:w="3503" w:type="dxa"/>
            <w:tcBorders>
              <w:bottom w:val="single" w:sz="4" w:space="0" w:color="000000"/>
            </w:tcBorders>
            <w:vAlign w:val="center"/>
          </w:tcPr>
          <w:p w14:paraId="634ED6CF" w14:textId="77777777" w:rsidR="00782223" w:rsidRPr="00657BE6" w:rsidRDefault="00782223" w:rsidP="007B77FC">
            <w:pPr>
              <w:pStyle w:val="Table"/>
              <w:rPr>
                <w:rFonts w:cs="Times New Roman"/>
                <w:sz w:val="18"/>
                <w:szCs w:val="18"/>
              </w:rPr>
            </w:pPr>
            <w:r w:rsidRPr="00657BE6">
              <w:rPr>
                <w:rFonts w:cs="Times New Roman"/>
                <w:sz w:val="18"/>
                <w:szCs w:val="18"/>
              </w:rPr>
              <w:t>Presence of CEU unit (1 km radius, dummy)</w:t>
            </w:r>
          </w:p>
        </w:tc>
        <w:tc>
          <w:tcPr>
            <w:tcW w:w="1095" w:type="dxa"/>
            <w:tcBorders>
              <w:bottom w:val="single" w:sz="4" w:space="0" w:color="000000"/>
            </w:tcBorders>
            <w:vAlign w:val="center"/>
          </w:tcPr>
          <w:p w14:paraId="6293B6D0" w14:textId="77777777" w:rsidR="00782223" w:rsidRPr="00657BE6" w:rsidRDefault="00782223" w:rsidP="007B77FC">
            <w:pPr>
              <w:pStyle w:val="Table"/>
              <w:rPr>
                <w:rFonts w:cs="Times New Roman"/>
                <w:sz w:val="18"/>
                <w:szCs w:val="18"/>
              </w:rPr>
            </w:pPr>
          </w:p>
        </w:tc>
        <w:tc>
          <w:tcPr>
            <w:tcW w:w="1149" w:type="dxa"/>
            <w:tcBorders>
              <w:bottom w:val="single" w:sz="4" w:space="0" w:color="000000"/>
            </w:tcBorders>
            <w:vAlign w:val="center"/>
          </w:tcPr>
          <w:p w14:paraId="57D92DD1" w14:textId="77777777" w:rsidR="00782223" w:rsidRPr="00657BE6" w:rsidRDefault="00782223" w:rsidP="007B77FC">
            <w:pPr>
              <w:pStyle w:val="Table"/>
              <w:rPr>
                <w:rFonts w:cs="Times New Roman"/>
                <w:sz w:val="18"/>
                <w:szCs w:val="18"/>
              </w:rPr>
            </w:pPr>
          </w:p>
        </w:tc>
        <w:tc>
          <w:tcPr>
            <w:tcW w:w="1175" w:type="dxa"/>
            <w:tcBorders>
              <w:bottom w:val="single" w:sz="4" w:space="0" w:color="000000"/>
            </w:tcBorders>
            <w:vAlign w:val="center"/>
          </w:tcPr>
          <w:p w14:paraId="41BF861D" w14:textId="77777777" w:rsidR="00782223" w:rsidRPr="00657BE6" w:rsidRDefault="00782223" w:rsidP="007B77FC">
            <w:pPr>
              <w:pStyle w:val="Table"/>
              <w:rPr>
                <w:rFonts w:cs="Times New Roman"/>
                <w:sz w:val="18"/>
                <w:szCs w:val="18"/>
              </w:rPr>
            </w:pPr>
            <w:r w:rsidRPr="00657BE6">
              <w:rPr>
                <w:rFonts w:cs="Times New Roman"/>
                <w:sz w:val="18"/>
                <w:szCs w:val="18"/>
              </w:rPr>
              <w:t>0.053 [0.019]</w:t>
            </w:r>
          </w:p>
        </w:tc>
        <w:tc>
          <w:tcPr>
            <w:tcW w:w="1217" w:type="dxa"/>
            <w:tcBorders>
              <w:bottom w:val="single" w:sz="4" w:space="0" w:color="000000"/>
            </w:tcBorders>
            <w:vAlign w:val="center"/>
          </w:tcPr>
          <w:p w14:paraId="6B88E28B" w14:textId="77777777" w:rsidR="00782223" w:rsidRPr="00657BE6" w:rsidRDefault="00782223" w:rsidP="007B77FC">
            <w:pPr>
              <w:pStyle w:val="Table"/>
              <w:rPr>
                <w:rFonts w:cs="Times New Roman"/>
                <w:sz w:val="18"/>
                <w:szCs w:val="18"/>
              </w:rPr>
            </w:pPr>
            <w:r w:rsidRPr="00657BE6">
              <w:rPr>
                <w:rFonts w:cs="Times New Roman"/>
                <w:sz w:val="18"/>
                <w:szCs w:val="18"/>
              </w:rPr>
              <w:t>0.025 [0.032]</w:t>
            </w:r>
          </w:p>
        </w:tc>
        <w:tc>
          <w:tcPr>
            <w:tcW w:w="1217" w:type="dxa"/>
            <w:tcBorders>
              <w:bottom w:val="single" w:sz="4" w:space="0" w:color="000000"/>
            </w:tcBorders>
            <w:vAlign w:val="center"/>
          </w:tcPr>
          <w:p w14:paraId="7D67F0CB" w14:textId="77777777" w:rsidR="00782223" w:rsidRPr="00657BE6" w:rsidRDefault="00782223" w:rsidP="007B77FC">
            <w:pPr>
              <w:pStyle w:val="Table"/>
              <w:rPr>
                <w:rFonts w:cs="Times New Roman"/>
                <w:sz w:val="18"/>
                <w:szCs w:val="18"/>
              </w:rPr>
            </w:pPr>
            <w:r w:rsidRPr="00657BE6">
              <w:rPr>
                <w:rFonts w:cs="Times New Roman"/>
                <w:sz w:val="18"/>
                <w:szCs w:val="18"/>
              </w:rPr>
              <w:t>0.028 [0.032]</w:t>
            </w:r>
          </w:p>
        </w:tc>
      </w:tr>
      <w:tr w:rsidR="00782223" w:rsidRPr="00657BE6" w14:paraId="175A5A4A" w14:textId="77777777" w:rsidTr="007B77FC">
        <w:trPr>
          <w:trHeight w:val="369"/>
        </w:trPr>
        <w:tc>
          <w:tcPr>
            <w:tcW w:w="3503" w:type="dxa"/>
            <w:tcBorders>
              <w:top w:val="single" w:sz="4" w:space="0" w:color="000000"/>
              <w:bottom w:val="single" w:sz="4" w:space="0" w:color="000000"/>
            </w:tcBorders>
            <w:vAlign w:val="center"/>
          </w:tcPr>
          <w:p w14:paraId="2DEC934D" w14:textId="77777777" w:rsidR="00782223" w:rsidRPr="00657BE6" w:rsidRDefault="00782223" w:rsidP="007B77FC">
            <w:pPr>
              <w:pStyle w:val="Table"/>
              <w:rPr>
                <w:rFonts w:cs="Times New Roman"/>
                <w:sz w:val="18"/>
                <w:szCs w:val="18"/>
              </w:rPr>
            </w:pPr>
            <w:r w:rsidRPr="00657BE6">
              <w:rPr>
                <w:rFonts w:cs="Times New Roman"/>
                <w:sz w:val="18"/>
                <w:szCs w:val="18"/>
              </w:rPr>
              <w:t>Interaction terms:</w:t>
            </w:r>
          </w:p>
        </w:tc>
        <w:tc>
          <w:tcPr>
            <w:tcW w:w="1095" w:type="dxa"/>
            <w:tcBorders>
              <w:top w:val="single" w:sz="4" w:space="0" w:color="000000"/>
              <w:bottom w:val="single" w:sz="4" w:space="0" w:color="000000"/>
            </w:tcBorders>
            <w:vAlign w:val="center"/>
          </w:tcPr>
          <w:p w14:paraId="67DBCC88" w14:textId="77777777" w:rsidR="00782223" w:rsidRPr="00657BE6" w:rsidRDefault="00782223" w:rsidP="007B77FC">
            <w:pPr>
              <w:pStyle w:val="Table"/>
              <w:rPr>
                <w:rFonts w:cs="Times New Roman"/>
                <w:sz w:val="18"/>
                <w:szCs w:val="18"/>
              </w:rPr>
            </w:pPr>
          </w:p>
        </w:tc>
        <w:tc>
          <w:tcPr>
            <w:tcW w:w="1149" w:type="dxa"/>
            <w:tcBorders>
              <w:top w:val="single" w:sz="4" w:space="0" w:color="000000"/>
              <w:bottom w:val="single" w:sz="4" w:space="0" w:color="000000"/>
            </w:tcBorders>
            <w:vAlign w:val="center"/>
          </w:tcPr>
          <w:p w14:paraId="76427C42" w14:textId="77777777" w:rsidR="00782223" w:rsidRPr="00657BE6" w:rsidRDefault="00782223" w:rsidP="007B77FC">
            <w:pPr>
              <w:pStyle w:val="Table"/>
              <w:rPr>
                <w:rFonts w:cs="Times New Roman"/>
                <w:sz w:val="18"/>
                <w:szCs w:val="18"/>
              </w:rPr>
            </w:pPr>
          </w:p>
        </w:tc>
        <w:tc>
          <w:tcPr>
            <w:tcW w:w="1175" w:type="dxa"/>
            <w:tcBorders>
              <w:top w:val="single" w:sz="4" w:space="0" w:color="000000"/>
              <w:bottom w:val="single" w:sz="4" w:space="0" w:color="000000"/>
            </w:tcBorders>
            <w:vAlign w:val="center"/>
          </w:tcPr>
          <w:p w14:paraId="6FA5DDAB" w14:textId="77777777" w:rsidR="00782223" w:rsidRPr="00657BE6" w:rsidRDefault="00782223" w:rsidP="007B77FC">
            <w:pPr>
              <w:pStyle w:val="Table"/>
              <w:rPr>
                <w:rFonts w:cs="Times New Roman"/>
                <w:sz w:val="18"/>
                <w:szCs w:val="18"/>
              </w:rPr>
            </w:pPr>
          </w:p>
        </w:tc>
        <w:tc>
          <w:tcPr>
            <w:tcW w:w="1217" w:type="dxa"/>
            <w:tcBorders>
              <w:top w:val="single" w:sz="4" w:space="0" w:color="000000"/>
              <w:bottom w:val="single" w:sz="4" w:space="0" w:color="000000"/>
            </w:tcBorders>
            <w:vAlign w:val="center"/>
          </w:tcPr>
          <w:p w14:paraId="4935E653" w14:textId="77777777" w:rsidR="00782223" w:rsidRPr="00657BE6" w:rsidRDefault="00782223" w:rsidP="007B77FC">
            <w:pPr>
              <w:pStyle w:val="Table"/>
              <w:rPr>
                <w:rFonts w:cs="Times New Roman"/>
                <w:sz w:val="18"/>
                <w:szCs w:val="18"/>
              </w:rPr>
            </w:pPr>
          </w:p>
        </w:tc>
        <w:tc>
          <w:tcPr>
            <w:tcW w:w="1217" w:type="dxa"/>
            <w:tcBorders>
              <w:top w:val="single" w:sz="4" w:space="0" w:color="000000"/>
              <w:bottom w:val="single" w:sz="4" w:space="0" w:color="000000"/>
            </w:tcBorders>
            <w:vAlign w:val="center"/>
          </w:tcPr>
          <w:p w14:paraId="33D1EC13" w14:textId="77777777" w:rsidR="00782223" w:rsidRPr="00657BE6" w:rsidRDefault="00782223" w:rsidP="007B77FC">
            <w:pPr>
              <w:pStyle w:val="Table"/>
              <w:rPr>
                <w:rFonts w:cs="Times New Roman"/>
                <w:sz w:val="18"/>
                <w:szCs w:val="18"/>
              </w:rPr>
            </w:pPr>
          </w:p>
        </w:tc>
      </w:tr>
      <w:tr w:rsidR="00782223" w:rsidRPr="00657BE6" w14:paraId="670CA3EA" w14:textId="77777777" w:rsidTr="007B77FC">
        <w:trPr>
          <w:trHeight w:val="332"/>
        </w:trPr>
        <w:tc>
          <w:tcPr>
            <w:tcW w:w="3503" w:type="dxa"/>
            <w:tcBorders>
              <w:top w:val="single" w:sz="4" w:space="0" w:color="000000"/>
            </w:tcBorders>
            <w:vAlign w:val="center"/>
          </w:tcPr>
          <w:p w14:paraId="00468401" w14:textId="77777777" w:rsidR="00782223" w:rsidRPr="00657BE6" w:rsidRDefault="00782223" w:rsidP="007B77FC">
            <w:pPr>
              <w:pStyle w:val="Table"/>
              <w:rPr>
                <w:rFonts w:cs="Times New Roman"/>
                <w:sz w:val="18"/>
                <w:szCs w:val="18"/>
              </w:rPr>
            </w:pPr>
            <w:r w:rsidRPr="00657BE6">
              <w:rPr>
                <w:rFonts w:cs="Times New Roman"/>
                <w:sz w:val="18"/>
                <w:szCs w:val="18"/>
              </w:rPr>
              <w:t>Smart card x Income</w:t>
            </w:r>
          </w:p>
        </w:tc>
        <w:tc>
          <w:tcPr>
            <w:tcW w:w="1095" w:type="dxa"/>
            <w:tcBorders>
              <w:top w:val="single" w:sz="4" w:space="0" w:color="000000"/>
            </w:tcBorders>
            <w:vAlign w:val="center"/>
          </w:tcPr>
          <w:p w14:paraId="2C42D9E7" w14:textId="77777777" w:rsidR="00782223" w:rsidRPr="00657BE6" w:rsidRDefault="00782223" w:rsidP="007B77FC">
            <w:pPr>
              <w:pStyle w:val="Table"/>
              <w:rPr>
                <w:rFonts w:cs="Times New Roman"/>
                <w:sz w:val="18"/>
                <w:szCs w:val="18"/>
              </w:rPr>
            </w:pPr>
          </w:p>
        </w:tc>
        <w:tc>
          <w:tcPr>
            <w:tcW w:w="1149" w:type="dxa"/>
            <w:tcBorders>
              <w:top w:val="single" w:sz="4" w:space="0" w:color="000000"/>
            </w:tcBorders>
            <w:vAlign w:val="center"/>
          </w:tcPr>
          <w:p w14:paraId="1BAE4DF6" w14:textId="77777777" w:rsidR="00782223" w:rsidRPr="00657BE6" w:rsidRDefault="00782223" w:rsidP="007B77FC">
            <w:pPr>
              <w:pStyle w:val="Table"/>
              <w:rPr>
                <w:rFonts w:cs="Times New Roman"/>
                <w:sz w:val="18"/>
                <w:szCs w:val="18"/>
              </w:rPr>
            </w:pPr>
          </w:p>
        </w:tc>
        <w:tc>
          <w:tcPr>
            <w:tcW w:w="1175" w:type="dxa"/>
            <w:tcBorders>
              <w:top w:val="single" w:sz="4" w:space="0" w:color="000000"/>
            </w:tcBorders>
            <w:vAlign w:val="center"/>
          </w:tcPr>
          <w:p w14:paraId="08F18C78" w14:textId="77777777" w:rsidR="00782223" w:rsidRPr="00657BE6" w:rsidRDefault="00782223" w:rsidP="007B77FC">
            <w:pPr>
              <w:pStyle w:val="Table"/>
              <w:rPr>
                <w:rFonts w:cs="Times New Roman"/>
                <w:sz w:val="18"/>
                <w:szCs w:val="18"/>
              </w:rPr>
            </w:pPr>
          </w:p>
        </w:tc>
        <w:tc>
          <w:tcPr>
            <w:tcW w:w="1217" w:type="dxa"/>
            <w:tcBorders>
              <w:top w:val="single" w:sz="4" w:space="0" w:color="000000"/>
            </w:tcBorders>
            <w:vAlign w:val="center"/>
          </w:tcPr>
          <w:p w14:paraId="35A6909D" w14:textId="77777777" w:rsidR="00782223" w:rsidRPr="00657BE6" w:rsidRDefault="00782223" w:rsidP="007B77FC">
            <w:pPr>
              <w:pStyle w:val="Table"/>
              <w:rPr>
                <w:rFonts w:cs="Times New Roman"/>
                <w:sz w:val="18"/>
                <w:szCs w:val="18"/>
              </w:rPr>
            </w:pPr>
            <w:r w:rsidRPr="00657BE6">
              <w:rPr>
                <w:rFonts w:cs="Times New Roman"/>
                <w:sz w:val="18"/>
                <w:szCs w:val="18"/>
              </w:rPr>
              <w:t>-0.045 [0.179]</w:t>
            </w:r>
          </w:p>
        </w:tc>
        <w:tc>
          <w:tcPr>
            <w:tcW w:w="1217" w:type="dxa"/>
            <w:tcBorders>
              <w:top w:val="single" w:sz="4" w:space="0" w:color="000000"/>
            </w:tcBorders>
            <w:vAlign w:val="center"/>
          </w:tcPr>
          <w:p w14:paraId="5206B9A4" w14:textId="77777777" w:rsidR="00782223" w:rsidRPr="00657BE6" w:rsidRDefault="00782223" w:rsidP="007B77FC">
            <w:pPr>
              <w:pStyle w:val="Table"/>
              <w:rPr>
                <w:rFonts w:cs="Times New Roman"/>
                <w:sz w:val="18"/>
                <w:szCs w:val="18"/>
              </w:rPr>
            </w:pPr>
            <w:r w:rsidRPr="00657BE6">
              <w:rPr>
                <w:rFonts w:cs="Times New Roman"/>
                <w:sz w:val="18"/>
                <w:szCs w:val="18"/>
              </w:rPr>
              <w:t>0.073 [0.217]</w:t>
            </w:r>
          </w:p>
        </w:tc>
      </w:tr>
      <w:tr w:rsidR="00782223" w:rsidRPr="00657BE6" w14:paraId="73BF2F37" w14:textId="77777777" w:rsidTr="007B77FC">
        <w:trPr>
          <w:trHeight w:val="296"/>
        </w:trPr>
        <w:tc>
          <w:tcPr>
            <w:tcW w:w="3503" w:type="dxa"/>
            <w:vAlign w:val="center"/>
          </w:tcPr>
          <w:p w14:paraId="6AF931F4" w14:textId="77777777" w:rsidR="00782223" w:rsidRPr="00657BE6" w:rsidRDefault="00782223" w:rsidP="007B77FC">
            <w:pPr>
              <w:pStyle w:val="Table"/>
              <w:rPr>
                <w:rFonts w:cs="Times New Roman"/>
                <w:sz w:val="18"/>
                <w:szCs w:val="18"/>
              </w:rPr>
            </w:pPr>
            <w:r w:rsidRPr="00657BE6">
              <w:rPr>
                <w:rFonts w:cs="Times New Roman"/>
                <w:sz w:val="18"/>
                <w:szCs w:val="18"/>
              </w:rPr>
              <w:t>Smart card x bus corridor</w:t>
            </w:r>
          </w:p>
        </w:tc>
        <w:tc>
          <w:tcPr>
            <w:tcW w:w="1095" w:type="dxa"/>
            <w:vAlign w:val="center"/>
          </w:tcPr>
          <w:p w14:paraId="74FE57B2" w14:textId="77777777" w:rsidR="00782223" w:rsidRPr="00657BE6" w:rsidRDefault="00782223" w:rsidP="007B77FC">
            <w:pPr>
              <w:pStyle w:val="Table"/>
              <w:rPr>
                <w:rFonts w:cs="Times New Roman"/>
                <w:sz w:val="18"/>
                <w:szCs w:val="18"/>
              </w:rPr>
            </w:pPr>
          </w:p>
        </w:tc>
        <w:tc>
          <w:tcPr>
            <w:tcW w:w="1149" w:type="dxa"/>
            <w:vAlign w:val="center"/>
          </w:tcPr>
          <w:p w14:paraId="5C7743D2" w14:textId="77777777" w:rsidR="00782223" w:rsidRPr="00657BE6" w:rsidRDefault="00782223" w:rsidP="007B77FC">
            <w:pPr>
              <w:pStyle w:val="Table"/>
              <w:rPr>
                <w:rFonts w:cs="Times New Roman"/>
                <w:sz w:val="18"/>
                <w:szCs w:val="18"/>
              </w:rPr>
            </w:pPr>
          </w:p>
        </w:tc>
        <w:tc>
          <w:tcPr>
            <w:tcW w:w="1175" w:type="dxa"/>
            <w:vAlign w:val="center"/>
          </w:tcPr>
          <w:p w14:paraId="6671A860" w14:textId="77777777" w:rsidR="00782223" w:rsidRPr="00657BE6" w:rsidRDefault="00782223" w:rsidP="007B77FC">
            <w:pPr>
              <w:pStyle w:val="Table"/>
              <w:rPr>
                <w:rFonts w:cs="Times New Roman"/>
                <w:sz w:val="18"/>
                <w:szCs w:val="18"/>
              </w:rPr>
            </w:pPr>
          </w:p>
        </w:tc>
        <w:tc>
          <w:tcPr>
            <w:tcW w:w="1217" w:type="dxa"/>
            <w:vAlign w:val="center"/>
          </w:tcPr>
          <w:p w14:paraId="315569F4" w14:textId="77777777" w:rsidR="00782223" w:rsidRPr="00657BE6" w:rsidRDefault="00782223" w:rsidP="007B77FC">
            <w:pPr>
              <w:pStyle w:val="Table"/>
              <w:rPr>
                <w:rFonts w:cs="Times New Roman"/>
                <w:sz w:val="18"/>
                <w:szCs w:val="18"/>
              </w:rPr>
            </w:pPr>
            <w:r w:rsidRPr="00657BE6">
              <w:rPr>
                <w:rFonts w:cs="Times New Roman"/>
                <w:sz w:val="18"/>
                <w:szCs w:val="18"/>
              </w:rPr>
              <w:t>0.010 [0.013]</w:t>
            </w:r>
          </w:p>
        </w:tc>
        <w:tc>
          <w:tcPr>
            <w:tcW w:w="1217" w:type="dxa"/>
            <w:vAlign w:val="center"/>
          </w:tcPr>
          <w:p w14:paraId="34CE91E1" w14:textId="77777777" w:rsidR="00782223" w:rsidRPr="00657BE6" w:rsidRDefault="00782223" w:rsidP="007B77FC">
            <w:pPr>
              <w:pStyle w:val="Table"/>
              <w:rPr>
                <w:rFonts w:cs="Times New Roman"/>
                <w:sz w:val="18"/>
                <w:szCs w:val="18"/>
              </w:rPr>
            </w:pPr>
            <w:r w:rsidRPr="00657BE6">
              <w:rPr>
                <w:rFonts w:cs="Times New Roman"/>
                <w:sz w:val="18"/>
                <w:szCs w:val="18"/>
              </w:rPr>
              <w:t>0.013 [0.014]</w:t>
            </w:r>
          </w:p>
        </w:tc>
      </w:tr>
      <w:tr w:rsidR="00782223" w:rsidRPr="00657BE6" w14:paraId="07C8C538" w14:textId="77777777" w:rsidTr="007B77FC">
        <w:trPr>
          <w:trHeight w:val="296"/>
        </w:trPr>
        <w:tc>
          <w:tcPr>
            <w:tcW w:w="3503" w:type="dxa"/>
            <w:vAlign w:val="center"/>
          </w:tcPr>
          <w:p w14:paraId="08833FF4" w14:textId="77777777" w:rsidR="00782223" w:rsidRPr="00657BE6" w:rsidRDefault="00782223" w:rsidP="007B77FC">
            <w:pPr>
              <w:pStyle w:val="Table"/>
              <w:rPr>
                <w:rFonts w:cs="Times New Roman"/>
                <w:sz w:val="18"/>
                <w:szCs w:val="18"/>
              </w:rPr>
            </w:pPr>
            <w:r w:rsidRPr="00657BE6">
              <w:rPr>
                <w:rFonts w:cs="Times New Roman"/>
                <w:sz w:val="18"/>
                <w:szCs w:val="18"/>
              </w:rPr>
              <w:t>Smart card x students</w:t>
            </w:r>
          </w:p>
        </w:tc>
        <w:tc>
          <w:tcPr>
            <w:tcW w:w="1095" w:type="dxa"/>
            <w:vAlign w:val="center"/>
          </w:tcPr>
          <w:p w14:paraId="2E392791" w14:textId="77777777" w:rsidR="00782223" w:rsidRPr="00657BE6" w:rsidRDefault="00782223" w:rsidP="007B77FC">
            <w:pPr>
              <w:pStyle w:val="Table"/>
              <w:rPr>
                <w:rFonts w:cs="Times New Roman"/>
                <w:sz w:val="18"/>
                <w:szCs w:val="18"/>
              </w:rPr>
            </w:pPr>
          </w:p>
        </w:tc>
        <w:tc>
          <w:tcPr>
            <w:tcW w:w="1149" w:type="dxa"/>
            <w:vAlign w:val="center"/>
          </w:tcPr>
          <w:p w14:paraId="61AFBACB" w14:textId="77777777" w:rsidR="00782223" w:rsidRPr="00657BE6" w:rsidRDefault="00782223" w:rsidP="007B77FC">
            <w:pPr>
              <w:pStyle w:val="Table"/>
              <w:rPr>
                <w:rFonts w:cs="Times New Roman"/>
                <w:sz w:val="18"/>
                <w:szCs w:val="18"/>
              </w:rPr>
            </w:pPr>
          </w:p>
        </w:tc>
        <w:tc>
          <w:tcPr>
            <w:tcW w:w="1175" w:type="dxa"/>
            <w:vAlign w:val="center"/>
          </w:tcPr>
          <w:p w14:paraId="2D9DE4C6" w14:textId="77777777" w:rsidR="00782223" w:rsidRPr="00657BE6" w:rsidRDefault="00782223" w:rsidP="007B77FC">
            <w:pPr>
              <w:pStyle w:val="Table"/>
              <w:rPr>
                <w:rFonts w:cs="Times New Roman"/>
                <w:sz w:val="18"/>
                <w:szCs w:val="18"/>
              </w:rPr>
            </w:pPr>
          </w:p>
        </w:tc>
        <w:tc>
          <w:tcPr>
            <w:tcW w:w="1217" w:type="dxa"/>
            <w:vAlign w:val="center"/>
          </w:tcPr>
          <w:p w14:paraId="1D5E5068" w14:textId="77777777" w:rsidR="00782223" w:rsidRPr="00657BE6" w:rsidRDefault="00782223" w:rsidP="007B77FC">
            <w:pPr>
              <w:pStyle w:val="Table"/>
              <w:rPr>
                <w:rFonts w:cs="Times New Roman"/>
                <w:sz w:val="18"/>
                <w:szCs w:val="18"/>
              </w:rPr>
            </w:pPr>
            <w:r w:rsidRPr="00657BE6">
              <w:rPr>
                <w:rFonts w:cs="Times New Roman"/>
                <w:sz w:val="18"/>
                <w:szCs w:val="18"/>
              </w:rPr>
              <w:t>0.024 [0.775]</w:t>
            </w:r>
          </w:p>
        </w:tc>
        <w:tc>
          <w:tcPr>
            <w:tcW w:w="1217" w:type="dxa"/>
            <w:vAlign w:val="center"/>
          </w:tcPr>
          <w:p w14:paraId="463F5C67" w14:textId="77777777" w:rsidR="00782223" w:rsidRPr="00657BE6" w:rsidRDefault="00782223" w:rsidP="007B77FC">
            <w:pPr>
              <w:pStyle w:val="Table"/>
              <w:rPr>
                <w:rFonts w:cs="Times New Roman"/>
                <w:sz w:val="18"/>
                <w:szCs w:val="18"/>
              </w:rPr>
            </w:pPr>
            <w:r w:rsidRPr="00657BE6">
              <w:rPr>
                <w:rFonts w:cs="Times New Roman"/>
                <w:sz w:val="18"/>
                <w:szCs w:val="18"/>
              </w:rPr>
              <w:t>-0.086 [0.762]</w:t>
            </w:r>
          </w:p>
        </w:tc>
      </w:tr>
      <w:tr w:rsidR="00782223" w:rsidRPr="00657BE6" w14:paraId="14614A72" w14:textId="77777777" w:rsidTr="007B77FC">
        <w:trPr>
          <w:trHeight w:val="296"/>
        </w:trPr>
        <w:tc>
          <w:tcPr>
            <w:tcW w:w="3503" w:type="dxa"/>
            <w:vAlign w:val="center"/>
          </w:tcPr>
          <w:p w14:paraId="3C42BB1A" w14:textId="77777777" w:rsidR="00782223" w:rsidRPr="00657BE6" w:rsidRDefault="00782223" w:rsidP="007B77FC">
            <w:pPr>
              <w:pStyle w:val="Table"/>
              <w:rPr>
                <w:rFonts w:cs="Times New Roman"/>
                <w:sz w:val="18"/>
                <w:szCs w:val="18"/>
              </w:rPr>
            </w:pPr>
            <w:r w:rsidRPr="00657BE6">
              <w:rPr>
                <w:rFonts w:cs="Times New Roman"/>
                <w:sz w:val="18"/>
                <w:szCs w:val="18"/>
              </w:rPr>
              <w:t>Smart card x CEU</w:t>
            </w:r>
          </w:p>
        </w:tc>
        <w:tc>
          <w:tcPr>
            <w:tcW w:w="1095" w:type="dxa"/>
            <w:vAlign w:val="center"/>
          </w:tcPr>
          <w:p w14:paraId="6710B267" w14:textId="77777777" w:rsidR="00782223" w:rsidRPr="00657BE6" w:rsidRDefault="00782223" w:rsidP="007B77FC">
            <w:pPr>
              <w:pStyle w:val="Table"/>
              <w:rPr>
                <w:rFonts w:cs="Times New Roman"/>
                <w:sz w:val="18"/>
                <w:szCs w:val="18"/>
              </w:rPr>
            </w:pPr>
          </w:p>
        </w:tc>
        <w:tc>
          <w:tcPr>
            <w:tcW w:w="1149" w:type="dxa"/>
            <w:vAlign w:val="center"/>
          </w:tcPr>
          <w:p w14:paraId="06991115" w14:textId="77777777" w:rsidR="00782223" w:rsidRPr="00657BE6" w:rsidRDefault="00782223" w:rsidP="007B77FC">
            <w:pPr>
              <w:pStyle w:val="Table"/>
              <w:rPr>
                <w:rFonts w:cs="Times New Roman"/>
                <w:sz w:val="18"/>
                <w:szCs w:val="18"/>
              </w:rPr>
            </w:pPr>
          </w:p>
        </w:tc>
        <w:tc>
          <w:tcPr>
            <w:tcW w:w="1175" w:type="dxa"/>
            <w:vAlign w:val="center"/>
          </w:tcPr>
          <w:p w14:paraId="3931092D" w14:textId="77777777" w:rsidR="00782223" w:rsidRPr="00657BE6" w:rsidRDefault="00782223" w:rsidP="007B77FC">
            <w:pPr>
              <w:pStyle w:val="Table"/>
              <w:rPr>
                <w:rFonts w:cs="Times New Roman"/>
                <w:sz w:val="18"/>
                <w:szCs w:val="18"/>
              </w:rPr>
            </w:pPr>
          </w:p>
        </w:tc>
        <w:tc>
          <w:tcPr>
            <w:tcW w:w="1217" w:type="dxa"/>
            <w:vAlign w:val="center"/>
          </w:tcPr>
          <w:p w14:paraId="2939E62E" w14:textId="77777777" w:rsidR="00782223" w:rsidRPr="00657BE6" w:rsidRDefault="00782223" w:rsidP="007B77FC">
            <w:pPr>
              <w:pStyle w:val="Table"/>
              <w:rPr>
                <w:rFonts w:cs="Times New Roman"/>
                <w:sz w:val="18"/>
                <w:szCs w:val="18"/>
              </w:rPr>
            </w:pPr>
            <w:r w:rsidRPr="00657BE6">
              <w:rPr>
                <w:rFonts w:cs="Times New Roman"/>
                <w:sz w:val="18"/>
                <w:szCs w:val="18"/>
              </w:rPr>
              <w:t>0.237 [0.253]</w:t>
            </w:r>
          </w:p>
        </w:tc>
        <w:tc>
          <w:tcPr>
            <w:tcW w:w="1217" w:type="dxa"/>
            <w:vAlign w:val="center"/>
          </w:tcPr>
          <w:p w14:paraId="2D403C97" w14:textId="77777777" w:rsidR="00782223" w:rsidRPr="00657BE6" w:rsidRDefault="00782223" w:rsidP="007B77FC">
            <w:pPr>
              <w:pStyle w:val="Table"/>
              <w:rPr>
                <w:rFonts w:cs="Times New Roman"/>
                <w:sz w:val="18"/>
                <w:szCs w:val="18"/>
              </w:rPr>
            </w:pPr>
            <w:r w:rsidRPr="00657BE6">
              <w:rPr>
                <w:rFonts w:cs="Times New Roman"/>
                <w:sz w:val="18"/>
                <w:szCs w:val="18"/>
              </w:rPr>
              <w:t>0.215 [0.264]</w:t>
            </w:r>
          </w:p>
        </w:tc>
      </w:tr>
      <w:tr w:rsidR="00782223" w:rsidRPr="00657BE6" w14:paraId="156C8589" w14:textId="77777777" w:rsidTr="007B77FC">
        <w:trPr>
          <w:trHeight w:val="296"/>
        </w:trPr>
        <w:tc>
          <w:tcPr>
            <w:tcW w:w="3503" w:type="dxa"/>
            <w:vAlign w:val="center"/>
          </w:tcPr>
          <w:p w14:paraId="7371A5DE" w14:textId="77777777" w:rsidR="00782223" w:rsidRPr="00657BE6" w:rsidRDefault="00782223" w:rsidP="007B77FC">
            <w:pPr>
              <w:pStyle w:val="Table"/>
              <w:rPr>
                <w:rFonts w:cs="Times New Roman"/>
                <w:sz w:val="18"/>
                <w:szCs w:val="18"/>
              </w:rPr>
            </w:pPr>
            <w:r w:rsidRPr="00657BE6">
              <w:rPr>
                <w:rFonts w:cs="Times New Roman"/>
                <w:sz w:val="18"/>
                <w:szCs w:val="18"/>
              </w:rPr>
              <w:t>Smart card x rail station</w:t>
            </w:r>
          </w:p>
        </w:tc>
        <w:tc>
          <w:tcPr>
            <w:tcW w:w="1095" w:type="dxa"/>
            <w:vAlign w:val="center"/>
          </w:tcPr>
          <w:p w14:paraId="69F5272A" w14:textId="77777777" w:rsidR="00782223" w:rsidRPr="00657BE6" w:rsidRDefault="00782223" w:rsidP="007B77FC">
            <w:pPr>
              <w:pStyle w:val="Table"/>
              <w:rPr>
                <w:rFonts w:cs="Times New Roman"/>
                <w:sz w:val="18"/>
                <w:szCs w:val="18"/>
              </w:rPr>
            </w:pPr>
          </w:p>
        </w:tc>
        <w:tc>
          <w:tcPr>
            <w:tcW w:w="1149" w:type="dxa"/>
            <w:vAlign w:val="center"/>
          </w:tcPr>
          <w:p w14:paraId="7CEC5749" w14:textId="77777777" w:rsidR="00782223" w:rsidRPr="00657BE6" w:rsidRDefault="00782223" w:rsidP="007B77FC">
            <w:pPr>
              <w:pStyle w:val="Table"/>
              <w:rPr>
                <w:rFonts w:cs="Times New Roman"/>
                <w:sz w:val="18"/>
                <w:szCs w:val="18"/>
              </w:rPr>
            </w:pPr>
          </w:p>
        </w:tc>
        <w:tc>
          <w:tcPr>
            <w:tcW w:w="1175" w:type="dxa"/>
            <w:vAlign w:val="center"/>
          </w:tcPr>
          <w:p w14:paraId="11DD9457" w14:textId="77777777" w:rsidR="00782223" w:rsidRPr="00657BE6" w:rsidRDefault="00782223" w:rsidP="007B77FC">
            <w:pPr>
              <w:pStyle w:val="Table"/>
              <w:rPr>
                <w:rFonts w:cs="Times New Roman"/>
                <w:sz w:val="18"/>
                <w:szCs w:val="18"/>
              </w:rPr>
            </w:pPr>
          </w:p>
        </w:tc>
        <w:tc>
          <w:tcPr>
            <w:tcW w:w="1217" w:type="dxa"/>
            <w:vAlign w:val="center"/>
          </w:tcPr>
          <w:p w14:paraId="7C909B01" w14:textId="77777777" w:rsidR="00782223" w:rsidRPr="00657BE6" w:rsidRDefault="00782223" w:rsidP="007B77FC">
            <w:pPr>
              <w:pStyle w:val="Table"/>
              <w:rPr>
                <w:rFonts w:cs="Times New Roman"/>
                <w:sz w:val="18"/>
                <w:szCs w:val="18"/>
              </w:rPr>
            </w:pPr>
          </w:p>
        </w:tc>
        <w:tc>
          <w:tcPr>
            <w:tcW w:w="1217" w:type="dxa"/>
            <w:vAlign w:val="center"/>
          </w:tcPr>
          <w:p w14:paraId="5297678E" w14:textId="77777777" w:rsidR="00782223" w:rsidRPr="00657BE6" w:rsidRDefault="00782223" w:rsidP="007B77FC">
            <w:pPr>
              <w:pStyle w:val="Table"/>
              <w:rPr>
                <w:rFonts w:cs="Times New Roman"/>
                <w:sz w:val="18"/>
                <w:szCs w:val="18"/>
              </w:rPr>
            </w:pPr>
            <w:r w:rsidRPr="00657BE6">
              <w:rPr>
                <w:rFonts w:cs="Times New Roman"/>
                <w:sz w:val="18"/>
                <w:szCs w:val="18"/>
              </w:rPr>
              <w:t>0.040 [0.057]</w:t>
            </w:r>
          </w:p>
        </w:tc>
      </w:tr>
      <w:tr w:rsidR="00782223" w:rsidRPr="00657BE6" w14:paraId="53AC07CA" w14:textId="77777777" w:rsidTr="007B77FC">
        <w:trPr>
          <w:trHeight w:val="296"/>
        </w:trPr>
        <w:tc>
          <w:tcPr>
            <w:tcW w:w="3503" w:type="dxa"/>
            <w:vAlign w:val="center"/>
          </w:tcPr>
          <w:p w14:paraId="7F4B8F2A" w14:textId="77777777" w:rsidR="00782223" w:rsidRPr="00657BE6" w:rsidRDefault="00782223" w:rsidP="007B77FC">
            <w:pPr>
              <w:pStyle w:val="Table"/>
              <w:rPr>
                <w:rFonts w:cs="Times New Roman"/>
                <w:sz w:val="18"/>
                <w:szCs w:val="18"/>
              </w:rPr>
            </w:pPr>
            <w:r w:rsidRPr="00657BE6">
              <w:rPr>
                <w:rFonts w:cs="Times New Roman"/>
                <w:sz w:val="18"/>
                <w:szCs w:val="18"/>
              </w:rPr>
              <w:t>Smart card x Transport Voucher</w:t>
            </w:r>
          </w:p>
        </w:tc>
        <w:tc>
          <w:tcPr>
            <w:tcW w:w="1095" w:type="dxa"/>
            <w:vAlign w:val="center"/>
          </w:tcPr>
          <w:p w14:paraId="10C03985" w14:textId="77777777" w:rsidR="00782223" w:rsidRPr="00657BE6" w:rsidRDefault="00782223" w:rsidP="007B77FC">
            <w:pPr>
              <w:pStyle w:val="Table"/>
              <w:rPr>
                <w:rFonts w:cs="Times New Roman"/>
                <w:sz w:val="18"/>
                <w:szCs w:val="18"/>
              </w:rPr>
            </w:pPr>
          </w:p>
        </w:tc>
        <w:tc>
          <w:tcPr>
            <w:tcW w:w="1149" w:type="dxa"/>
            <w:vAlign w:val="center"/>
          </w:tcPr>
          <w:p w14:paraId="396B4F26" w14:textId="77777777" w:rsidR="00782223" w:rsidRPr="00657BE6" w:rsidRDefault="00782223" w:rsidP="007B77FC">
            <w:pPr>
              <w:pStyle w:val="Table"/>
              <w:rPr>
                <w:rFonts w:cs="Times New Roman"/>
                <w:sz w:val="18"/>
                <w:szCs w:val="18"/>
              </w:rPr>
            </w:pPr>
          </w:p>
        </w:tc>
        <w:tc>
          <w:tcPr>
            <w:tcW w:w="1175" w:type="dxa"/>
            <w:vAlign w:val="center"/>
          </w:tcPr>
          <w:p w14:paraId="64C8489B" w14:textId="77777777" w:rsidR="00782223" w:rsidRPr="00657BE6" w:rsidRDefault="00782223" w:rsidP="007B77FC">
            <w:pPr>
              <w:pStyle w:val="Table"/>
              <w:rPr>
                <w:rFonts w:cs="Times New Roman"/>
                <w:sz w:val="18"/>
                <w:szCs w:val="18"/>
              </w:rPr>
            </w:pPr>
          </w:p>
        </w:tc>
        <w:tc>
          <w:tcPr>
            <w:tcW w:w="1217" w:type="dxa"/>
            <w:vAlign w:val="center"/>
          </w:tcPr>
          <w:p w14:paraId="72966069" w14:textId="77777777" w:rsidR="00782223" w:rsidRPr="00657BE6" w:rsidRDefault="00782223" w:rsidP="007B77FC">
            <w:pPr>
              <w:pStyle w:val="Table"/>
              <w:rPr>
                <w:rFonts w:cs="Times New Roman"/>
                <w:sz w:val="18"/>
                <w:szCs w:val="18"/>
              </w:rPr>
            </w:pPr>
          </w:p>
        </w:tc>
        <w:tc>
          <w:tcPr>
            <w:tcW w:w="1217" w:type="dxa"/>
            <w:vAlign w:val="center"/>
          </w:tcPr>
          <w:p w14:paraId="0DFD90E3" w14:textId="77777777" w:rsidR="00782223" w:rsidRPr="00657BE6" w:rsidRDefault="00782223" w:rsidP="007B77FC">
            <w:pPr>
              <w:pStyle w:val="Table"/>
              <w:rPr>
                <w:rFonts w:cs="Times New Roman"/>
                <w:sz w:val="18"/>
                <w:szCs w:val="18"/>
              </w:rPr>
            </w:pPr>
            <w:r w:rsidRPr="00657BE6">
              <w:rPr>
                <w:rFonts w:cs="Times New Roman"/>
                <w:sz w:val="18"/>
                <w:szCs w:val="18"/>
              </w:rPr>
              <w:t>0.833 [0.871]</w:t>
            </w:r>
          </w:p>
        </w:tc>
      </w:tr>
      <w:tr w:rsidR="00782223" w:rsidRPr="00657BE6" w14:paraId="48E0D954" w14:textId="77777777" w:rsidTr="007B77FC">
        <w:trPr>
          <w:trHeight w:val="333"/>
        </w:trPr>
        <w:tc>
          <w:tcPr>
            <w:tcW w:w="3503" w:type="dxa"/>
            <w:tcBorders>
              <w:bottom w:val="single" w:sz="4" w:space="0" w:color="000000"/>
            </w:tcBorders>
            <w:vAlign w:val="center"/>
          </w:tcPr>
          <w:p w14:paraId="09B3BA7C" w14:textId="77777777" w:rsidR="00782223" w:rsidRPr="00657BE6" w:rsidRDefault="00782223" w:rsidP="007B77FC">
            <w:pPr>
              <w:pStyle w:val="Table"/>
              <w:rPr>
                <w:rFonts w:cs="Times New Roman"/>
                <w:sz w:val="18"/>
                <w:szCs w:val="18"/>
              </w:rPr>
            </w:pPr>
            <w:r w:rsidRPr="00657BE6">
              <w:rPr>
                <w:rFonts w:cs="Times New Roman"/>
                <w:sz w:val="18"/>
                <w:szCs w:val="18"/>
              </w:rPr>
              <w:t>Constant</w:t>
            </w:r>
          </w:p>
        </w:tc>
        <w:tc>
          <w:tcPr>
            <w:tcW w:w="1095" w:type="dxa"/>
            <w:tcBorders>
              <w:bottom w:val="single" w:sz="4" w:space="0" w:color="000000"/>
            </w:tcBorders>
            <w:vAlign w:val="center"/>
          </w:tcPr>
          <w:p w14:paraId="4F05E251" w14:textId="77777777" w:rsidR="00782223" w:rsidRPr="00657BE6" w:rsidRDefault="00782223" w:rsidP="007B77FC">
            <w:pPr>
              <w:pStyle w:val="Table"/>
              <w:rPr>
                <w:rFonts w:cs="Times New Roman"/>
                <w:sz w:val="18"/>
                <w:szCs w:val="18"/>
              </w:rPr>
            </w:pPr>
            <w:r w:rsidRPr="00657BE6">
              <w:rPr>
                <w:rFonts w:cs="Times New Roman"/>
                <w:sz w:val="18"/>
                <w:szCs w:val="18"/>
              </w:rPr>
              <w:t>-0.311 [0.03]</w:t>
            </w:r>
          </w:p>
        </w:tc>
        <w:tc>
          <w:tcPr>
            <w:tcW w:w="1149" w:type="dxa"/>
            <w:tcBorders>
              <w:bottom w:val="single" w:sz="4" w:space="0" w:color="000000"/>
            </w:tcBorders>
            <w:vAlign w:val="center"/>
          </w:tcPr>
          <w:p w14:paraId="2FC80AE7" w14:textId="77777777" w:rsidR="00782223" w:rsidRPr="00657BE6" w:rsidRDefault="00782223" w:rsidP="007B77FC">
            <w:pPr>
              <w:pStyle w:val="Table"/>
              <w:rPr>
                <w:rFonts w:cs="Times New Roman"/>
                <w:sz w:val="18"/>
                <w:szCs w:val="18"/>
              </w:rPr>
            </w:pPr>
            <w:r w:rsidRPr="00657BE6">
              <w:rPr>
                <w:rFonts w:cs="Times New Roman"/>
                <w:sz w:val="18"/>
                <w:szCs w:val="18"/>
              </w:rPr>
              <w:t>0.410 [0.109]</w:t>
            </w:r>
          </w:p>
        </w:tc>
        <w:tc>
          <w:tcPr>
            <w:tcW w:w="1175" w:type="dxa"/>
            <w:tcBorders>
              <w:bottom w:val="single" w:sz="4" w:space="0" w:color="000000"/>
            </w:tcBorders>
            <w:vAlign w:val="center"/>
          </w:tcPr>
          <w:p w14:paraId="285712B7" w14:textId="77777777" w:rsidR="00782223" w:rsidRPr="00657BE6" w:rsidRDefault="00782223" w:rsidP="007B77FC">
            <w:pPr>
              <w:pStyle w:val="Table"/>
              <w:rPr>
                <w:rFonts w:cs="Times New Roman"/>
                <w:sz w:val="18"/>
                <w:szCs w:val="18"/>
              </w:rPr>
            </w:pPr>
            <w:r w:rsidRPr="00657BE6">
              <w:rPr>
                <w:rFonts w:cs="Times New Roman"/>
                <w:sz w:val="18"/>
                <w:szCs w:val="18"/>
              </w:rPr>
              <w:t>0.400 [0.108]</w:t>
            </w:r>
          </w:p>
        </w:tc>
        <w:tc>
          <w:tcPr>
            <w:tcW w:w="1217" w:type="dxa"/>
            <w:tcBorders>
              <w:bottom w:val="single" w:sz="4" w:space="0" w:color="000000"/>
            </w:tcBorders>
            <w:vAlign w:val="center"/>
          </w:tcPr>
          <w:p w14:paraId="2F75C54E" w14:textId="77777777" w:rsidR="00782223" w:rsidRPr="00657BE6" w:rsidRDefault="00782223" w:rsidP="007B77FC">
            <w:pPr>
              <w:pStyle w:val="Table"/>
              <w:rPr>
                <w:rFonts w:cs="Times New Roman"/>
                <w:sz w:val="18"/>
                <w:szCs w:val="18"/>
              </w:rPr>
            </w:pPr>
            <w:r w:rsidRPr="00657BE6">
              <w:rPr>
                <w:rFonts w:cs="Times New Roman"/>
                <w:sz w:val="18"/>
                <w:szCs w:val="18"/>
              </w:rPr>
              <w:t>0.383 [0.135]</w:t>
            </w:r>
          </w:p>
        </w:tc>
        <w:tc>
          <w:tcPr>
            <w:tcW w:w="1217" w:type="dxa"/>
            <w:tcBorders>
              <w:bottom w:val="single" w:sz="4" w:space="0" w:color="000000"/>
            </w:tcBorders>
            <w:vAlign w:val="center"/>
          </w:tcPr>
          <w:p w14:paraId="541F1E79" w14:textId="77777777" w:rsidR="00782223" w:rsidRPr="00657BE6" w:rsidRDefault="00782223" w:rsidP="007B77FC">
            <w:pPr>
              <w:pStyle w:val="Table"/>
              <w:rPr>
                <w:rFonts w:cs="Times New Roman"/>
                <w:sz w:val="18"/>
                <w:szCs w:val="18"/>
              </w:rPr>
            </w:pPr>
            <w:r w:rsidRPr="00657BE6">
              <w:rPr>
                <w:rFonts w:cs="Times New Roman"/>
                <w:sz w:val="18"/>
                <w:szCs w:val="18"/>
              </w:rPr>
              <w:t>0.444 [0.155]</w:t>
            </w:r>
          </w:p>
        </w:tc>
      </w:tr>
      <w:tr w:rsidR="00782223" w:rsidRPr="00657BE6" w14:paraId="2A2832B4" w14:textId="77777777" w:rsidTr="007B77FC">
        <w:trPr>
          <w:trHeight w:val="332"/>
        </w:trPr>
        <w:tc>
          <w:tcPr>
            <w:tcW w:w="3503" w:type="dxa"/>
            <w:tcBorders>
              <w:top w:val="single" w:sz="4" w:space="0" w:color="000000"/>
            </w:tcBorders>
            <w:vAlign w:val="center"/>
          </w:tcPr>
          <w:p w14:paraId="74FE4F64" w14:textId="77777777" w:rsidR="00782223" w:rsidRPr="00657BE6" w:rsidRDefault="00782223" w:rsidP="007B77FC">
            <w:pPr>
              <w:pStyle w:val="Table"/>
              <w:rPr>
                <w:rFonts w:cs="Times New Roman"/>
                <w:sz w:val="18"/>
                <w:szCs w:val="18"/>
              </w:rPr>
            </w:pPr>
            <w:r w:rsidRPr="00657BE6">
              <w:rPr>
                <w:rFonts w:cs="Times New Roman"/>
                <w:sz w:val="18"/>
                <w:szCs w:val="18"/>
              </w:rPr>
              <w:t>Interaction terms F-test statistic</w:t>
            </w:r>
          </w:p>
        </w:tc>
        <w:tc>
          <w:tcPr>
            <w:tcW w:w="1095" w:type="dxa"/>
            <w:tcBorders>
              <w:top w:val="single" w:sz="4" w:space="0" w:color="000000"/>
            </w:tcBorders>
            <w:vAlign w:val="center"/>
          </w:tcPr>
          <w:p w14:paraId="5B38B466" w14:textId="77777777" w:rsidR="00782223" w:rsidRPr="00657BE6" w:rsidRDefault="00782223" w:rsidP="007B77FC">
            <w:pPr>
              <w:pStyle w:val="Table"/>
              <w:rPr>
                <w:rFonts w:cs="Times New Roman"/>
                <w:sz w:val="18"/>
                <w:szCs w:val="18"/>
              </w:rPr>
            </w:pPr>
          </w:p>
        </w:tc>
        <w:tc>
          <w:tcPr>
            <w:tcW w:w="1149" w:type="dxa"/>
            <w:tcBorders>
              <w:top w:val="single" w:sz="4" w:space="0" w:color="000000"/>
            </w:tcBorders>
            <w:vAlign w:val="center"/>
          </w:tcPr>
          <w:p w14:paraId="296D9DAC" w14:textId="77777777" w:rsidR="00782223" w:rsidRPr="00657BE6" w:rsidRDefault="00782223" w:rsidP="007B77FC">
            <w:pPr>
              <w:pStyle w:val="Table"/>
              <w:rPr>
                <w:rFonts w:cs="Times New Roman"/>
                <w:sz w:val="18"/>
                <w:szCs w:val="18"/>
              </w:rPr>
            </w:pPr>
          </w:p>
        </w:tc>
        <w:tc>
          <w:tcPr>
            <w:tcW w:w="1175" w:type="dxa"/>
            <w:tcBorders>
              <w:top w:val="single" w:sz="4" w:space="0" w:color="000000"/>
            </w:tcBorders>
            <w:vAlign w:val="center"/>
          </w:tcPr>
          <w:p w14:paraId="6D46A98C" w14:textId="77777777" w:rsidR="00782223" w:rsidRPr="00657BE6" w:rsidRDefault="00782223" w:rsidP="007B77FC">
            <w:pPr>
              <w:pStyle w:val="Table"/>
              <w:rPr>
                <w:rFonts w:cs="Times New Roman"/>
                <w:sz w:val="18"/>
                <w:szCs w:val="18"/>
              </w:rPr>
            </w:pPr>
          </w:p>
        </w:tc>
        <w:tc>
          <w:tcPr>
            <w:tcW w:w="1217" w:type="dxa"/>
            <w:tcBorders>
              <w:top w:val="single" w:sz="4" w:space="0" w:color="000000"/>
            </w:tcBorders>
            <w:vAlign w:val="center"/>
          </w:tcPr>
          <w:p w14:paraId="4AE34670" w14:textId="77777777" w:rsidR="00782223" w:rsidRPr="00657BE6" w:rsidRDefault="00782223" w:rsidP="007B77FC">
            <w:pPr>
              <w:pStyle w:val="Table"/>
              <w:rPr>
                <w:rFonts w:cs="Times New Roman"/>
                <w:sz w:val="18"/>
                <w:szCs w:val="18"/>
              </w:rPr>
            </w:pPr>
            <w:r w:rsidRPr="00657BE6">
              <w:rPr>
                <w:rFonts w:cs="Times New Roman"/>
                <w:sz w:val="18"/>
                <w:szCs w:val="18"/>
              </w:rPr>
              <w:t>2.65</w:t>
            </w:r>
          </w:p>
        </w:tc>
        <w:tc>
          <w:tcPr>
            <w:tcW w:w="1217" w:type="dxa"/>
            <w:tcBorders>
              <w:top w:val="single" w:sz="4" w:space="0" w:color="000000"/>
            </w:tcBorders>
            <w:vAlign w:val="center"/>
          </w:tcPr>
          <w:p w14:paraId="0C1203CB" w14:textId="77777777" w:rsidR="00782223" w:rsidRPr="00657BE6" w:rsidRDefault="00782223" w:rsidP="007B77FC">
            <w:pPr>
              <w:pStyle w:val="Table"/>
              <w:rPr>
                <w:rFonts w:cs="Times New Roman"/>
                <w:sz w:val="18"/>
                <w:szCs w:val="18"/>
              </w:rPr>
            </w:pPr>
            <w:r w:rsidRPr="00657BE6">
              <w:rPr>
                <w:rFonts w:cs="Times New Roman"/>
                <w:sz w:val="18"/>
                <w:szCs w:val="18"/>
              </w:rPr>
              <w:t>2.12</w:t>
            </w:r>
          </w:p>
        </w:tc>
      </w:tr>
      <w:tr w:rsidR="00782223" w:rsidRPr="00657BE6" w14:paraId="30E3C7FA" w14:textId="77777777" w:rsidTr="007B77FC">
        <w:trPr>
          <w:trHeight w:val="296"/>
        </w:trPr>
        <w:tc>
          <w:tcPr>
            <w:tcW w:w="3503" w:type="dxa"/>
            <w:vAlign w:val="center"/>
          </w:tcPr>
          <w:p w14:paraId="632DE075" w14:textId="77777777" w:rsidR="00782223" w:rsidRPr="00657BE6" w:rsidRDefault="00782223" w:rsidP="007B77FC">
            <w:pPr>
              <w:pStyle w:val="Table"/>
              <w:rPr>
                <w:rFonts w:cs="Times New Roman"/>
                <w:sz w:val="18"/>
                <w:szCs w:val="18"/>
              </w:rPr>
            </w:pPr>
            <w:r w:rsidRPr="00657BE6">
              <w:rPr>
                <w:rFonts w:cs="Times New Roman"/>
                <w:sz w:val="18"/>
                <w:szCs w:val="18"/>
              </w:rPr>
              <w:t>degrees of freedom F-test</w:t>
            </w:r>
          </w:p>
        </w:tc>
        <w:tc>
          <w:tcPr>
            <w:tcW w:w="1095" w:type="dxa"/>
            <w:vAlign w:val="center"/>
          </w:tcPr>
          <w:p w14:paraId="7208C3C4" w14:textId="77777777" w:rsidR="00782223" w:rsidRPr="00657BE6" w:rsidRDefault="00782223" w:rsidP="007B77FC">
            <w:pPr>
              <w:pStyle w:val="Table"/>
              <w:rPr>
                <w:rFonts w:cs="Times New Roman"/>
                <w:sz w:val="18"/>
                <w:szCs w:val="18"/>
              </w:rPr>
            </w:pPr>
          </w:p>
        </w:tc>
        <w:tc>
          <w:tcPr>
            <w:tcW w:w="1149" w:type="dxa"/>
            <w:vAlign w:val="center"/>
          </w:tcPr>
          <w:p w14:paraId="554B192F" w14:textId="77777777" w:rsidR="00782223" w:rsidRPr="00657BE6" w:rsidRDefault="00782223" w:rsidP="007B77FC">
            <w:pPr>
              <w:pStyle w:val="Table"/>
              <w:rPr>
                <w:rFonts w:cs="Times New Roman"/>
                <w:sz w:val="18"/>
                <w:szCs w:val="18"/>
              </w:rPr>
            </w:pPr>
          </w:p>
        </w:tc>
        <w:tc>
          <w:tcPr>
            <w:tcW w:w="1175" w:type="dxa"/>
            <w:vAlign w:val="center"/>
          </w:tcPr>
          <w:p w14:paraId="3D11F7F7" w14:textId="77777777" w:rsidR="00782223" w:rsidRPr="00657BE6" w:rsidRDefault="00782223" w:rsidP="007B77FC">
            <w:pPr>
              <w:pStyle w:val="Table"/>
              <w:rPr>
                <w:rFonts w:cs="Times New Roman"/>
                <w:sz w:val="18"/>
                <w:szCs w:val="18"/>
              </w:rPr>
            </w:pPr>
          </w:p>
        </w:tc>
        <w:tc>
          <w:tcPr>
            <w:tcW w:w="1217" w:type="dxa"/>
            <w:vAlign w:val="center"/>
          </w:tcPr>
          <w:p w14:paraId="75629B0A" w14:textId="77777777" w:rsidR="00782223" w:rsidRPr="00657BE6" w:rsidRDefault="00782223" w:rsidP="007B77FC">
            <w:pPr>
              <w:pStyle w:val="Table"/>
              <w:rPr>
                <w:rFonts w:cs="Times New Roman"/>
                <w:sz w:val="18"/>
                <w:szCs w:val="18"/>
              </w:rPr>
            </w:pPr>
            <w:r w:rsidRPr="00657BE6">
              <w:rPr>
                <w:rFonts w:cs="Times New Roman"/>
                <w:sz w:val="18"/>
                <w:szCs w:val="18"/>
              </w:rPr>
              <w:t>(</w:t>
            </w:r>
            <w:proofErr w:type="spellStart"/>
            <w:r w:rsidRPr="00657BE6">
              <w:rPr>
                <w:rFonts w:cs="Times New Roman"/>
                <w:sz w:val="18"/>
                <w:szCs w:val="18"/>
              </w:rPr>
              <w:t>df</w:t>
            </w:r>
            <w:proofErr w:type="spellEnd"/>
            <w:r w:rsidRPr="00657BE6">
              <w:rPr>
                <w:rFonts w:cs="Times New Roman"/>
                <w:sz w:val="18"/>
                <w:szCs w:val="18"/>
              </w:rPr>
              <w:t xml:space="preserve"> = 5; 409)</w:t>
            </w:r>
          </w:p>
        </w:tc>
        <w:tc>
          <w:tcPr>
            <w:tcW w:w="1217" w:type="dxa"/>
            <w:vAlign w:val="center"/>
          </w:tcPr>
          <w:p w14:paraId="62E2C671" w14:textId="77777777" w:rsidR="00782223" w:rsidRPr="00657BE6" w:rsidRDefault="00782223" w:rsidP="007B77FC">
            <w:pPr>
              <w:pStyle w:val="Table"/>
              <w:rPr>
                <w:rFonts w:cs="Times New Roman"/>
                <w:sz w:val="18"/>
                <w:szCs w:val="18"/>
              </w:rPr>
            </w:pPr>
            <w:r w:rsidRPr="00657BE6">
              <w:rPr>
                <w:rFonts w:cs="Times New Roman"/>
                <w:sz w:val="18"/>
                <w:szCs w:val="18"/>
              </w:rPr>
              <w:t>(</w:t>
            </w:r>
            <w:proofErr w:type="spellStart"/>
            <w:r w:rsidRPr="00657BE6">
              <w:rPr>
                <w:rFonts w:cs="Times New Roman"/>
                <w:sz w:val="18"/>
                <w:szCs w:val="18"/>
              </w:rPr>
              <w:t>df</w:t>
            </w:r>
            <w:proofErr w:type="spellEnd"/>
            <w:r w:rsidRPr="00657BE6">
              <w:rPr>
                <w:rFonts w:cs="Times New Roman"/>
                <w:sz w:val="18"/>
                <w:szCs w:val="18"/>
              </w:rPr>
              <w:t xml:space="preserve"> = 7; 407)</w:t>
            </w:r>
          </w:p>
        </w:tc>
      </w:tr>
      <w:tr w:rsidR="00782223" w:rsidRPr="00657BE6" w14:paraId="72048C93" w14:textId="77777777" w:rsidTr="007B77FC">
        <w:trPr>
          <w:trHeight w:val="296"/>
        </w:trPr>
        <w:tc>
          <w:tcPr>
            <w:tcW w:w="3503" w:type="dxa"/>
            <w:vAlign w:val="center"/>
          </w:tcPr>
          <w:p w14:paraId="2D7B7D04" w14:textId="77777777" w:rsidR="00782223" w:rsidRPr="00657BE6" w:rsidRDefault="00782223" w:rsidP="007B77FC">
            <w:pPr>
              <w:pStyle w:val="Table"/>
              <w:rPr>
                <w:rFonts w:cs="Times New Roman"/>
                <w:sz w:val="18"/>
                <w:szCs w:val="18"/>
              </w:rPr>
            </w:pPr>
            <w:r w:rsidRPr="00657BE6">
              <w:rPr>
                <w:rFonts w:cs="Times New Roman"/>
                <w:sz w:val="18"/>
                <w:szCs w:val="18"/>
              </w:rPr>
              <w:t>Observations</w:t>
            </w:r>
          </w:p>
        </w:tc>
        <w:tc>
          <w:tcPr>
            <w:tcW w:w="1095" w:type="dxa"/>
            <w:vAlign w:val="center"/>
          </w:tcPr>
          <w:p w14:paraId="7577C8F5" w14:textId="77777777" w:rsidR="00782223" w:rsidRPr="00657BE6" w:rsidRDefault="00782223" w:rsidP="007B77FC">
            <w:pPr>
              <w:pStyle w:val="Table"/>
              <w:rPr>
                <w:rFonts w:cs="Times New Roman"/>
                <w:sz w:val="18"/>
                <w:szCs w:val="18"/>
              </w:rPr>
            </w:pPr>
            <w:r w:rsidRPr="00657BE6">
              <w:rPr>
                <w:rFonts w:cs="Times New Roman"/>
                <w:sz w:val="18"/>
                <w:szCs w:val="18"/>
              </w:rPr>
              <w:t>422</w:t>
            </w:r>
          </w:p>
        </w:tc>
        <w:tc>
          <w:tcPr>
            <w:tcW w:w="1149" w:type="dxa"/>
            <w:vAlign w:val="center"/>
          </w:tcPr>
          <w:p w14:paraId="0F655C4A" w14:textId="77777777" w:rsidR="00782223" w:rsidRPr="00657BE6" w:rsidRDefault="00782223" w:rsidP="007B77FC">
            <w:pPr>
              <w:pStyle w:val="Table"/>
              <w:rPr>
                <w:rFonts w:cs="Times New Roman"/>
                <w:sz w:val="18"/>
                <w:szCs w:val="18"/>
              </w:rPr>
            </w:pPr>
            <w:r w:rsidRPr="00657BE6">
              <w:rPr>
                <w:rFonts w:cs="Times New Roman"/>
                <w:sz w:val="18"/>
                <w:szCs w:val="18"/>
              </w:rPr>
              <w:t>422</w:t>
            </w:r>
          </w:p>
        </w:tc>
        <w:tc>
          <w:tcPr>
            <w:tcW w:w="1175" w:type="dxa"/>
            <w:vAlign w:val="center"/>
          </w:tcPr>
          <w:p w14:paraId="3E922AF8" w14:textId="77777777" w:rsidR="00782223" w:rsidRPr="00657BE6" w:rsidRDefault="00782223" w:rsidP="007B77FC">
            <w:pPr>
              <w:pStyle w:val="Table"/>
              <w:rPr>
                <w:rFonts w:cs="Times New Roman"/>
                <w:sz w:val="18"/>
                <w:szCs w:val="18"/>
              </w:rPr>
            </w:pPr>
            <w:r w:rsidRPr="00657BE6">
              <w:rPr>
                <w:rFonts w:cs="Times New Roman"/>
                <w:sz w:val="18"/>
                <w:szCs w:val="18"/>
              </w:rPr>
              <w:t>422</w:t>
            </w:r>
          </w:p>
        </w:tc>
        <w:tc>
          <w:tcPr>
            <w:tcW w:w="1217" w:type="dxa"/>
            <w:vAlign w:val="center"/>
          </w:tcPr>
          <w:p w14:paraId="08874CC1" w14:textId="77777777" w:rsidR="00782223" w:rsidRPr="00657BE6" w:rsidRDefault="00782223" w:rsidP="007B77FC">
            <w:pPr>
              <w:pStyle w:val="Table"/>
              <w:rPr>
                <w:rFonts w:cs="Times New Roman"/>
                <w:sz w:val="18"/>
                <w:szCs w:val="18"/>
              </w:rPr>
            </w:pPr>
            <w:r w:rsidRPr="00657BE6">
              <w:rPr>
                <w:rFonts w:cs="Times New Roman"/>
                <w:sz w:val="18"/>
                <w:szCs w:val="18"/>
              </w:rPr>
              <w:t>422</w:t>
            </w:r>
          </w:p>
        </w:tc>
        <w:tc>
          <w:tcPr>
            <w:tcW w:w="1217" w:type="dxa"/>
            <w:vAlign w:val="center"/>
          </w:tcPr>
          <w:p w14:paraId="499847BA" w14:textId="77777777" w:rsidR="00782223" w:rsidRPr="00657BE6" w:rsidRDefault="00782223" w:rsidP="007B77FC">
            <w:pPr>
              <w:pStyle w:val="Table"/>
              <w:rPr>
                <w:rFonts w:cs="Times New Roman"/>
                <w:sz w:val="18"/>
                <w:szCs w:val="18"/>
              </w:rPr>
            </w:pPr>
            <w:r w:rsidRPr="00657BE6">
              <w:rPr>
                <w:rFonts w:cs="Times New Roman"/>
                <w:sz w:val="18"/>
                <w:szCs w:val="18"/>
              </w:rPr>
              <w:t>422</w:t>
            </w:r>
          </w:p>
        </w:tc>
      </w:tr>
      <w:tr w:rsidR="00782223" w:rsidRPr="00657BE6" w14:paraId="5CBE548B" w14:textId="77777777" w:rsidTr="007B77FC">
        <w:trPr>
          <w:trHeight w:val="296"/>
        </w:trPr>
        <w:tc>
          <w:tcPr>
            <w:tcW w:w="3503" w:type="dxa"/>
            <w:vAlign w:val="center"/>
          </w:tcPr>
          <w:p w14:paraId="3391D3B9" w14:textId="77777777" w:rsidR="00782223" w:rsidRPr="00657BE6" w:rsidRDefault="00782223" w:rsidP="007B77FC">
            <w:pPr>
              <w:pStyle w:val="Table"/>
              <w:rPr>
                <w:rFonts w:cs="Times New Roman"/>
                <w:sz w:val="18"/>
                <w:szCs w:val="18"/>
              </w:rPr>
            </w:pPr>
            <w:r w:rsidRPr="00657BE6">
              <w:rPr>
                <w:rFonts w:cs="Times New Roman"/>
                <w:sz w:val="18"/>
                <w:szCs w:val="18"/>
              </w:rPr>
              <w:t>Adjusted R-squared</w:t>
            </w:r>
          </w:p>
        </w:tc>
        <w:tc>
          <w:tcPr>
            <w:tcW w:w="1095" w:type="dxa"/>
            <w:vAlign w:val="center"/>
          </w:tcPr>
          <w:p w14:paraId="7C741E78" w14:textId="77777777" w:rsidR="00782223" w:rsidRPr="00657BE6" w:rsidRDefault="00782223" w:rsidP="007B77FC">
            <w:pPr>
              <w:pStyle w:val="Table"/>
              <w:rPr>
                <w:rFonts w:cs="Times New Roman"/>
                <w:sz w:val="18"/>
                <w:szCs w:val="18"/>
              </w:rPr>
            </w:pPr>
            <w:r w:rsidRPr="00657BE6">
              <w:rPr>
                <w:rFonts w:cs="Times New Roman"/>
                <w:sz w:val="18"/>
                <w:szCs w:val="18"/>
              </w:rPr>
              <w:t>0.251</w:t>
            </w:r>
          </w:p>
        </w:tc>
        <w:tc>
          <w:tcPr>
            <w:tcW w:w="1149" w:type="dxa"/>
            <w:vAlign w:val="center"/>
          </w:tcPr>
          <w:p w14:paraId="0DC1DFA0" w14:textId="77777777" w:rsidR="00782223" w:rsidRPr="00657BE6" w:rsidRDefault="00782223" w:rsidP="007B77FC">
            <w:pPr>
              <w:pStyle w:val="Table"/>
              <w:rPr>
                <w:rFonts w:cs="Times New Roman"/>
                <w:sz w:val="18"/>
                <w:szCs w:val="18"/>
              </w:rPr>
            </w:pPr>
            <w:r w:rsidRPr="00657BE6">
              <w:rPr>
                <w:rFonts w:cs="Times New Roman"/>
                <w:sz w:val="18"/>
                <w:szCs w:val="18"/>
              </w:rPr>
              <w:t>0.386</w:t>
            </w:r>
          </w:p>
        </w:tc>
        <w:tc>
          <w:tcPr>
            <w:tcW w:w="1175" w:type="dxa"/>
            <w:vAlign w:val="center"/>
          </w:tcPr>
          <w:p w14:paraId="61ACC488" w14:textId="77777777" w:rsidR="00782223" w:rsidRPr="00657BE6" w:rsidRDefault="00782223" w:rsidP="007B77FC">
            <w:pPr>
              <w:pStyle w:val="Table"/>
              <w:rPr>
                <w:rFonts w:cs="Times New Roman"/>
                <w:sz w:val="18"/>
                <w:szCs w:val="18"/>
              </w:rPr>
            </w:pPr>
            <w:r w:rsidRPr="00657BE6">
              <w:rPr>
                <w:rFonts w:cs="Times New Roman"/>
                <w:sz w:val="18"/>
                <w:szCs w:val="18"/>
              </w:rPr>
              <w:t>0.402</w:t>
            </w:r>
          </w:p>
        </w:tc>
        <w:tc>
          <w:tcPr>
            <w:tcW w:w="1217" w:type="dxa"/>
            <w:vAlign w:val="center"/>
          </w:tcPr>
          <w:p w14:paraId="3BFC7338" w14:textId="77777777" w:rsidR="00782223" w:rsidRPr="00657BE6" w:rsidRDefault="00782223" w:rsidP="007B77FC">
            <w:pPr>
              <w:pStyle w:val="Table"/>
              <w:rPr>
                <w:rFonts w:cs="Times New Roman"/>
                <w:sz w:val="18"/>
                <w:szCs w:val="18"/>
              </w:rPr>
            </w:pPr>
            <w:r w:rsidRPr="00657BE6">
              <w:rPr>
                <w:rFonts w:cs="Times New Roman"/>
                <w:sz w:val="18"/>
                <w:szCs w:val="18"/>
              </w:rPr>
              <w:t>0.401</w:t>
            </w:r>
          </w:p>
        </w:tc>
        <w:tc>
          <w:tcPr>
            <w:tcW w:w="1217" w:type="dxa"/>
            <w:vAlign w:val="center"/>
          </w:tcPr>
          <w:p w14:paraId="5EDCEEB4" w14:textId="77777777" w:rsidR="00782223" w:rsidRPr="00657BE6" w:rsidRDefault="00782223" w:rsidP="007B77FC">
            <w:pPr>
              <w:pStyle w:val="Table"/>
              <w:rPr>
                <w:rFonts w:cs="Times New Roman"/>
                <w:sz w:val="18"/>
                <w:szCs w:val="18"/>
              </w:rPr>
            </w:pPr>
            <w:r w:rsidRPr="00657BE6">
              <w:rPr>
                <w:rFonts w:cs="Times New Roman"/>
                <w:sz w:val="18"/>
                <w:szCs w:val="18"/>
              </w:rPr>
              <w:t>0.401</w:t>
            </w:r>
          </w:p>
        </w:tc>
      </w:tr>
      <w:tr w:rsidR="00782223" w:rsidRPr="00657BE6" w14:paraId="0830B3EA" w14:textId="77777777" w:rsidTr="007B77FC">
        <w:trPr>
          <w:trHeight w:val="296"/>
        </w:trPr>
        <w:tc>
          <w:tcPr>
            <w:tcW w:w="3503" w:type="dxa"/>
            <w:vAlign w:val="center"/>
          </w:tcPr>
          <w:p w14:paraId="0CBE3A95" w14:textId="77777777" w:rsidR="00782223" w:rsidRPr="00657BE6" w:rsidRDefault="00782223" w:rsidP="007B77FC">
            <w:pPr>
              <w:pStyle w:val="Table"/>
              <w:rPr>
                <w:rFonts w:cs="Times New Roman"/>
                <w:sz w:val="18"/>
                <w:szCs w:val="18"/>
              </w:rPr>
            </w:pPr>
            <w:r w:rsidRPr="00657BE6">
              <w:rPr>
                <w:rFonts w:cs="Times New Roman"/>
                <w:sz w:val="18"/>
                <w:szCs w:val="18"/>
              </w:rPr>
              <w:t>Full model F-test statistic</w:t>
            </w:r>
          </w:p>
        </w:tc>
        <w:tc>
          <w:tcPr>
            <w:tcW w:w="1095" w:type="dxa"/>
            <w:vAlign w:val="center"/>
          </w:tcPr>
          <w:p w14:paraId="78DA10AF" w14:textId="77777777" w:rsidR="00782223" w:rsidRPr="00657BE6" w:rsidRDefault="00782223" w:rsidP="007B77FC">
            <w:pPr>
              <w:pStyle w:val="Table"/>
              <w:rPr>
                <w:rFonts w:cs="Times New Roman"/>
                <w:sz w:val="18"/>
                <w:szCs w:val="18"/>
              </w:rPr>
            </w:pPr>
          </w:p>
        </w:tc>
        <w:tc>
          <w:tcPr>
            <w:tcW w:w="1149" w:type="dxa"/>
            <w:vAlign w:val="center"/>
          </w:tcPr>
          <w:p w14:paraId="60BF105E" w14:textId="77777777" w:rsidR="00782223" w:rsidRPr="00657BE6" w:rsidRDefault="00782223" w:rsidP="007B77FC">
            <w:pPr>
              <w:pStyle w:val="Table"/>
              <w:rPr>
                <w:rFonts w:cs="Times New Roman"/>
                <w:sz w:val="18"/>
                <w:szCs w:val="18"/>
              </w:rPr>
            </w:pPr>
          </w:p>
        </w:tc>
        <w:tc>
          <w:tcPr>
            <w:tcW w:w="1175" w:type="dxa"/>
            <w:vAlign w:val="center"/>
          </w:tcPr>
          <w:p w14:paraId="1CE3DDA9" w14:textId="77777777" w:rsidR="00782223" w:rsidRPr="00657BE6" w:rsidRDefault="00782223" w:rsidP="007B77FC">
            <w:pPr>
              <w:pStyle w:val="Table"/>
              <w:rPr>
                <w:rFonts w:cs="Times New Roman"/>
                <w:sz w:val="18"/>
                <w:szCs w:val="18"/>
              </w:rPr>
            </w:pPr>
          </w:p>
        </w:tc>
        <w:tc>
          <w:tcPr>
            <w:tcW w:w="1217" w:type="dxa"/>
            <w:vAlign w:val="center"/>
          </w:tcPr>
          <w:p w14:paraId="6CBB6B5E" w14:textId="77777777" w:rsidR="00782223" w:rsidRPr="00657BE6" w:rsidRDefault="00782223" w:rsidP="007B77FC">
            <w:pPr>
              <w:pStyle w:val="Table"/>
              <w:rPr>
                <w:rFonts w:cs="Times New Roman"/>
                <w:sz w:val="18"/>
                <w:szCs w:val="18"/>
              </w:rPr>
            </w:pPr>
            <w:r w:rsidRPr="00657BE6">
              <w:rPr>
                <w:rFonts w:cs="Times New Roman"/>
                <w:sz w:val="18"/>
                <w:szCs w:val="18"/>
              </w:rPr>
              <w:t>24.46</w:t>
            </w:r>
          </w:p>
        </w:tc>
        <w:tc>
          <w:tcPr>
            <w:tcW w:w="1217" w:type="dxa"/>
            <w:vAlign w:val="center"/>
          </w:tcPr>
          <w:p w14:paraId="6D12E038" w14:textId="77777777" w:rsidR="00782223" w:rsidRPr="00657BE6" w:rsidRDefault="00782223" w:rsidP="007B77FC">
            <w:pPr>
              <w:pStyle w:val="Table"/>
              <w:rPr>
                <w:rFonts w:cs="Times New Roman"/>
                <w:sz w:val="18"/>
                <w:szCs w:val="18"/>
              </w:rPr>
            </w:pPr>
            <w:r w:rsidRPr="00657BE6">
              <w:rPr>
                <w:rFonts w:cs="Times New Roman"/>
                <w:sz w:val="18"/>
                <w:szCs w:val="18"/>
              </w:rPr>
              <w:t>21.12</w:t>
            </w:r>
          </w:p>
        </w:tc>
      </w:tr>
      <w:tr w:rsidR="00782223" w:rsidRPr="00657BE6" w14:paraId="28144C1E" w14:textId="77777777" w:rsidTr="007B77FC">
        <w:trPr>
          <w:trHeight w:val="333"/>
        </w:trPr>
        <w:tc>
          <w:tcPr>
            <w:tcW w:w="3503" w:type="dxa"/>
            <w:tcBorders>
              <w:bottom w:val="single" w:sz="6" w:space="0" w:color="000000"/>
            </w:tcBorders>
            <w:vAlign w:val="center"/>
          </w:tcPr>
          <w:p w14:paraId="4F72DD51" w14:textId="77777777" w:rsidR="00782223" w:rsidRPr="00657BE6" w:rsidRDefault="00782223" w:rsidP="007B77FC">
            <w:pPr>
              <w:pStyle w:val="Table"/>
              <w:rPr>
                <w:rFonts w:cs="Times New Roman"/>
                <w:sz w:val="18"/>
                <w:szCs w:val="18"/>
              </w:rPr>
            </w:pPr>
            <w:r w:rsidRPr="00657BE6">
              <w:rPr>
                <w:rFonts w:cs="Times New Roman"/>
                <w:sz w:val="18"/>
                <w:szCs w:val="18"/>
              </w:rPr>
              <w:t>degrees of freedom F-test</w:t>
            </w:r>
          </w:p>
        </w:tc>
        <w:tc>
          <w:tcPr>
            <w:tcW w:w="1095" w:type="dxa"/>
            <w:tcBorders>
              <w:bottom w:val="single" w:sz="6" w:space="0" w:color="000000"/>
            </w:tcBorders>
            <w:vAlign w:val="center"/>
          </w:tcPr>
          <w:p w14:paraId="04A146F1" w14:textId="77777777" w:rsidR="00782223" w:rsidRPr="00657BE6" w:rsidRDefault="00782223" w:rsidP="007B77FC">
            <w:pPr>
              <w:pStyle w:val="Table"/>
              <w:rPr>
                <w:rFonts w:cs="Times New Roman"/>
                <w:sz w:val="18"/>
                <w:szCs w:val="18"/>
              </w:rPr>
            </w:pPr>
          </w:p>
        </w:tc>
        <w:tc>
          <w:tcPr>
            <w:tcW w:w="1149" w:type="dxa"/>
            <w:tcBorders>
              <w:bottom w:val="single" w:sz="6" w:space="0" w:color="000000"/>
            </w:tcBorders>
            <w:vAlign w:val="center"/>
          </w:tcPr>
          <w:p w14:paraId="3A2B4F36" w14:textId="77777777" w:rsidR="00782223" w:rsidRPr="00657BE6" w:rsidRDefault="00782223" w:rsidP="007B77FC">
            <w:pPr>
              <w:pStyle w:val="Table"/>
              <w:rPr>
                <w:rFonts w:cs="Times New Roman"/>
                <w:sz w:val="18"/>
                <w:szCs w:val="18"/>
              </w:rPr>
            </w:pPr>
          </w:p>
        </w:tc>
        <w:tc>
          <w:tcPr>
            <w:tcW w:w="1175" w:type="dxa"/>
            <w:tcBorders>
              <w:bottom w:val="single" w:sz="6" w:space="0" w:color="000000"/>
            </w:tcBorders>
            <w:vAlign w:val="center"/>
          </w:tcPr>
          <w:p w14:paraId="2A8AA548" w14:textId="77777777" w:rsidR="00782223" w:rsidRPr="00657BE6" w:rsidRDefault="00782223" w:rsidP="007B77FC">
            <w:pPr>
              <w:pStyle w:val="Table"/>
              <w:rPr>
                <w:rFonts w:cs="Times New Roman"/>
                <w:sz w:val="18"/>
                <w:szCs w:val="18"/>
              </w:rPr>
            </w:pPr>
          </w:p>
        </w:tc>
        <w:tc>
          <w:tcPr>
            <w:tcW w:w="1217" w:type="dxa"/>
            <w:tcBorders>
              <w:bottom w:val="single" w:sz="6" w:space="0" w:color="000000"/>
            </w:tcBorders>
            <w:vAlign w:val="center"/>
          </w:tcPr>
          <w:p w14:paraId="23F38CC1" w14:textId="77777777" w:rsidR="00782223" w:rsidRPr="00657BE6" w:rsidRDefault="00782223" w:rsidP="007B77FC">
            <w:pPr>
              <w:pStyle w:val="Table"/>
              <w:rPr>
                <w:rFonts w:cs="Times New Roman"/>
                <w:sz w:val="18"/>
                <w:szCs w:val="18"/>
              </w:rPr>
            </w:pPr>
            <w:r w:rsidRPr="00657BE6">
              <w:rPr>
                <w:rFonts w:cs="Times New Roman"/>
                <w:sz w:val="18"/>
                <w:szCs w:val="18"/>
              </w:rPr>
              <w:t>(</w:t>
            </w:r>
            <w:proofErr w:type="spellStart"/>
            <w:r w:rsidRPr="00657BE6">
              <w:rPr>
                <w:rFonts w:cs="Times New Roman"/>
                <w:sz w:val="18"/>
                <w:szCs w:val="18"/>
              </w:rPr>
              <w:t>df</w:t>
            </w:r>
            <w:proofErr w:type="spellEnd"/>
            <w:r w:rsidRPr="00657BE6">
              <w:rPr>
                <w:rFonts w:cs="Times New Roman"/>
                <w:sz w:val="18"/>
                <w:szCs w:val="18"/>
              </w:rPr>
              <w:t xml:space="preserve"> = 12; 409)</w:t>
            </w:r>
          </w:p>
        </w:tc>
        <w:tc>
          <w:tcPr>
            <w:tcW w:w="1217" w:type="dxa"/>
            <w:tcBorders>
              <w:bottom w:val="single" w:sz="6" w:space="0" w:color="000000"/>
            </w:tcBorders>
            <w:vAlign w:val="center"/>
          </w:tcPr>
          <w:p w14:paraId="516B9A89" w14:textId="77777777" w:rsidR="00782223" w:rsidRPr="00657BE6" w:rsidRDefault="00782223" w:rsidP="007B77FC">
            <w:pPr>
              <w:pStyle w:val="Table"/>
              <w:keepNext/>
              <w:rPr>
                <w:rFonts w:cs="Times New Roman"/>
                <w:sz w:val="18"/>
                <w:szCs w:val="18"/>
              </w:rPr>
            </w:pPr>
            <w:r w:rsidRPr="00657BE6">
              <w:rPr>
                <w:rFonts w:cs="Times New Roman"/>
                <w:sz w:val="18"/>
                <w:szCs w:val="18"/>
              </w:rPr>
              <w:t>(</w:t>
            </w:r>
            <w:proofErr w:type="spellStart"/>
            <w:r w:rsidRPr="00657BE6">
              <w:rPr>
                <w:rFonts w:cs="Times New Roman"/>
                <w:sz w:val="18"/>
                <w:szCs w:val="18"/>
              </w:rPr>
              <w:t>df</w:t>
            </w:r>
            <w:proofErr w:type="spellEnd"/>
            <w:r w:rsidRPr="00657BE6">
              <w:rPr>
                <w:rFonts w:cs="Times New Roman"/>
                <w:sz w:val="18"/>
                <w:szCs w:val="18"/>
              </w:rPr>
              <w:t xml:space="preserve"> = 14; 407)</w:t>
            </w:r>
          </w:p>
        </w:tc>
      </w:tr>
    </w:tbl>
    <w:p w14:paraId="57DF71F3" w14:textId="77777777" w:rsidR="00782223" w:rsidRDefault="00782223" w:rsidP="00657BE6"/>
    <w:p w14:paraId="6C727EF8" w14:textId="77B3618E" w:rsidR="00657BE6" w:rsidRDefault="00657BE6" w:rsidP="00657BE6">
      <w:r>
        <w:t xml:space="preserve">When we look at the heterogeneous effects in the new sample, results repeat the same patterns, except for the behavior of the income variable. We no longer verify </w:t>
      </w:r>
      <w:r w:rsidR="00D41876">
        <w:t xml:space="preserve">the </w:t>
      </w:r>
      <w:r>
        <w:t xml:space="preserve">decreasing marginal </w:t>
      </w:r>
      <w:r>
        <w:lastRenderedPageBreak/>
        <w:t xml:space="preserve">effects of the smart-card variable for higher values of income. We believe this is because we successfully </w:t>
      </w:r>
      <w:r w:rsidR="00D41876">
        <w:t>ruled</w:t>
      </w:r>
      <w:r>
        <w:t xml:space="preserve"> out the “periphery effect” in our matched sample. Figure 9 makes our point by showing </w:t>
      </w:r>
      <w:r w:rsidR="00D41876">
        <w:t xml:space="preserve">the </w:t>
      </w:r>
      <w:r>
        <w:t xml:space="preserve">marginal effect conditional on income for model (5). Since results are overall robust across samples, we are confident that our exogeneity assumption sufficiently holds. In other words, our main results and our robustness check confirm the hypothesis that, to a relevant extent, voters rewarded the incumbent mayor based on the gains provided by </w:t>
      </w:r>
      <w:r w:rsidR="00144ADE">
        <w:t>Smart Card</w:t>
      </w:r>
      <w:r>
        <w:t>.</w:t>
      </w:r>
    </w:p>
    <w:p w14:paraId="184AEB31" w14:textId="4F883D4B" w:rsidR="000B330C" w:rsidRDefault="000B330C" w:rsidP="000B330C">
      <w:pPr>
        <w:pStyle w:val="Heading1"/>
      </w:pPr>
      <w:r>
        <w:t>Discussion and Conclusion</w:t>
      </w:r>
    </w:p>
    <w:p w14:paraId="66031973" w14:textId="77777777" w:rsidR="00EA01CB" w:rsidRDefault="00EA01CB" w:rsidP="00711EAC">
      <w:r>
        <w:t xml:space="preserve">In this paper, we demonstrate that the beneficiaries of successful policy innovation become more likely to vote for the incumbent. This occurs despite pre-existing voting patterns, the presence of other pork-barreling policies, and the use of technical factors to decide where and how the innovation will be implemented. </w:t>
      </w:r>
    </w:p>
    <w:p w14:paraId="1C7EC520" w14:textId="6DE90886" w:rsidR="000B330C" w:rsidRDefault="00EA01CB" w:rsidP="00711EAC">
      <w:r>
        <w:t xml:space="preserve">This finding contributes to a long-standing tradition of studies investigating retrospective voting </w:t>
      </w:r>
      <w:r>
        <w:fldChar w:fldCharType="begin"/>
      </w:r>
      <w:r>
        <w:instrText xml:space="preserve"> ADDIN ZOTERO_ITEM CSL_CITATION {"citationID":"6M12f087","properties":{"formattedCitation":"(e.g., Berry &amp; Howell, 2007; Fiorina, 1978; Healy &amp; Malhotra, 2013; Hopkins &amp; Pettingill, 2018; Woon, 2012)","plainCitation":"(e.g., Berry &amp; Howell, 2007; Fiorina, 1978; Healy &amp; Malhotra, 2013; Hopkins &amp; Pettingill, 2018; Woon, 2012)","noteIndex":0},"citationItems":[{"id":890,"uris":["http://zotero.org/users/5602238/items/WPCQQPLL"],"itemData":{"id":890,"type":"article-journal","container-title":"Journal of Politics","issue":"3","page":"844-858","title":"Accountability and Local Elections: Rethinking Retrospective Voting","volume":"69","author":[{"family":"Berry","given":"Christopher R."},{"family":"Howell","given":"William G."}],"issued":{"date-parts":[["2007"]]}},"label":"page","prefix":"e.g.,"},{"id":2414,"uris":["http://zotero.org/users/5602238/items/83RUS5JI"],"itemData":{"id":2414,"type":"article-journal","abstract":"A number of recent studies examine the traditional hypothesis that the electoral fortunes of the incumbent president's party rise and fall in direct relation to fluctuations in the state of the national economy. Typically these studies employ a longitudinal design in which a party's aggregate congressional vote serves as the dependent variable, and various economic indicators serve as independent variables. On balance, the election returns appear to bear some relation to economic conditions, although various disagreements exist. Using data from the 1956 to 1974 SRC election studies this paper attempts to uncover an individual-level basis for the macro-relationship found by earlier studies. Specifically, do citizens vote for or against the incumbent president's party as a function of their personal economic condition? The survey data permit us to conclude that a citizen's personal economic condition affects his presidential vote. For congressional voting, however, the findings are positive until 1960 and negative thereafter. And contrary to some previous research, we find no systematic relationship between a citizen's personal economic condition and his decision to vote or abstain.","container-title":"American Journal of Political Science","DOI":"10.2307/2110623","ISSN":"0092-5853","issue":"2","note":"publisher: [Midwest Political Science Association, Wiley]","page":"426-443","source":"JSTOR","title":"Economic Retrospective Voting in American National Elections: A Micro-Analysis","title-short":"Economic Retrospective Voting in American National Elections","volume":"22","author":[{"family":"Fiorina","given":"Morris P."}],"issued":{"date-parts":[["1978"]]}}},{"id":2409,"uris":["http://zotero.org/users/5602238/items/ZCXY8YGB"],"itemData":{"id":2409,"type":"article-journal","abstract":"We review advances in the study of retrospective voting, or how citizens evaluate and act on their perceptions of government performance. As a whole, the recent literature provides a more complete and nuanced picture of the retrospective voter as sometimes, but not always, effectively incentivizing elected officials to enhance public welfare. Leveraging examples of retrospective voting in areas other than the economy, the field is heading toward a middle ground in which voters resemble decision makers in many other domains. In many cases, a coherent logic governs voters' choices. In other instances, voters make mistakes, often in predictable ways subject to well-known psychological biases. Understanding the circumstances under which retrospective voting achieves effective democratic accountability and when it fails to do so is an important task for subsequent research. We discuss two additional issues for future exploration: a better understanding of normative benchmarks, and increased attention to the relationship between retrospective voting behavior and policy outcomes.","container-title":"Annual Review of Political Science","DOI":"10.1146/annurev-polisci-032211-212920","issue":"1","note":"_eprint: https://doi.org/10.1146/annurev-polisci-032211-212920","page":"285-306","source":"Annual Reviews","title":"Retrospective Voting Reconsidered","volume":"16","author":[{"family":"Healy","given":"Andrew J."},{"family":"Malhotra","given":"Neil"}],"issued":{"date-parts":[["2013"]]}}},{"id":2419,"uris":["http://zotero.org/users/5602238/items/Y9P949M8"],"itemData":{"id":2419,"type":"article-journal","abstract":"Retrospective voting is a central explanation for voters’ support of incumbents. Yet, despite the variety of conditions facing American cities, past research has devoted little attention to retrospective voting for mayors. This paper first develops hypotheses about how local retrospective voting might differ from its national analog, due to both differing information sources and the presence of national benchmarks. It then analyzes retrospective voting using the largest data set on big-city mayoral elections between 1990 and 2011 to date. Neither crime rates nor property values consistently influence incumbent mayors’ vote shares, nor do changes in local conditions. However, low city-level unemployment relative to national unemployment correlates with higher incumbent support. The urban voter is a particular type of retrospective voter, one who compares local economic performance to conditions elsewhere. Moreover, these effects appear to be present only in cities that dominate their media markets, suggesting media outlets’ role in facilitating retrospective voting.","container-title":"Political Science Research and Methods","DOI":"10.1017/psrm.2016.54","ISSN":"2049-8470, 2049-8489","issue":"4","language":"en","note":"publisher: Cambridge University Press","page":"697-714","source":"Cambridge University Press","title":"Retrospective Voting in Big-City US Mayoral Elections","volume":"6","author":[{"family":"Hopkins","given":"Daniel J."},{"family":"Pettingill","given":"Lindsay M."}],"issued":{"date-parts":[["2018",10]]}}},{"id":2411,"uris":["http://zotero.org/users/5602238/items/4CVPF7AU"],"itemData":{"id":2411,"type":"article-journal","abstract":"Understanding the incentives of politicians requires understanding the nature of voting behavior. I conduct a laboratory experiment to investigate whether voters focus on the problem of electoral selection or if they instead focus on electoral sanctioning. If voters are forward-looking but uncertain about politicians’ unobservable characteristics, then it is rational to focus on selection. But doing so undermines democratic accountability because selection renders sanctioning an empty threat. In contrast to rational choice predictions, the experimental results indicate a strong behavioral tendency to use a retrospective voting rule. Additional experiments support the interpretation that retrospective voting is a simple heuristic that voters use to cope with a cognitively difficult inference and decision problem and, in addition, suggest that voters have a preference for accountability. The results pose a challenge for theories of electoral selection and voter learning and suggest new interpretations of empirical studies of economic and retrospective voting.","container-title":"American Journal of Political Science","DOI":"10.1111/j.1540-5907.2012.00594.x","ISSN":"1540-5907","issue":"4","language":"en","license":"©2012, Midwest Political Science Association","note":"_eprint: https://onlinelibrary.wiley.com/doi/pdf/10.1111/j.1540-5907.2012.00594.x","page":"913-930","source":"Wiley Online Library","title":"Democratic Accountability and Retrospective Voting: A Laboratory Experiment","title-short":"Democratic Accountability and Retrospective Voting","volume":"56","author":[{"family":"Woon","given":"Jonathan"}],"issued":{"date-parts":[["2012"]]}}}],"schema":"https://github.com/citation-style-language/schema/raw/master/csl-citation.json"} </w:instrText>
      </w:r>
      <w:r>
        <w:fldChar w:fldCharType="separate"/>
      </w:r>
      <w:r>
        <w:rPr>
          <w:noProof/>
        </w:rPr>
        <w:t>(e.g., Berry &amp; Howell, 2007; Fiorina, 1978; Healy &amp; Malhotra, 2013; Hopkins &amp; Pettingill, 2018; Woon, 2012)</w:t>
      </w:r>
      <w:r>
        <w:fldChar w:fldCharType="end"/>
      </w:r>
      <w:r>
        <w:t>. However, our design provides robust confirmatory evidence based on a series of novel approaches, namely, the focus on public transportation policy rather than economic issues, the investigation of sub-municipal effects, and an effect that goes beyond the traditional cases of pork-barrel policymaking.</w:t>
      </w:r>
    </w:p>
    <w:p w14:paraId="49B128E6" w14:textId="77777777" w:rsidR="00412029" w:rsidRDefault="00EA01CB" w:rsidP="00412029">
      <w:r>
        <w:t xml:space="preserve">Public transportation is a contentious topic explored by politicians in different arenas </w:t>
      </w:r>
      <w:r>
        <w:fldChar w:fldCharType="begin"/>
      </w:r>
      <w:r>
        <w:instrText xml:space="preserve"> ADDIN ZOTERO_ITEM CSL_CITATION {"citationID":"rdgUOeWy","properties":{"formattedCitation":"(Doering et al., 2021)","plainCitation":"(Doering et al., 2021)","noteIndex":0},"citationItems":[{"id":2353,"uris":["http://zotero.org/users/5602238/items/HJ4EWC7T"],"itemData":{"id":2353,"type":"article-journal","container-title":"Urban Affairs Review","issue":"4","page":"911-951","title":"The Spatial Articulation of Urban Political Cleavages","volume":"57","author":[{"family":"Doering","given":"Jan"},{"family":"Silver","given":"Daniel"},{"family":"Taylor","given":"Zack"}],"issued":{"date-parts":[["2021"]]}}}],"schema":"https://github.com/citation-style-language/schema/raw/master/csl-citation.json"} </w:instrText>
      </w:r>
      <w:r>
        <w:fldChar w:fldCharType="separate"/>
      </w:r>
      <w:r>
        <w:rPr>
          <w:noProof/>
        </w:rPr>
        <w:t>(Doering et al., 2021)</w:t>
      </w:r>
      <w:r>
        <w:fldChar w:fldCharType="end"/>
      </w:r>
      <w:r>
        <w:t>. It involves political, economic, and technical aspects</w:t>
      </w:r>
      <w:r w:rsidR="0074335E">
        <w:t xml:space="preserve"> </w:t>
      </w:r>
      <w:r w:rsidR="0074335E">
        <w:fldChar w:fldCharType="begin"/>
      </w:r>
      <w:r w:rsidR="0074335E">
        <w:instrText xml:space="preserve"> ADDIN ZOTERO_ITEM CSL_CITATION {"citationID":"TcFPC6th","properties":{"formattedCitation":"(Yoo &amp; Lee, 2023)","plainCitation":"(Yoo &amp; Lee, 2023)","noteIndex":0},"citationItems":[{"id":2366,"uris":["http://zotero.org/users/5602238/items/8MF8ZBRS"],"itemData":{"id":2366,"type":"article-journal","abstract":"Traditional bus route design tools mainly aim to minimise a cost-based objective such as passenger travel times and/or operator costs. These approaches favour high-demand areas in distributing transit services and benefit densely populated areas. Public transport must provide viable transport services to socially disadvantaged people to allow them to undertake essential social and economic activities. This study uses a transit accessibility measure in the route design objective and demonstrates its impacts and implications through a case study in Penrith, an area in Sydney, Australia. The results reveal a limitation of using accessibility as the sole design objective. An equity measure called the transit service need index is incorporated in the objective to revise and redistribute bus services to improve accessibility in areas with more transport disadvantaged people. Reinforcement learning is used for bus route optimisation. The route design tool could be useful for transit planners and operators in route planning and evaluation. The study demonstrates some different approaches of route design objective formulations to meet increasingly diverse needs and expectations for public transport.","container-title":"Journal of Public Transportation","DOI":"10.1016/j.jpubtr.2023.100041","ISSN":"1077-291X","journalAbbreviation":"Journal of Public Transportation","page":"100041","source":"ScienceDirect","title":"Revising bus routes to improve access for the transport disadvantaged: A reinforcement learning approach","title-short":"Revising bus routes to improve access for the transport disadvantaged","volume":"25","author":[{"family":"Yoo","given":"Sunhyung"},{"family":"Lee","given":"Jinwoo"}],"issued":{"date-parts":[["2023",1,1]]}}}],"schema":"https://github.com/citation-style-language/schema/raw/master/csl-citation.json"} </w:instrText>
      </w:r>
      <w:r w:rsidR="0074335E">
        <w:fldChar w:fldCharType="separate"/>
      </w:r>
      <w:r w:rsidR="0074335E">
        <w:rPr>
          <w:noProof/>
        </w:rPr>
        <w:t>(Yoo &amp; Lee, 2023)</w:t>
      </w:r>
      <w:r w:rsidR="0074335E">
        <w:fldChar w:fldCharType="end"/>
      </w:r>
      <w:r w:rsidR="0074335E">
        <w:t xml:space="preserve"> that impose barriers to focusing on the incumbent’s specific electoral basis. Still, this is also a distributive policy because it </w:t>
      </w:r>
      <w:r w:rsidR="0074335E">
        <w:t>“</w:t>
      </w:r>
      <w:r w:rsidR="0074335E" w:rsidRPr="00482830">
        <w:t>concentrates benefits in a specific geographic constituency and finances expenditures through generalized taxation</w:t>
      </w:r>
      <w:r w:rsidR="0074335E">
        <w:t xml:space="preserve">” </w:t>
      </w:r>
      <w:r w:rsidR="00412029">
        <w:fldChar w:fldCharType="begin"/>
      </w:r>
      <w:r w:rsidR="00412029">
        <w:instrText xml:space="preserve"> ADDIN ZOTERO_ITEM CSL_CITATION {"citationID":"JIuO8seu","properties":{"formattedCitation":"(Weingast et al., 1981, p. 644)","plainCitation":"(Weingast et al., 1981, p. 644)","noteIndex":0},"citationItems":[{"id":2335,"uris":["http://zotero.org/users/5602238/items/NL3E2SYI"],"itemData":{"id":2335,"type":"article-journal","container-title":"Journal of Political Economy","issue":"4","page":"642–664","title":"The Political Economy of Benefits and Costs: A Neoclassical Approach to Distributive Politics","volume":"89","author":[{"family":"Weingast","given":"Barry R."},{"family":"Shepsle","given":"Kenneth A."},{"family":"Johnsen","given":"Christopher"}],"issued":{"date-parts":[["1981"]]}},"locator":"644","label":"page"}],"schema":"https://github.com/citation-style-language/schema/raw/master/csl-citation.json"} </w:instrText>
      </w:r>
      <w:r w:rsidR="00412029">
        <w:fldChar w:fldCharType="separate"/>
      </w:r>
      <w:r w:rsidR="00412029">
        <w:rPr>
          <w:noProof/>
        </w:rPr>
        <w:t>(Weingast et al., 1981, p. 644)</w:t>
      </w:r>
      <w:r w:rsidR="00412029">
        <w:fldChar w:fldCharType="end"/>
      </w:r>
      <w:r w:rsidR="00412029">
        <w:t xml:space="preserve">. </w:t>
      </w:r>
      <w:r w:rsidR="0074335E">
        <w:t>Overall, it is focused on solving pressing</w:t>
      </w:r>
      <w:r w:rsidR="00412029">
        <w:t xml:space="preserve"> economic</w:t>
      </w:r>
      <w:r w:rsidR="0074335E">
        <w:t xml:space="preserve"> issues</w:t>
      </w:r>
      <w:r w:rsidR="00412029">
        <w:t xml:space="preserve"> that are prevalent in the changing landscape of major cities, including increasing commuting time, high life costs, and pervasive economic inequalities.</w:t>
      </w:r>
    </w:p>
    <w:p w14:paraId="3ED1798D" w14:textId="2887C4A2" w:rsidR="00412029" w:rsidRDefault="00412029" w:rsidP="00412029">
      <w:r>
        <w:t xml:space="preserve">The </w:t>
      </w:r>
      <w:proofErr w:type="spellStart"/>
      <w:r>
        <w:t>Bilhete</w:t>
      </w:r>
      <w:proofErr w:type="spellEnd"/>
      <w:r>
        <w:t xml:space="preserve"> </w:t>
      </w:r>
      <w:proofErr w:type="spellStart"/>
      <w:r>
        <w:t>Único</w:t>
      </w:r>
      <w:proofErr w:type="spellEnd"/>
      <w:r>
        <w:t xml:space="preserve"> reduced time and costs spent in São Paulo’s mass-transit system because its automated fare collection system allowed integrated ticketing. Users could ride different busses for 120 minutes to reach their destination paying a single fare. The policy initiated </w:t>
      </w:r>
      <w:r w:rsidR="00D41876">
        <w:t>by</w:t>
      </w:r>
      <w:r>
        <w:t xml:space="preserve"> Marta </w:t>
      </w:r>
      <w:proofErr w:type="spellStart"/>
      <w:r>
        <w:t>Suplicy’s</w:t>
      </w:r>
      <w:proofErr w:type="spellEnd"/>
      <w:r>
        <w:t xml:space="preserve"> government in 2001 and fully implemented in 2005 resulted in over 8.5 million smart-card users accessing roughly 15,000 busses in the municipality.</w:t>
      </w:r>
    </w:p>
    <w:p w14:paraId="67589A87" w14:textId="43100EBA" w:rsidR="00412029" w:rsidRDefault="00412029" w:rsidP="00412029">
      <w:r>
        <w:lastRenderedPageBreak/>
        <w:t xml:space="preserve">While the policy resulted in a major transformation in the city, we have no reason to expect that non-beneficiaries would reward the incumbent mayor. Holland </w:t>
      </w:r>
      <w:r>
        <w:fldChar w:fldCharType="begin"/>
      </w:r>
      <w:r>
        <w:instrText xml:space="preserve"> ADDIN ZOTERO_ITEM CSL_CITATION {"citationID":"4HalPisB","properties":{"formattedCitation":"(2023)","plainCitation":"(2023)","noteIndex":0},"citationItems":[{"id":2369,"uris":["http://zotero.org/users/5602238/items/D57IKNHK"],"itemData":{"id":2369,"type":"article-journal","abstract":"In much of the world, public transportation infrastructure is sorely needed. Political economy models suggest that provision lags because uneven access and use of public transit fragments political coalitions. Yet, traditional survey techniques tell us little about who supports valence issues, such as mass transit. I instead adopt a novel survey approach from economics designed to elicit preference intensity. I then sample households at different distances from a subway project in Bogotá, Colombia. Contra conventional expectations, I find little evidence that local geography shapes preferences. Those who use public transit the least and pay the most for its construction—the upper class—are its strongest supporters. An experiment and focus groups suggest that middle- and upper-class groups want others to take public transportation to reduce congestion and shorten their commutes. One implication is that a growing middle class might help to strengthen urban public goods provision.","container-title":"British Journal of Political Science","DOI":"10.1017/S0007123422000679","ISSN":"0007-1234, 1469-2112","issue":"3","language":"en","note":"publisher: Cambridge University Press","page":"1041-1060","source":"Cambridge University Press","title":"Making the Public Work: Geography, Externalities, and Preferences for Mass Transit","title-short":"Making the Public Work","volume":"53","author":[{"family":"Holland","given":"Alisha C."}],"issued":{"date-parts":[["2023",7]]}},"label":"page","suppress-author":true}],"schema":"https://github.com/citation-style-language/schema/raw/master/csl-citation.json"} </w:instrText>
      </w:r>
      <w:r>
        <w:fldChar w:fldCharType="separate"/>
      </w:r>
      <w:r>
        <w:rPr>
          <w:noProof/>
        </w:rPr>
        <w:t>(2023)</w:t>
      </w:r>
      <w:r>
        <w:fldChar w:fldCharType="end"/>
      </w:r>
      <w:r>
        <w:t xml:space="preserve"> investigated Bogotá’s metro expansion to find that non-users (the upper classes) approved the policy since it would reduce traffic and, therefore, improve their lives. We posit that while the wealthy could </w:t>
      </w:r>
      <w:r w:rsidR="00D41876">
        <w:t>benefit</w:t>
      </w:r>
      <w:r>
        <w:t xml:space="preserve"> </w:t>
      </w:r>
      <w:r w:rsidR="00D41876">
        <w:t>from</w:t>
      </w:r>
      <w:r>
        <w:t xml:space="preserve"> the </w:t>
      </w:r>
      <w:proofErr w:type="spellStart"/>
      <w:r>
        <w:t>Bilhete</w:t>
      </w:r>
      <w:proofErr w:type="spellEnd"/>
      <w:r>
        <w:t xml:space="preserve"> </w:t>
      </w:r>
      <w:proofErr w:type="spellStart"/>
      <w:r>
        <w:t>Único</w:t>
      </w:r>
      <w:proofErr w:type="spellEnd"/>
      <w:r>
        <w:t xml:space="preserve">, it was the working class of specific geographic regions (the smart card users) who received its main benefits. This explains why they adjusted their voting patterns in favor of Marta </w:t>
      </w:r>
      <w:proofErr w:type="spellStart"/>
      <w:r>
        <w:t>Suplicy</w:t>
      </w:r>
      <w:proofErr w:type="spellEnd"/>
      <w:r>
        <w:t>.</w:t>
      </w:r>
    </w:p>
    <w:p w14:paraId="65DDFB17" w14:textId="14E735C8" w:rsidR="00711EAC" w:rsidRDefault="00086556" w:rsidP="00412029">
      <w:r>
        <w:t xml:space="preserve">Our research design considers the georeferencing of transportation and electoral data to split the municipality of São Paulo into multiple OD Zones. We compile a panel of sub-municipal data that also includes other local-level policies, the different types of early adopters (i.e., students, the elderly, and formal workers), and socio-demographic information. This allows a series of sensitivity tests and </w:t>
      </w:r>
      <w:r w:rsidR="00D41876">
        <w:t>provides</w:t>
      </w:r>
      <w:r>
        <w:t xml:space="preserve"> robust evidence that this policy innovation caused retrospective voting the more beneficiaries </w:t>
      </w:r>
      <w:r w:rsidR="000C02AD">
        <w:t>each</w:t>
      </w:r>
      <w:r>
        <w:t xml:space="preserve"> OD Zone had.</w:t>
      </w:r>
      <w:r w:rsidR="00711EAC">
        <w:br w:type="page"/>
      </w:r>
    </w:p>
    <w:p w14:paraId="7E98F68E" w14:textId="514B73BC" w:rsidR="00711EAC" w:rsidRDefault="00711EAC" w:rsidP="00711EAC">
      <w:pPr>
        <w:pStyle w:val="Heading1"/>
      </w:pPr>
      <w:r>
        <w:lastRenderedPageBreak/>
        <w:t>References</w:t>
      </w:r>
    </w:p>
    <w:p w14:paraId="0CAFC978" w14:textId="77777777" w:rsidR="00412029" w:rsidRPr="00412029" w:rsidRDefault="000447EF" w:rsidP="00412029">
      <w:pPr>
        <w:pStyle w:val="Bibliography"/>
      </w:pPr>
      <w:r>
        <w:fldChar w:fldCharType="begin"/>
      </w:r>
      <w:r w:rsidR="00FC1407">
        <w:instrText xml:space="preserve"> ADDIN ZOTERO_BIBL {"uncited":[],"omitted":[],"custom":[]} CSL_BIBLIOGRAPHY </w:instrText>
      </w:r>
      <w:r>
        <w:fldChar w:fldCharType="separate"/>
      </w:r>
      <w:r w:rsidR="00412029" w:rsidRPr="00412029">
        <w:t xml:space="preserve">Albertus, M. (2013). Vote Buying </w:t>
      </w:r>
      <w:proofErr w:type="gramStart"/>
      <w:r w:rsidR="00412029" w:rsidRPr="00412029">
        <w:t>With</w:t>
      </w:r>
      <w:proofErr w:type="gramEnd"/>
      <w:r w:rsidR="00412029" w:rsidRPr="00412029">
        <w:t xml:space="preserve"> Multiple Distributive Goods. </w:t>
      </w:r>
      <w:r w:rsidR="00412029" w:rsidRPr="00412029">
        <w:rPr>
          <w:i/>
          <w:iCs/>
        </w:rPr>
        <w:t>Comparative Political Studies</w:t>
      </w:r>
      <w:r w:rsidR="00412029" w:rsidRPr="00412029">
        <w:t xml:space="preserve">, </w:t>
      </w:r>
      <w:r w:rsidR="00412029" w:rsidRPr="00412029">
        <w:rPr>
          <w:i/>
          <w:iCs/>
        </w:rPr>
        <w:t>46</w:t>
      </w:r>
      <w:r w:rsidR="00412029" w:rsidRPr="00412029">
        <w:t>(9), 1082–1111. https://doi.org/10.1177/0010414012463897</w:t>
      </w:r>
    </w:p>
    <w:p w14:paraId="4ED0C680" w14:textId="77777777" w:rsidR="00412029" w:rsidRPr="00412029" w:rsidRDefault="00412029" w:rsidP="00412029">
      <w:pPr>
        <w:pStyle w:val="Bibliography"/>
      </w:pPr>
      <w:r w:rsidRPr="00412029">
        <w:t xml:space="preserve">Andersen, S. C., &amp; </w:t>
      </w:r>
      <w:proofErr w:type="spellStart"/>
      <w:r w:rsidRPr="00412029">
        <w:t>Hjortskov</w:t>
      </w:r>
      <w:proofErr w:type="spellEnd"/>
      <w:r w:rsidRPr="00412029">
        <w:t xml:space="preserve">, M. (2016). Cognitive Biases in Performance Evaluations. </w:t>
      </w:r>
      <w:r w:rsidRPr="00412029">
        <w:rPr>
          <w:i/>
          <w:iCs/>
        </w:rPr>
        <w:t>Journal of Public Administration Research and Theory</w:t>
      </w:r>
      <w:r w:rsidRPr="00412029">
        <w:t xml:space="preserve">, </w:t>
      </w:r>
      <w:r w:rsidRPr="00412029">
        <w:rPr>
          <w:i/>
          <w:iCs/>
        </w:rPr>
        <w:t>26</w:t>
      </w:r>
      <w:r w:rsidRPr="00412029">
        <w:t>(4), 647–662. https://doi.org/10.1093/jopart/muv036</w:t>
      </w:r>
    </w:p>
    <w:p w14:paraId="3A5C0866" w14:textId="77777777" w:rsidR="00412029" w:rsidRPr="00412029" w:rsidRDefault="00412029" w:rsidP="00412029">
      <w:pPr>
        <w:pStyle w:val="Bibliography"/>
      </w:pPr>
      <w:r w:rsidRPr="00412029">
        <w:t xml:space="preserve">Bechtel, M. M., &amp; </w:t>
      </w:r>
      <w:proofErr w:type="spellStart"/>
      <w:r w:rsidRPr="00412029">
        <w:t>Hainmueller</w:t>
      </w:r>
      <w:proofErr w:type="spellEnd"/>
      <w:r w:rsidRPr="00412029">
        <w:t xml:space="preserve">, J. (2011). How Lasting Is Voter Gratitude? An Analysis of the Short- and Long-Term Electoral Returns to Beneficial Policy. </w:t>
      </w:r>
      <w:r w:rsidRPr="00412029">
        <w:rPr>
          <w:i/>
          <w:iCs/>
        </w:rPr>
        <w:t>American Journal of Political Science</w:t>
      </w:r>
      <w:r w:rsidRPr="00412029">
        <w:t xml:space="preserve">, </w:t>
      </w:r>
      <w:r w:rsidRPr="00412029">
        <w:rPr>
          <w:i/>
          <w:iCs/>
        </w:rPr>
        <w:t>55</w:t>
      </w:r>
      <w:r w:rsidRPr="00412029">
        <w:t>(4), 852–868. https://doi.org/10.1111/j.1540-5907.2011.00533.x</w:t>
      </w:r>
    </w:p>
    <w:p w14:paraId="77BAFA1B" w14:textId="77777777" w:rsidR="00412029" w:rsidRPr="00412029" w:rsidRDefault="00412029" w:rsidP="00412029">
      <w:pPr>
        <w:pStyle w:val="Bibliography"/>
      </w:pPr>
      <w:proofErr w:type="spellStart"/>
      <w:r w:rsidRPr="00412029">
        <w:t>Bernecker</w:t>
      </w:r>
      <w:proofErr w:type="spellEnd"/>
      <w:r w:rsidRPr="00412029">
        <w:t xml:space="preserve">, A., Boyer, P. C., &amp; </w:t>
      </w:r>
      <w:proofErr w:type="spellStart"/>
      <w:r w:rsidRPr="00412029">
        <w:t>Gathmann</w:t>
      </w:r>
      <w:proofErr w:type="spellEnd"/>
      <w:r w:rsidRPr="00412029">
        <w:t xml:space="preserve">, C. (2021). The Role of Electoral Incentives for Policy Innovation: Evidence from the US Welfare Reform. </w:t>
      </w:r>
      <w:r w:rsidRPr="00412029">
        <w:rPr>
          <w:i/>
          <w:iCs/>
        </w:rPr>
        <w:t>American Economic Journal: Economic Policy</w:t>
      </w:r>
      <w:r w:rsidRPr="00412029">
        <w:t xml:space="preserve">, </w:t>
      </w:r>
      <w:r w:rsidRPr="00412029">
        <w:rPr>
          <w:i/>
          <w:iCs/>
        </w:rPr>
        <w:t>13</w:t>
      </w:r>
      <w:r w:rsidRPr="00412029">
        <w:t>(2), 26–57. https://doi.org/10.1257/pol.20190690</w:t>
      </w:r>
    </w:p>
    <w:p w14:paraId="5B19E1D5" w14:textId="77777777" w:rsidR="00412029" w:rsidRPr="00412029" w:rsidRDefault="00412029" w:rsidP="00412029">
      <w:pPr>
        <w:pStyle w:val="Bibliography"/>
      </w:pPr>
      <w:r w:rsidRPr="00412029">
        <w:t xml:space="preserve">Berry, C. R., &amp; Howell, W. G. (2007). Accountability and Local Elections: Rethinking Retrospective Voting. </w:t>
      </w:r>
      <w:r w:rsidRPr="00412029">
        <w:rPr>
          <w:i/>
          <w:iCs/>
        </w:rPr>
        <w:t>Journal of Politics</w:t>
      </w:r>
      <w:r w:rsidRPr="00412029">
        <w:t xml:space="preserve">, </w:t>
      </w:r>
      <w:r w:rsidRPr="00412029">
        <w:rPr>
          <w:i/>
          <w:iCs/>
        </w:rPr>
        <w:t>69</w:t>
      </w:r>
      <w:r w:rsidRPr="00412029">
        <w:t>(3), 844–858.</w:t>
      </w:r>
    </w:p>
    <w:p w14:paraId="0AF9842B" w14:textId="77777777" w:rsidR="00412029" w:rsidRPr="00412029" w:rsidRDefault="00412029" w:rsidP="00412029">
      <w:pPr>
        <w:pStyle w:val="Bibliography"/>
      </w:pPr>
      <w:r w:rsidRPr="00412029">
        <w:t xml:space="preserve">Burnett, C. M., &amp; Kogan, V. (2017). The Politics of Potholes: Service Quality and Retrospective Voting in Local Elections. </w:t>
      </w:r>
      <w:r w:rsidRPr="00412029">
        <w:rPr>
          <w:i/>
          <w:iCs/>
        </w:rPr>
        <w:t>The Journal of Politics</w:t>
      </w:r>
      <w:r w:rsidRPr="00412029">
        <w:t xml:space="preserve">, </w:t>
      </w:r>
      <w:r w:rsidRPr="00412029">
        <w:rPr>
          <w:i/>
          <w:iCs/>
        </w:rPr>
        <w:t>79</w:t>
      </w:r>
      <w:r w:rsidRPr="00412029">
        <w:t>(1), 302–314. https://doi.org/10.1086/688736</w:t>
      </w:r>
    </w:p>
    <w:p w14:paraId="21502CA8" w14:textId="77777777" w:rsidR="00412029" w:rsidRPr="00412029" w:rsidRDefault="00412029" w:rsidP="00412029">
      <w:pPr>
        <w:pStyle w:val="Bibliography"/>
      </w:pPr>
      <w:r w:rsidRPr="00412029">
        <w:t xml:space="preserve">Campos, M. L. (2018). Public Policy Instruments and Their Impact: From Analogue to Electronic Government in the Bus Services of São Paulo. </w:t>
      </w:r>
      <w:r w:rsidRPr="00412029">
        <w:rPr>
          <w:i/>
          <w:iCs/>
        </w:rPr>
        <w:t>Brazilian Political Science Review</w:t>
      </w:r>
      <w:r w:rsidRPr="00412029">
        <w:t xml:space="preserve">, </w:t>
      </w:r>
      <w:r w:rsidRPr="00412029">
        <w:rPr>
          <w:i/>
          <w:iCs/>
        </w:rPr>
        <w:t>12</w:t>
      </w:r>
      <w:r w:rsidRPr="00412029">
        <w:t>, 1–26. https://doi.org/10.1590/1981-3821201800010003</w:t>
      </w:r>
    </w:p>
    <w:p w14:paraId="1BCDE401" w14:textId="77777777" w:rsidR="00412029" w:rsidRPr="00412029" w:rsidRDefault="00412029" w:rsidP="00412029">
      <w:pPr>
        <w:pStyle w:val="Bibliography"/>
      </w:pPr>
      <w:r w:rsidRPr="00412029">
        <w:t xml:space="preserve">Castells, M. (1978). </w:t>
      </w:r>
      <w:r w:rsidRPr="00412029">
        <w:rPr>
          <w:i/>
          <w:iCs/>
        </w:rPr>
        <w:t xml:space="preserve">City, </w:t>
      </w:r>
      <w:proofErr w:type="gramStart"/>
      <w:r w:rsidRPr="00412029">
        <w:rPr>
          <w:i/>
          <w:iCs/>
        </w:rPr>
        <w:t>Class</w:t>
      </w:r>
      <w:proofErr w:type="gramEnd"/>
      <w:r w:rsidRPr="00412029">
        <w:rPr>
          <w:i/>
          <w:iCs/>
        </w:rPr>
        <w:t xml:space="preserve"> and Power</w:t>
      </w:r>
      <w:r w:rsidRPr="00412029">
        <w:t>. Macmillan Education UK. https://doi.org/10.1007/978-1-349-27923-4_8</w:t>
      </w:r>
    </w:p>
    <w:p w14:paraId="44B0ABF7" w14:textId="77777777" w:rsidR="00412029" w:rsidRPr="00412029" w:rsidRDefault="00412029" w:rsidP="00412029">
      <w:pPr>
        <w:pStyle w:val="Bibliography"/>
      </w:pPr>
      <w:r w:rsidRPr="00412029">
        <w:t xml:space="preserve">Charbonneau, É., &amp; Van </w:t>
      </w:r>
      <w:proofErr w:type="spellStart"/>
      <w:r w:rsidRPr="00412029">
        <w:t>Ryzin</w:t>
      </w:r>
      <w:proofErr w:type="spellEnd"/>
      <w:r w:rsidRPr="00412029">
        <w:t xml:space="preserve">, G. G. (2012). Performance Measures and Parental Satisfaction With New York City Schools. </w:t>
      </w:r>
      <w:r w:rsidRPr="00412029">
        <w:rPr>
          <w:i/>
          <w:iCs/>
        </w:rPr>
        <w:t>The American Review of Public Administration</w:t>
      </w:r>
      <w:r w:rsidRPr="00412029">
        <w:t xml:space="preserve">, </w:t>
      </w:r>
      <w:r w:rsidRPr="00412029">
        <w:rPr>
          <w:i/>
          <w:iCs/>
        </w:rPr>
        <w:t>42</w:t>
      </w:r>
      <w:r w:rsidRPr="00412029">
        <w:t>(1), 54–65. https://doi.org/10.1177/0275074010397333</w:t>
      </w:r>
    </w:p>
    <w:p w14:paraId="48C20603" w14:textId="77777777" w:rsidR="00412029" w:rsidRPr="00412029" w:rsidRDefault="00412029" w:rsidP="00412029">
      <w:pPr>
        <w:pStyle w:val="Bibliography"/>
      </w:pPr>
      <w:r w:rsidRPr="00412029">
        <w:t xml:space="preserve">Coker, F. W. (1920). Street-railway Problems. </w:t>
      </w:r>
      <w:r w:rsidRPr="00412029">
        <w:rPr>
          <w:i/>
          <w:iCs/>
        </w:rPr>
        <w:t>American Political Science Review</w:t>
      </w:r>
      <w:r w:rsidRPr="00412029">
        <w:t xml:space="preserve">, </w:t>
      </w:r>
      <w:r w:rsidRPr="00412029">
        <w:rPr>
          <w:i/>
          <w:iCs/>
        </w:rPr>
        <w:t>14</w:t>
      </w:r>
      <w:r w:rsidRPr="00412029">
        <w:t>(4), 688–696.</w:t>
      </w:r>
    </w:p>
    <w:p w14:paraId="566D6E6A" w14:textId="77777777" w:rsidR="00412029" w:rsidRPr="00412029" w:rsidRDefault="00412029" w:rsidP="00412029">
      <w:pPr>
        <w:pStyle w:val="Bibliography"/>
      </w:pPr>
      <w:r w:rsidRPr="00412029">
        <w:rPr>
          <w:lang w:val="pt-BR"/>
        </w:rPr>
        <w:t xml:space="preserve">Costa, A. B., </w:t>
      </w:r>
      <w:proofErr w:type="spellStart"/>
      <w:r w:rsidRPr="00412029">
        <w:rPr>
          <w:lang w:val="pt-BR"/>
        </w:rPr>
        <w:t>Zegras</w:t>
      </w:r>
      <w:proofErr w:type="spellEnd"/>
      <w:r w:rsidRPr="00412029">
        <w:rPr>
          <w:lang w:val="pt-BR"/>
        </w:rPr>
        <w:t xml:space="preserve">, C., &amp; </w:t>
      </w:r>
      <w:proofErr w:type="spellStart"/>
      <w:r w:rsidRPr="00412029">
        <w:rPr>
          <w:lang w:val="pt-BR"/>
        </w:rPr>
        <w:t>Biderman</w:t>
      </w:r>
      <w:proofErr w:type="spellEnd"/>
      <w:r w:rsidRPr="00412029">
        <w:rPr>
          <w:lang w:val="pt-BR"/>
        </w:rPr>
        <w:t xml:space="preserve">, C. (2021). </w:t>
      </w:r>
      <w:r w:rsidRPr="00412029">
        <w:t xml:space="preserve">Chasing the city that cannot stop: Exploring transportation and urban co-development in São Paulo’s history. </w:t>
      </w:r>
      <w:r w:rsidRPr="00412029">
        <w:rPr>
          <w:i/>
          <w:iCs/>
        </w:rPr>
        <w:t>Journal of Transport and Land Use</w:t>
      </w:r>
      <w:r w:rsidRPr="00412029">
        <w:t xml:space="preserve">, </w:t>
      </w:r>
      <w:r w:rsidRPr="00412029">
        <w:rPr>
          <w:i/>
          <w:iCs/>
        </w:rPr>
        <w:t>14</w:t>
      </w:r>
      <w:r w:rsidRPr="00412029">
        <w:t>(1), 1075–1098.</w:t>
      </w:r>
    </w:p>
    <w:p w14:paraId="3F31C3BB" w14:textId="77777777" w:rsidR="00412029" w:rsidRPr="00412029" w:rsidRDefault="00412029" w:rsidP="00412029">
      <w:pPr>
        <w:pStyle w:val="Bibliography"/>
      </w:pPr>
      <w:r w:rsidRPr="00412029">
        <w:lastRenderedPageBreak/>
        <w:t xml:space="preserve">Doering, J., Silver, D., &amp; Taylor, Z. (2021). The Spatial Articulation of Urban Political Cleavages. </w:t>
      </w:r>
      <w:r w:rsidRPr="00412029">
        <w:rPr>
          <w:i/>
          <w:iCs/>
        </w:rPr>
        <w:t>Urban Affairs Review</w:t>
      </w:r>
      <w:r w:rsidRPr="00412029">
        <w:t xml:space="preserve">, </w:t>
      </w:r>
      <w:r w:rsidRPr="00412029">
        <w:rPr>
          <w:i/>
          <w:iCs/>
        </w:rPr>
        <w:t>57</w:t>
      </w:r>
      <w:r w:rsidRPr="00412029">
        <w:t>(4), 911–951.</w:t>
      </w:r>
    </w:p>
    <w:p w14:paraId="732EB3FF" w14:textId="77777777" w:rsidR="00412029" w:rsidRPr="00412029" w:rsidRDefault="00412029" w:rsidP="00412029">
      <w:pPr>
        <w:pStyle w:val="Bibliography"/>
      </w:pPr>
      <w:r w:rsidRPr="00412029">
        <w:t xml:space="preserve">Dunleavy, P. (1979). The Urban Basis of Political Alignment: Social Class, Domestic Property Ownership, and State Intervention in Consumption Processes. </w:t>
      </w:r>
      <w:r w:rsidRPr="00412029">
        <w:rPr>
          <w:i/>
          <w:iCs/>
        </w:rPr>
        <w:t>British Journal of Political Science</w:t>
      </w:r>
      <w:r w:rsidRPr="00412029">
        <w:t xml:space="preserve">, </w:t>
      </w:r>
      <w:r w:rsidRPr="00412029">
        <w:rPr>
          <w:i/>
          <w:iCs/>
        </w:rPr>
        <w:t>9</w:t>
      </w:r>
      <w:r w:rsidRPr="00412029">
        <w:t>(4), 409–443.</w:t>
      </w:r>
    </w:p>
    <w:p w14:paraId="61BC4063" w14:textId="77777777" w:rsidR="00412029" w:rsidRPr="00412029" w:rsidRDefault="00412029" w:rsidP="00412029">
      <w:pPr>
        <w:pStyle w:val="Bibliography"/>
      </w:pPr>
      <w:proofErr w:type="spellStart"/>
      <w:r w:rsidRPr="00412029">
        <w:t>Faroqi</w:t>
      </w:r>
      <w:proofErr w:type="spellEnd"/>
      <w:r w:rsidRPr="00412029">
        <w:t xml:space="preserve">, H., </w:t>
      </w:r>
      <w:proofErr w:type="spellStart"/>
      <w:r w:rsidRPr="00412029">
        <w:t>Saadatmand</w:t>
      </w:r>
      <w:proofErr w:type="spellEnd"/>
      <w:r w:rsidRPr="00412029">
        <w:t xml:space="preserve">, A., Mesbah, M., &amp; </w:t>
      </w:r>
      <w:proofErr w:type="spellStart"/>
      <w:r w:rsidRPr="00412029">
        <w:t>Khodaii</w:t>
      </w:r>
      <w:proofErr w:type="spellEnd"/>
      <w:r w:rsidRPr="00412029">
        <w:t xml:space="preserve">, A. (2023). Enriching smart card data with the trip purpose attribute. </w:t>
      </w:r>
      <w:r w:rsidRPr="00412029">
        <w:rPr>
          <w:i/>
          <w:iCs/>
        </w:rPr>
        <w:t>Journal of Public Transportation</w:t>
      </w:r>
      <w:r w:rsidRPr="00412029">
        <w:t xml:space="preserve">, </w:t>
      </w:r>
      <w:r w:rsidRPr="00412029">
        <w:rPr>
          <w:i/>
          <w:iCs/>
        </w:rPr>
        <w:t>25</w:t>
      </w:r>
      <w:r w:rsidRPr="00412029">
        <w:t>, 100072. https://doi.org/10.1016/j.jpubtr.2023.100072</w:t>
      </w:r>
    </w:p>
    <w:p w14:paraId="0DFEEE75" w14:textId="77777777" w:rsidR="00412029" w:rsidRPr="00412029" w:rsidRDefault="00412029" w:rsidP="00412029">
      <w:pPr>
        <w:pStyle w:val="Bibliography"/>
      </w:pPr>
      <w:proofErr w:type="spellStart"/>
      <w:r w:rsidRPr="00412029">
        <w:t>Favero</w:t>
      </w:r>
      <w:proofErr w:type="spellEnd"/>
      <w:r w:rsidRPr="00412029">
        <w:t xml:space="preserve">, N., &amp; Meier, K. J. (2013). Evaluating Urban Public Schools: Parents, Teachers, and State Assessments. </w:t>
      </w:r>
      <w:r w:rsidRPr="00412029">
        <w:rPr>
          <w:i/>
          <w:iCs/>
        </w:rPr>
        <w:t>Public Administration Review</w:t>
      </w:r>
      <w:r w:rsidRPr="00412029">
        <w:t xml:space="preserve">, </w:t>
      </w:r>
      <w:r w:rsidRPr="00412029">
        <w:rPr>
          <w:i/>
          <w:iCs/>
        </w:rPr>
        <w:t>73</w:t>
      </w:r>
      <w:r w:rsidRPr="00412029">
        <w:t>(3), 401–412. https://doi.org/10.1111/puar.12022</w:t>
      </w:r>
    </w:p>
    <w:p w14:paraId="080EC5D7" w14:textId="77777777" w:rsidR="00412029" w:rsidRPr="00412029" w:rsidRDefault="00412029" w:rsidP="00412029">
      <w:pPr>
        <w:pStyle w:val="Bibliography"/>
      </w:pPr>
      <w:r w:rsidRPr="00412029">
        <w:t xml:space="preserve">Fiorina, M. P. (1978). Economic Retrospective Voting in American National Elections: A Micro-Analysis. </w:t>
      </w:r>
      <w:r w:rsidRPr="00412029">
        <w:rPr>
          <w:i/>
          <w:iCs/>
        </w:rPr>
        <w:t>American Journal of Political Science</w:t>
      </w:r>
      <w:r w:rsidRPr="00412029">
        <w:t xml:space="preserve">, </w:t>
      </w:r>
      <w:r w:rsidRPr="00412029">
        <w:rPr>
          <w:i/>
          <w:iCs/>
        </w:rPr>
        <w:t>22</w:t>
      </w:r>
      <w:r w:rsidRPr="00412029">
        <w:t>(2), 426–443. https://doi.org/10.2307/2110623</w:t>
      </w:r>
    </w:p>
    <w:p w14:paraId="39C87996" w14:textId="77777777" w:rsidR="00412029" w:rsidRPr="00412029" w:rsidRDefault="00412029" w:rsidP="00412029">
      <w:pPr>
        <w:pStyle w:val="Bibliography"/>
      </w:pPr>
      <w:proofErr w:type="spellStart"/>
      <w:r w:rsidRPr="00412029">
        <w:t>Flom</w:t>
      </w:r>
      <w:proofErr w:type="spellEnd"/>
      <w:r w:rsidRPr="00412029">
        <w:t xml:space="preserve">, H. (2023). The politics of police accountability: Police expulsions in Buenos Aires, Argentina. </w:t>
      </w:r>
      <w:r w:rsidRPr="00412029">
        <w:rPr>
          <w:i/>
          <w:iCs/>
        </w:rPr>
        <w:t>Governance</w:t>
      </w:r>
      <w:r w:rsidRPr="00412029">
        <w:t>. https://doi.org/10.1111/gove.12779</w:t>
      </w:r>
    </w:p>
    <w:p w14:paraId="5AED36F9" w14:textId="77777777" w:rsidR="00412029" w:rsidRPr="00412029" w:rsidRDefault="00412029" w:rsidP="00412029">
      <w:pPr>
        <w:pStyle w:val="Bibliography"/>
      </w:pPr>
      <w:r w:rsidRPr="00412029">
        <w:t xml:space="preserve">Gasper, J. T., &amp; Reeves, A. (2011). Make It Rain? Retrospection and the Attentive Electorate in the Context of Natural Disasters. </w:t>
      </w:r>
      <w:r w:rsidRPr="00412029">
        <w:rPr>
          <w:i/>
          <w:iCs/>
        </w:rPr>
        <w:t>American Journal of Political Science</w:t>
      </w:r>
      <w:r w:rsidRPr="00412029">
        <w:t xml:space="preserve">, </w:t>
      </w:r>
      <w:r w:rsidRPr="00412029">
        <w:rPr>
          <w:i/>
          <w:iCs/>
        </w:rPr>
        <w:t>55</w:t>
      </w:r>
      <w:r w:rsidRPr="00412029">
        <w:t>(2), 340–355. https://doi.org/10.1111/j.1540-5907.2010.00503.x</w:t>
      </w:r>
    </w:p>
    <w:p w14:paraId="5962D33C" w14:textId="77777777" w:rsidR="00412029" w:rsidRPr="00412029" w:rsidRDefault="00412029" w:rsidP="00412029">
      <w:pPr>
        <w:pStyle w:val="Bibliography"/>
      </w:pPr>
      <w:r w:rsidRPr="00412029">
        <w:t xml:space="preserve">Grose, C. R., &amp; Oppenheimer, B. I. (2007). The Iraq War, Partisanship, and Candidate Attributes: Variation in Partisan Swing in the 2006 U.S. House Elections. </w:t>
      </w:r>
      <w:r w:rsidRPr="00412029">
        <w:rPr>
          <w:i/>
          <w:iCs/>
        </w:rPr>
        <w:t>Legislative Studies Quarterly</w:t>
      </w:r>
      <w:r w:rsidRPr="00412029">
        <w:t xml:space="preserve">, </w:t>
      </w:r>
      <w:r w:rsidRPr="00412029">
        <w:rPr>
          <w:i/>
          <w:iCs/>
        </w:rPr>
        <w:t>32</w:t>
      </w:r>
      <w:r w:rsidRPr="00412029">
        <w:t>(4), 531–557. https://doi.org/10.3162/036298007782398495</w:t>
      </w:r>
    </w:p>
    <w:p w14:paraId="3F4E8A66" w14:textId="77777777" w:rsidR="00412029" w:rsidRPr="00412029" w:rsidRDefault="00412029" w:rsidP="00412029">
      <w:pPr>
        <w:pStyle w:val="Bibliography"/>
      </w:pPr>
      <w:r w:rsidRPr="00412029">
        <w:t xml:space="preserve">Hansford, T. G., &amp; Gomez, B. T. (2015). Reevaluating the </w:t>
      </w:r>
      <w:proofErr w:type="spellStart"/>
      <w:r w:rsidRPr="00412029">
        <w:t>sociotropic</w:t>
      </w:r>
      <w:proofErr w:type="spellEnd"/>
      <w:r w:rsidRPr="00412029">
        <w:t xml:space="preserve"> economic voting hypothesis. </w:t>
      </w:r>
      <w:r w:rsidRPr="00412029">
        <w:rPr>
          <w:i/>
          <w:iCs/>
        </w:rPr>
        <w:t>Electoral Studies</w:t>
      </w:r>
      <w:r w:rsidRPr="00412029">
        <w:t xml:space="preserve">, </w:t>
      </w:r>
      <w:r w:rsidRPr="00412029">
        <w:rPr>
          <w:i/>
          <w:iCs/>
        </w:rPr>
        <w:t>39</w:t>
      </w:r>
      <w:r w:rsidRPr="00412029">
        <w:t>, 15–25. https://doi.org/10.1016/j.electstud.2015.03.005</w:t>
      </w:r>
    </w:p>
    <w:p w14:paraId="43205095" w14:textId="77777777" w:rsidR="00412029" w:rsidRPr="00412029" w:rsidRDefault="00412029" w:rsidP="00412029">
      <w:pPr>
        <w:pStyle w:val="Bibliography"/>
      </w:pPr>
      <w:r w:rsidRPr="00412029">
        <w:t xml:space="preserve">Healy, A. J., &amp; Malhotra, N. (2009). Myopic Voters and Natural Disaster Policy. </w:t>
      </w:r>
      <w:r w:rsidRPr="00412029">
        <w:rPr>
          <w:i/>
          <w:iCs/>
        </w:rPr>
        <w:t>American Political Science Review</w:t>
      </w:r>
      <w:r w:rsidRPr="00412029">
        <w:t xml:space="preserve">, </w:t>
      </w:r>
      <w:r w:rsidRPr="00412029">
        <w:rPr>
          <w:i/>
          <w:iCs/>
        </w:rPr>
        <w:t>103</w:t>
      </w:r>
      <w:r w:rsidRPr="00412029">
        <w:t>(3), 387–406. https://doi.org/10.1017/S0003055409990104</w:t>
      </w:r>
    </w:p>
    <w:p w14:paraId="49C042B0" w14:textId="77777777" w:rsidR="00412029" w:rsidRPr="00412029" w:rsidRDefault="00412029" w:rsidP="00412029">
      <w:pPr>
        <w:pStyle w:val="Bibliography"/>
      </w:pPr>
      <w:r w:rsidRPr="00412029">
        <w:t xml:space="preserve">Healy, A. J., &amp; Malhotra, N. (2013). Retrospective Voting Reconsidered. </w:t>
      </w:r>
      <w:r w:rsidRPr="00412029">
        <w:rPr>
          <w:i/>
          <w:iCs/>
        </w:rPr>
        <w:t>Annual Review of Political Science</w:t>
      </w:r>
      <w:r w:rsidRPr="00412029">
        <w:t xml:space="preserve">, </w:t>
      </w:r>
      <w:r w:rsidRPr="00412029">
        <w:rPr>
          <w:i/>
          <w:iCs/>
        </w:rPr>
        <w:t>16</w:t>
      </w:r>
      <w:r w:rsidRPr="00412029">
        <w:t>(1), 285–306. https://doi.org/10.1146/annurev-polisci-032211-212920</w:t>
      </w:r>
    </w:p>
    <w:p w14:paraId="6FCB3C9E" w14:textId="77777777" w:rsidR="00412029" w:rsidRPr="00412029" w:rsidRDefault="00412029" w:rsidP="00412029">
      <w:pPr>
        <w:pStyle w:val="Bibliography"/>
      </w:pPr>
      <w:r w:rsidRPr="00412029">
        <w:lastRenderedPageBreak/>
        <w:t xml:space="preserve">Healy, A. J., Persson, M., &amp; </w:t>
      </w:r>
      <w:proofErr w:type="spellStart"/>
      <w:r w:rsidRPr="00412029">
        <w:t>Snowberg</w:t>
      </w:r>
      <w:proofErr w:type="spellEnd"/>
      <w:r w:rsidRPr="00412029">
        <w:t xml:space="preserve">, E. (2017). Digging into the Pocketbook: Evidence on Economic Voting from Income Registry Data Matched to a Voter Survey. </w:t>
      </w:r>
      <w:r w:rsidRPr="00412029">
        <w:rPr>
          <w:i/>
          <w:iCs/>
        </w:rPr>
        <w:t>American Political Science Review</w:t>
      </w:r>
      <w:r w:rsidRPr="00412029">
        <w:t xml:space="preserve">, </w:t>
      </w:r>
      <w:r w:rsidRPr="00412029">
        <w:rPr>
          <w:i/>
          <w:iCs/>
        </w:rPr>
        <w:t>111</w:t>
      </w:r>
      <w:r w:rsidRPr="00412029">
        <w:t>(4), 771–785. https://doi.org/10.1017/S0003055417000314</w:t>
      </w:r>
    </w:p>
    <w:p w14:paraId="62E15BB4" w14:textId="77777777" w:rsidR="00412029" w:rsidRPr="00412029" w:rsidRDefault="00412029" w:rsidP="00412029">
      <w:pPr>
        <w:pStyle w:val="Bibliography"/>
      </w:pPr>
      <w:r w:rsidRPr="00412029">
        <w:t xml:space="preserve">Holland, A. C. (2023). Making the Public Work: Geography, Externalities, and Preferences for Mass Transit. </w:t>
      </w:r>
      <w:r w:rsidRPr="00412029">
        <w:rPr>
          <w:i/>
          <w:iCs/>
        </w:rPr>
        <w:t>British Journal of Political Science</w:t>
      </w:r>
      <w:r w:rsidRPr="00412029">
        <w:t xml:space="preserve">, </w:t>
      </w:r>
      <w:r w:rsidRPr="00412029">
        <w:rPr>
          <w:i/>
          <w:iCs/>
        </w:rPr>
        <w:t>53</w:t>
      </w:r>
      <w:r w:rsidRPr="00412029">
        <w:t>(3), 1041–1060. https://doi.org/10.1017/S0007123422000679</w:t>
      </w:r>
    </w:p>
    <w:p w14:paraId="7A87EE37" w14:textId="77777777" w:rsidR="00412029" w:rsidRPr="00412029" w:rsidRDefault="00412029" w:rsidP="00412029">
      <w:pPr>
        <w:pStyle w:val="Bibliography"/>
      </w:pPr>
      <w:r w:rsidRPr="00412029">
        <w:t xml:space="preserve">Hong, S., Kim, S. H., &amp; Kwon, M. (2022). Determinants of digital innovation in the public sector. </w:t>
      </w:r>
      <w:r w:rsidRPr="00412029">
        <w:rPr>
          <w:i/>
          <w:iCs/>
        </w:rPr>
        <w:t>Government Information Quarterly</w:t>
      </w:r>
      <w:r w:rsidRPr="00412029">
        <w:t xml:space="preserve">, </w:t>
      </w:r>
      <w:r w:rsidRPr="00412029">
        <w:rPr>
          <w:i/>
          <w:iCs/>
        </w:rPr>
        <w:t>39</w:t>
      </w:r>
      <w:r w:rsidRPr="00412029">
        <w:t>(4), 101723. https://doi.org/10.1016/j.giq.2022.101723</w:t>
      </w:r>
    </w:p>
    <w:p w14:paraId="4BCAAE6A" w14:textId="77777777" w:rsidR="00412029" w:rsidRPr="00412029" w:rsidRDefault="00412029" w:rsidP="00412029">
      <w:pPr>
        <w:pStyle w:val="Bibliography"/>
      </w:pPr>
      <w:r w:rsidRPr="00412029">
        <w:t xml:space="preserve">Hopkins, D. J., &amp; </w:t>
      </w:r>
      <w:proofErr w:type="spellStart"/>
      <w:r w:rsidRPr="00412029">
        <w:t>Pettingill</w:t>
      </w:r>
      <w:proofErr w:type="spellEnd"/>
      <w:r w:rsidRPr="00412029">
        <w:t xml:space="preserve">, L. M. (2018). Retrospective Voting in Big-City US Mayoral Elections. </w:t>
      </w:r>
      <w:r w:rsidRPr="00412029">
        <w:rPr>
          <w:i/>
          <w:iCs/>
        </w:rPr>
        <w:t>Political Science Research and Methods</w:t>
      </w:r>
      <w:r w:rsidRPr="00412029">
        <w:t xml:space="preserve">, </w:t>
      </w:r>
      <w:r w:rsidRPr="00412029">
        <w:rPr>
          <w:i/>
          <w:iCs/>
        </w:rPr>
        <w:t>6</w:t>
      </w:r>
      <w:r w:rsidRPr="00412029">
        <w:t>(4), 697–714. https://doi.org/10.1017/psrm.2016.54</w:t>
      </w:r>
    </w:p>
    <w:p w14:paraId="3991EAB4" w14:textId="77777777" w:rsidR="00412029" w:rsidRPr="00412029" w:rsidRDefault="00412029" w:rsidP="00412029">
      <w:pPr>
        <w:pStyle w:val="Bibliography"/>
      </w:pPr>
      <w:proofErr w:type="spellStart"/>
      <w:r w:rsidRPr="00412029">
        <w:t>Jilke</w:t>
      </w:r>
      <w:proofErr w:type="spellEnd"/>
      <w:r w:rsidRPr="00412029">
        <w:t xml:space="preserve">, S. (2018). Citizen satisfaction under changing political leadership: The role of partisan motivated reasoning. </w:t>
      </w:r>
      <w:r w:rsidRPr="00412029">
        <w:rPr>
          <w:i/>
          <w:iCs/>
        </w:rPr>
        <w:t>Governance</w:t>
      </w:r>
      <w:r w:rsidRPr="00412029">
        <w:t xml:space="preserve">, </w:t>
      </w:r>
      <w:r w:rsidRPr="00412029">
        <w:rPr>
          <w:i/>
          <w:iCs/>
        </w:rPr>
        <w:t>31</w:t>
      </w:r>
      <w:r w:rsidRPr="00412029">
        <w:t>(3), 515–533. https://doi.org/10.1111/gove.12317</w:t>
      </w:r>
    </w:p>
    <w:p w14:paraId="2DE5DF32" w14:textId="77777777" w:rsidR="00412029" w:rsidRPr="00412029" w:rsidRDefault="00412029" w:rsidP="00412029">
      <w:pPr>
        <w:pStyle w:val="Bibliography"/>
      </w:pPr>
      <w:r w:rsidRPr="00412029">
        <w:t xml:space="preserve">Karol, D., &amp; Miguel, E. (2007). The Electoral Cost of War: Iraq Casualties and the 2004 U.S. Presidential Election. </w:t>
      </w:r>
      <w:r w:rsidRPr="00412029">
        <w:rPr>
          <w:i/>
          <w:iCs/>
        </w:rPr>
        <w:t>The Journal of Politics</w:t>
      </w:r>
      <w:r w:rsidRPr="00412029">
        <w:t xml:space="preserve">, </w:t>
      </w:r>
      <w:r w:rsidRPr="00412029">
        <w:rPr>
          <w:i/>
          <w:iCs/>
        </w:rPr>
        <w:t>69</w:t>
      </w:r>
      <w:r w:rsidRPr="00412029">
        <w:t>(3), 633–648. https://doi.org/10.1111/j.1468-2508.2007.00564.x</w:t>
      </w:r>
    </w:p>
    <w:p w14:paraId="66B058E7" w14:textId="77777777" w:rsidR="00412029" w:rsidRPr="00412029" w:rsidRDefault="00412029" w:rsidP="00412029">
      <w:pPr>
        <w:pStyle w:val="Bibliography"/>
      </w:pPr>
      <w:proofErr w:type="spellStart"/>
      <w:r w:rsidRPr="00412029">
        <w:t>Kiewiet</w:t>
      </w:r>
      <w:proofErr w:type="spellEnd"/>
      <w:r w:rsidRPr="00412029">
        <w:t xml:space="preserve">, D. R. (2000). Economic retrospective voting and incentives for policymaking1An earlier version of this paper was delivered at the Conference on Economics and Elections: Comparisons and Conclusions, </w:t>
      </w:r>
      <w:proofErr w:type="spellStart"/>
      <w:r w:rsidRPr="00412029">
        <w:t>Sandbjerg</w:t>
      </w:r>
      <w:proofErr w:type="spellEnd"/>
      <w:r w:rsidRPr="00412029">
        <w:t xml:space="preserve">, Denmark, 23–26 August 1998. I would like to thank Mike Alvarez, Frank Baumgartner, Sam </w:t>
      </w:r>
      <w:proofErr w:type="spellStart"/>
      <w:r w:rsidRPr="00412029">
        <w:t>Kernell</w:t>
      </w:r>
      <w:proofErr w:type="spellEnd"/>
      <w:r w:rsidRPr="00412029">
        <w:t xml:space="preserve">, John Ledyard, Michael Lewis-Beck, Lynn Maurer, Donald Wittman, and especially Martin </w:t>
      </w:r>
      <w:proofErr w:type="spellStart"/>
      <w:r w:rsidRPr="00412029">
        <w:t>Paldam</w:t>
      </w:r>
      <w:proofErr w:type="spellEnd"/>
      <w:r w:rsidRPr="00412029">
        <w:t xml:space="preserve"> for their comments and criticisms.1. </w:t>
      </w:r>
      <w:r w:rsidRPr="00412029">
        <w:rPr>
          <w:i/>
          <w:iCs/>
        </w:rPr>
        <w:t>Electoral Studies</w:t>
      </w:r>
      <w:r w:rsidRPr="00412029">
        <w:t xml:space="preserve">, </w:t>
      </w:r>
      <w:r w:rsidRPr="00412029">
        <w:rPr>
          <w:i/>
          <w:iCs/>
        </w:rPr>
        <w:t>19</w:t>
      </w:r>
      <w:r w:rsidRPr="00412029">
        <w:t>(2), 427–444. https://doi.org/10.1016/S0261-3794(99)00060-8</w:t>
      </w:r>
    </w:p>
    <w:p w14:paraId="164F8AA9" w14:textId="77777777" w:rsidR="00412029" w:rsidRPr="00412029" w:rsidRDefault="00412029" w:rsidP="00412029">
      <w:pPr>
        <w:pStyle w:val="Bibliography"/>
      </w:pPr>
      <w:r w:rsidRPr="00412029">
        <w:t xml:space="preserve">Kramer, G. H. (1971). Short-Term Fluctuations in U.S. Voting Behavior, 1896–1964. </w:t>
      </w:r>
      <w:r w:rsidRPr="00412029">
        <w:rPr>
          <w:i/>
          <w:iCs/>
        </w:rPr>
        <w:t>American Political Science Review</w:t>
      </w:r>
      <w:r w:rsidRPr="00412029">
        <w:t xml:space="preserve">, </w:t>
      </w:r>
      <w:r w:rsidRPr="00412029">
        <w:rPr>
          <w:i/>
          <w:iCs/>
        </w:rPr>
        <w:t>65</w:t>
      </w:r>
      <w:r w:rsidRPr="00412029">
        <w:t>(1), 131–143. https://doi.org/10.2307/1955049</w:t>
      </w:r>
    </w:p>
    <w:p w14:paraId="048728B9" w14:textId="77777777" w:rsidR="00412029" w:rsidRPr="00412029" w:rsidRDefault="00412029" w:rsidP="00412029">
      <w:pPr>
        <w:pStyle w:val="Bibliography"/>
      </w:pPr>
      <w:proofErr w:type="spellStart"/>
      <w:r w:rsidRPr="00412029">
        <w:t>Kriner</w:t>
      </w:r>
      <w:proofErr w:type="spellEnd"/>
      <w:r w:rsidRPr="00412029">
        <w:t xml:space="preserve">, D. L., &amp; Shen, F. X. (2007). Iraq Casualties and the 2006 Senate Elections. </w:t>
      </w:r>
      <w:r w:rsidRPr="00412029">
        <w:rPr>
          <w:i/>
          <w:iCs/>
        </w:rPr>
        <w:t>Legislative Studies Quarterly</w:t>
      </w:r>
      <w:r w:rsidRPr="00412029">
        <w:t xml:space="preserve">, </w:t>
      </w:r>
      <w:r w:rsidRPr="00412029">
        <w:rPr>
          <w:i/>
          <w:iCs/>
        </w:rPr>
        <w:t>32</w:t>
      </w:r>
      <w:r w:rsidRPr="00412029">
        <w:t>(4), 507–530. https://doi.org/10.3162/036298007782398486</w:t>
      </w:r>
    </w:p>
    <w:p w14:paraId="503204F1" w14:textId="77777777" w:rsidR="00412029" w:rsidRPr="00412029" w:rsidRDefault="00412029" w:rsidP="00412029">
      <w:pPr>
        <w:pStyle w:val="Bibliography"/>
        <w:rPr>
          <w:lang w:val="pt-BR"/>
        </w:rPr>
      </w:pPr>
      <w:r w:rsidRPr="00412029">
        <w:t xml:space="preserve">Lenz, G. S. (2013). </w:t>
      </w:r>
      <w:r w:rsidRPr="00412029">
        <w:rPr>
          <w:i/>
          <w:iCs/>
        </w:rPr>
        <w:t xml:space="preserve">Follow the </w:t>
      </w:r>
      <w:proofErr w:type="gramStart"/>
      <w:r w:rsidRPr="00412029">
        <w:rPr>
          <w:i/>
          <w:iCs/>
        </w:rPr>
        <w:t>Leader?:</w:t>
      </w:r>
      <w:proofErr w:type="gramEnd"/>
      <w:r w:rsidRPr="00412029">
        <w:rPr>
          <w:i/>
          <w:iCs/>
        </w:rPr>
        <w:t xml:space="preserve"> How Voters Respond to Politicians’ Policies and Performance</w:t>
      </w:r>
      <w:r w:rsidRPr="00412029">
        <w:t xml:space="preserve">. </w:t>
      </w:r>
      <w:proofErr w:type="spellStart"/>
      <w:r w:rsidRPr="00412029">
        <w:rPr>
          <w:lang w:val="pt-BR"/>
        </w:rPr>
        <w:t>University</w:t>
      </w:r>
      <w:proofErr w:type="spellEnd"/>
      <w:r w:rsidRPr="00412029">
        <w:rPr>
          <w:lang w:val="pt-BR"/>
        </w:rPr>
        <w:t xml:space="preserve"> </w:t>
      </w:r>
      <w:proofErr w:type="spellStart"/>
      <w:r w:rsidRPr="00412029">
        <w:rPr>
          <w:lang w:val="pt-BR"/>
        </w:rPr>
        <w:t>of</w:t>
      </w:r>
      <w:proofErr w:type="spellEnd"/>
      <w:r w:rsidRPr="00412029">
        <w:rPr>
          <w:lang w:val="pt-BR"/>
        </w:rPr>
        <w:t xml:space="preserve"> Chicago Press.</w:t>
      </w:r>
    </w:p>
    <w:p w14:paraId="29F4732F" w14:textId="77777777" w:rsidR="00412029" w:rsidRPr="00412029" w:rsidRDefault="00412029" w:rsidP="00412029">
      <w:pPr>
        <w:pStyle w:val="Bibliography"/>
      </w:pPr>
      <w:r w:rsidRPr="00412029">
        <w:rPr>
          <w:lang w:val="pt-BR"/>
        </w:rPr>
        <w:lastRenderedPageBreak/>
        <w:t xml:space="preserve">Limongi, F., &amp; Mesquita, L. (2008). Estratégia partidária e preferência dos eleitores: As eleições municipais em São Paulo entre 1985 e 2004. </w:t>
      </w:r>
      <w:proofErr w:type="spellStart"/>
      <w:r w:rsidRPr="00412029">
        <w:rPr>
          <w:i/>
          <w:iCs/>
        </w:rPr>
        <w:t>Novos</w:t>
      </w:r>
      <w:proofErr w:type="spellEnd"/>
      <w:r w:rsidRPr="00412029">
        <w:rPr>
          <w:i/>
          <w:iCs/>
        </w:rPr>
        <w:t xml:space="preserve"> </w:t>
      </w:r>
      <w:proofErr w:type="spellStart"/>
      <w:r w:rsidRPr="00412029">
        <w:rPr>
          <w:i/>
          <w:iCs/>
        </w:rPr>
        <w:t>Estudos</w:t>
      </w:r>
      <w:proofErr w:type="spellEnd"/>
      <w:r w:rsidRPr="00412029">
        <w:rPr>
          <w:i/>
          <w:iCs/>
        </w:rPr>
        <w:t xml:space="preserve"> CEBRAP</w:t>
      </w:r>
      <w:r w:rsidRPr="00412029">
        <w:t xml:space="preserve">, </w:t>
      </w:r>
      <w:r w:rsidRPr="00412029">
        <w:rPr>
          <w:i/>
          <w:iCs/>
        </w:rPr>
        <w:t>81</w:t>
      </w:r>
      <w:r w:rsidRPr="00412029">
        <w:t>, 49–67.</w:t>
      </w:r>
    </w:p>
    <w:p w14:paraId="21F39F8D" w14:textId="77777777" w:rsidR="00412029" w:rsidRPr="00412029" w:rsidRDefault="00412029" w:rsidP="00412029">
      <w:pPr>
        <w:pStyle w:val="Bibliography"/>
      </w:pPr>
      <w:r w:rsidRPr="00412029">
        <w:t xml:space="preserve">Marvel, J. D. (2015). Public Opinion and Public Sector Performance: Are Individuals’ Beliefs About Performance Evidence-Based or the Product of Anti–Public Sector Bias? </w:t>
      </w:r>
      <w:r w:rsidRPr="00412029">
        <w:rPr>
          <w:i/>
          <w:iCs/>
        </w:rPr>
        <w:t>International Public Management Journal</w:t>
      </w:r>
      <w:r w:rsidRPr="00412029">
        <w:t xml:space="preserve">, </w:t>
      </w:r>
      <w:r w:rsidRPr="00412029">
        <w:rPr>
          <w:i/>
          <w:iCs/>
        </w:rPr>
        <w:t>18</w:t>
      </w:r>
      <w:r w:rsidRPr="00412029">
        <w:t>(2), 209–227. https://doi.org/10.1080/10967494.2014.996627</w:t>
      </w:r>
    </w:p>
    <w:p w14:paraId="1A3CB705" w14:textId="77777777" w:rsidR="00412029" w:rsidRPr="00412029" w:rsidRDefault="00412029" w:rsidP="00412029">
      <w:pPr>
        <w:pStyle w:val="Bibliography"/>
      </w:pPr>
      <w:r w:rsidRPr="00412029">
        <w:t xml:space="preserve">Marvel, J. D. (2016). Unconscious Bias in Citizens’ Evaluations of Public Sector Performance. </w:t>
      </w:r>
      <w:r w:rsidRPr="00412029">
        <w:rPr>
          <w:i/>
          <w:iCs/>
        </w:rPr>
        <w:t>Journal of Public Administration Research and Theory</w:t>
      </w:r>
      <w:r w:rsidRPr="00412029">
        <w:t xml:space="preserve">, </w:t>
      </w:r>
      <w:r w:rsidRPr="00412029">
        <w:rPr>
          <w:i/>
          <w:iCs/>
        </w:rPr>
        <w:t>26</w:t>
      </w:r>
      <w:r w:rsidRPr="00412029">
        <w:t>(1), 143–158. https://doi.org/10.1093/jopart/muu053</w:t>
      </w:r>
    </w:p>
    <w:p w14:paraId="264609A5" w14:textId="77777777" w:rsidR="00412029" w:rsidRPr="00412029" w:rsidRDefault="00412029" w:rsidP="00412029">
      <w:pPr>
        <w:pStyle w:val="Bibliography"/>
      </w:pPr>
      <w:r w:rsidRPr="00412029">
        <w:t xml:space="preserve">Mullin, M., &amp; Hansen, K. (2023). Local News and the Electoral Incentive to Invest in Infrastructure. </w:t>
      </w:r>
      <w:r w:rsidRPr="00412029">
        <w:rPr>
          <w:i/>
          <w:iCs/>
        </w:rPr>
        <w:t>American Political Science Review</w:t>
      </w:r>
      <w:r w:rsidRPr="00412029">
        <w:t xml:space="preserve">, </w:t>
      </w:r>
      <w:r w:rsidRPr="00412029">
        <w:rPr>
          <w:i/>
          <w:iCs/>
        </w:rPr>
        <w:t>117</w:t>
      </w:r>
      <w:r w:rsidRPr="00412029">
        <w:t>(3), 1145–1150.</w:t>
      </w:r>
    </w:p>
    <w:p w14:paraId="67ECB5B6" w14:textId="77777777" w:rsidR="00412029" w:rsidRPr="00412029" w:rsidRDefault="00412029" w:rsidP="00412029">
      <w:pPr>
        <w:pStyle w:val="Bibliography"/>
        <w:rPr>
          <w:lang w:val="pt-BR"/>
        </w:rPr>
      </w:pPr>
      <w:r w:rsidRPr="00412029">
        <w:t xml:space="preserve">Murphy, A. K., &amp; Wallace, D. (2010). Opportunities for Making Ends Meet and Upward Mobility: Differences in Organizational Deprivation Across Urban and Suburban Poor Neighborhoods. </w:t>
      </w:r>
      <w:r w:rsidRPr="00412029">
        <w:rPr>
          <w:i/>
          <w:iCs/>
          <w:lang w:val="pt-BR"/>
        </w:rPr>
        <w:t xml:space="preserve">Social Science </w:t>
      </w:r>
      <w:proofErr w:type="spellStart"/>
      <w:r w:rsidRPr="00412029">
        <w:rPr>
          <w:i/>
          <w:iCs/>
          <w:lang w:val="pt-BR"/>
        </w:rPr>
        <w:t>Quarterly</w:t>
      </w:r>
      <w:proofErr w:type="spellEnd"/>
      <w:r w:rsidRPr="00412029">
        <w:rPr>
          <w:lang w:val="pt-BR"/>
        </w:rPr>
        <w:t xml:space="preserve">, </w:t>
      </w:r>
      <w:r w:rsidRPr="00412029">
        <w:rPr>
          <w:i/>
          <w:iCs/>
          <w:lang w:val="pt-BR"/>
        </w:rPr>
        <w:t>91</w:t>
      </w:r>
      <w:r w:rsidRPr="00412029">
        <w:rPr>
          <w:lang w:val="pt-BR"/>
        </w:rPr>
        <w:t>(5), 1164–1186. https://doi.org/10.1111/j.1540-6237.2010.00726.x</w:t>
      </w:r>
    </w:p>
    <w:p w14:paraId="7F03FED9" w14:textId="77777777" w:rsidR="00412029" w:rsidRPr="00412029" w:rsidRDefault="00412029" w:rsidP="00412029">
      <w:pPr>
        <w:pStyle w:val="Bibliography"/>
        <w:rPr>
          <w:lang w:val="pt-BR"/>
        </w:rPr>
      </w:pPr>
      <w:r w:rsidRPr="00412029">
        <w:rPr>
          <w:lang w:val="pt-BR"/>
        </w:rPr>
        <w:t xml:space="preserve">Neri, M. (2010). </w:t>
      </w:r>
      <w:r w:rsidRPr="00412029">
        <w:rPr>
          <w:i/>
          <w:iCs/>
          <w:lang w:val="pt-BR"/>
        </w:rPr>
        <w:t>Impactos do Bilhete Único Intermunicipal no Grande Rio</w:t>
      </w:r>
      <w:r w:rsidRPr="00412029">
        <w:rPr>
          <w:lang w:val="pt-BR"/>
        </w:rPr>
        <w:t>. FGV/CPS.</w:t>
      </w:r>
    </w:p>
    <w:p w14:paraId="5754D513" w14:textId="77777777" w:rsidR="00412029" w:rsidRPr="00412029" w:rsidRDefault="00412029" w:rsidP="00412029">
      <w:pPr>
        <w:pStyle w:val="Bibliography"/>
      </w:pPr>
      <w:r w:rsidRPr="00412029">
        <w:rPr>
          <w:lang w:val="pt-BR"/>
        </w:rPr>
        <w:t xml:space="preserve">Neves, F. H. (2015). Planejamento de equipamentos urbanos comunitários de educação: Algumas reflexões. </w:t>
      </w:r>
      <w:proofErr w:type="spellStart"/>
      <w:r w:rsidRPr="00412029">
        <w:rPr>
          <w:i/>
          <w:iCs/>
        </w:rPr>
        <w:t>Cadernos</w:t>
      </w:r>
      <w:proofErr w:type="spellEnd"/>
      <w:r w:rsidRPr="00412029">
        <w:rPr>
          <w:i/>
          <w:iCs/>
        </w:rPr>
        <w:t xml:space="preserve"> </w:t>
      </w:r>
      <w:proofErr w:type="spellStart"/>
      <w:r w:rsidRPr="00412029">
        <w:rPr>
          <w:i/>
          <w:iCs/>
        </w:rPr>
        <w:t>Metrópole</w:t>
      </w:r>
      <w:proofErr w:type="spellEnd"/>
      <w:r w:rsidRPr="00412029">
        <w:t xml:space="preserve">, </w:t>
      </w:r>
      <w:r w:rsidRPr="00412029">
        <w:rPr>
          <w:i/>
          <w:iCs/>
        </w:rPr>
        <w:t>17</w:t>
      </w:r>
      <w:r w:rsidRPr="00412029">
        <w:t>, 503–516.</w:t>
      </w:r>
    </w:p>
    <w:p w14:paraId="6C7F18AF" w14:textId="77777777" w:rsidR="00412029" w:rsidRPr="00412029" w:rsidRDefault="00412029" w:rsidP="00412029">
      <w:pPr>
        <w:pStyle w:val="Bibliography"/>
      </w:pPr>
      <w:proofErr w:type="spellStart"/>
      <w:r w:rsidRPr="00412029">
        <w:t>Niskanen</w:t>
      </w:r>
      <w:proofErr w:type="spellEnd"/>
      <w:r w:rsidRPr="00412029">
        <w:t xml:space="preserve">, W. (1975). </w:t>
      </w:r>
      <w:r w:rsidRPr="00412029">
        <w:rPr>
          <w:i/>
          <w:iCs/>
        </w:rPr>
        <w:t>Economic and fiscal effects on the popular vote for the President</w:t>
      </w:r>
      <w:r w:rsidRPr="00412029">
        <w:t>. Graduate School of Public Policy Working Paper, number 25, University of California - Berkeley.</w:t>
      </w:r>
    </w:p>
    <w:p w14:paraId="62E2E928" w14:textId="77777777" w:rsidR="00412029" w:rsidRPr="00412029" w:rsidRDefault="00412029" w:rsidP="00412029">
      <w:pPr>
        <w:pStyle w:val="Bibliography"/>
      </w:pPr>
      <w:proofErr w:type="spellStart"/>
      <w:r w:rsidRPr="00412029">
        <w:t>Nnene</w:t>
      </w:r>
      <w:proofErr w:type="spellEnd"/>
      <w:r w:rsidRPr="00412029">
        <w:t xml:space="preserve">, O. A., </w:t>
      </w:r>
      <w:proofErr w:type="spellStart"/>
      <w:r w:rsidRPr="00412029">
        <w:t>Zuidgeest</w:t>
      </w:r>
      <w:proofErr w:type="spellEnd"/>
      <w:r w:rsidRPr="00412029">
        <w:t xml:space="preserve">, M. H. P., &amp; Joubert, J. W. (2023). BRT network design for transit cost reduction in Cape Town, South Africa. </w:t>
      </w:r>
      <w:r w:rsidRPr="00412029">
        <w:rPr>
          <w:i/>
          <w:iCs/>
        </w:rPr>
        <w:t>Journal of Public Transportation</w:t>
      </w:r>
      <w:r w:rsidRPr="00412029">
        <w:t xml:space="preserve">, </w:t>
      </w:r>
      <w:r w:rsidRPr="00412029">
        <w:rPr>
          <w:i/>
          <w:iCs/>
        </w:rPr>
        <w:t>25</w:t>
      </w:r>
      <w:r w:rsidRPr="00412029">
        <w:t>. https://doi.org/10.1016/j.jpubtr.2023.100042</w:t>
      </w:r>
    </w:p>
    <w:p w14:paraId="36179FD7" w14:textId="77777777" w:rsidR="00412029" w:rsidRPr="00412029" w:rsidRDefault="00412029" w:rsidP="00412029">
      <w:pPr>
        <w:pStyle w:val="Bibliography"/>
      </w:pPr>
      <w:r w:rsidRPr="00412029">
        <w:t xml:space="preserve">Polzin, S. E. (2018). Just Around the Corner: The Future of U.S. Public Transportation. </w:t>
      </w:r>
      <w:r w:rsidRPr="00412029">
        <w:rPr>
          <w:i/>
          <w:iCs/>
        </w:rPr>
        <w:t>Journal of Public Transportation</w:t>
      </w:r>
      <w:r w:rsidRPr="00412029">
        <w:t xml:space="preserve">, </w:t>
      </w:r>
      <w:r w:rsidRPr="00412029">
        <w:rPr>
          <w:i/>
          <w:iCs/>
        </w:rPr>
        <w:t>21</w:t>
      </w:r>
      <w:r w:rsidRPr="00412029">
        <w:t>(1), 43–52.</w:t>
      </w:r>
    </w:p>
    <w:p w14:paraId="435BBBB2" w14:textId="77777777" w:rsidR="00412029" w:rsidRPr="00412029" w:rsidRDefault="00412029" w:rsidP="00412029">
      <w:pPr>
        <w:pStyle w:val="Bibliography"/>
      </w:pPr>
      <w:r w:rsidRPr="00412029">
        <w:t xml:space="preserve">Rose-Ackerman, S. (1980). Risk Taking and Reelection: Does Federalism Promote Innovation? </w:t>
      </w:r>
      <w:r w:rsidRPr="00412029">
        <w:rPr>
          <w:i/>
          <w:iCs/>
        </w:rPr>
        <w:t>The Journal of Legal Studies</w:t>
      </w:r>
      <w:r w:rsidRPr="00412029">
        <w:t xml:space="preserve">, </w:t>
      </w:r>
      <w:r w:rsidRPr="00412029">
        <w:rPr>
          <w:i/>
          <w:iCs/>
        </w:rPr>
        <w:t>9</w:t>
      </w:r>
      <w:r w:rsidRPr="00412029">
        <w:t>(3), 593–616. https://doi.org/10.1086/467654</w:t>
      </w:r>
    </w:p>
    <w:p w14:paraId="313C652C" w14:textId="77777777" w:rsidR="00412029" w:rsidRPr="00412029" w:rsidRDefault="00412029" w:rsidP="00412029">
      <w:pPr>
        <w:pStyle w:val="Bibliography"/>
        <w:rPr>
          <w:lang w:val="pt-BR"/>
        </w:rPr>
      </w:pPr>
      <w:r w:rsidRPr="00412029">
        <w:t xml:space="preserve">São Paulo. </w:t>
      </w:r>
      <w:r w:rsidRPr="00412029">
        <w:rPr>
          <w:lang w:val="pt-BR"/>
        </w:rPr>
        <w:t xml:space="preserve">(2004). </w:t>
      </w:r>
      <w:r w:rsidRPr="00412029">
        <w:rPr>
          <w:i/>
          <w:iCs/>
          <w:lang w:val="pt-BR"/>
        </w:rPr>
        <w:t>São Paulo interligado: O plano de transporte público urbano em implantação na gestão 2001-2004</w:t>
      </w:r>
      <w:r w:rsidRPr="00412029">
        <w:rPr>
          <w:lang w:val="pt-BR"/>
        </w:rPr>
        <w:t>. Secretaria Municipal de Transportes.</w:t>
      </w:r>
    </w:p>
    <w:p w14:paraId="750203BA" w14:textId="77777777" w:rsidR="00412029" w:rsidRPr="00412029" w:rsidRDefault="00412029" w:rsidP="00412029">
      <w:pPr>
        <w:pStyle w:val="Bibliography"/>
      </w:pPr>
      <w:proofErr w:type="spellStart"/>
      <w:r w:rsidRPr="00412029">
        <w:rPr>
          <w:lang w:val="pt-BR"/>
        </w:rPr>
        <w:lastRenderedPageBreak/>
        <w:t>Sigelman</w:t>
      </w:r>
      <w:proofErr w:type="spellEnd"/>
      <w:r w:rsidRPr="00412029">
        <w:rPr>
          <w:lang w:val="pt-BR"/>
        </w:rPr>
        <w:t xml:space="preserve">, L., </w:t>
      </w:r>
      <w:proofErr w:type="spellStart"/>
      <w:r w:rsidRPr="00412029">
        <w:rPr>
          <w:lang w:val="pt-BR"/>
        </w:rPr>
        <w:t>Sigelman</w:t>
      </w:r>
      <w:proofErr w:type="spellEnd"/>
      <w:r w:rsidRPr="00412029">
        <w:rPr>
          <w:lang w:val="pt-BR"/>
        </w:rPr>
        <w:t xml:space="preserve">, C. K., &amp; Bullock, D. (1991). </w:t>
      </w:r>
      <w:r w:rsidRPr="00412029">
        <w:t xml:space="preserve">Reconsidering pocketbook voting: An experimental approach. </w:t>
      </w:r>
      <w:r w:rsidRPr="00412029">
        <w:rPr>
          <w:i/>
          <w:iCs/>
        </w:rPr>
        <w:t>Political Behavior</w:t>
      </w:r>
      <w:r w:rsidRPr="00412029">
        <w:t xml:space="preserve">, </w:t>
      </w:r>
      <w:r w:rsidRPr="00412029">
        <w:rPr>
          <w:i/>
          <w:iCs/>
        </w:rPr>
        <w:t>13</w:t>
      </w:r>
      <w:r w:rsidRPr="00412029">
        <w:t>(2), 129–149. https://doi.org/10.1007/BF00992293</w:t>
      </w:r>
    </w:p>
    <w:p w14:paraId="6955DFFE" w14:textId="77777777" w:rsidR="00412029" w:rsidRPr="00412029" w:rsidRDefault="00412029" w:rsidP="00412029">
      <w:pPr>
        <w:pStyle w:val="Bibliography"/>
      </w:pPr>
      <w:r w:rsidRPr="00412029">
        <w:t xml:space="preserve">Swindell, D., &amp; Kelly, J. M. (2000). Linking Citizen Satisfaction Data to Performance Measures: A Preliminary Evaluation. </w:t>
      </w:r>
      <w:r w:rsidRPr="00412029">
        <w:rPr>
          <w:i/>
          <w:iCs/>
        </w:rPr>
        <w:t>Public Performance &amp; Management Review</w:t>
      </w:r>
      <w:r w:rsidRPr="00412029">
        <w:t xml:space="preserve">, </w:t>
      </w:r>
      <w:r w:rsidRPr="00412029">
        <w:rPr>
          <w:i/>
          <w:iCs/>
        </w:rPr>
        <w:t>24</w:t>
      </w:r>
      <w:r w:rsidRPr="00412029">
        <w:t>(1), 30–52. https://doi.org/10.2307/3381075</w:t>
      </w:r>
    </w:p>
    <w:p w14:paraId="1E7F02FE" w14:textId="77777777" w:rsidR="00412029" w:rsidRPr="00412029" w:rsidRDefault="00412029" w:rsidP="00412029">
      <w:pPr>
        <w:pStyle w:val="Bibliography"/>
      </w:pPr>
      <w:r w:rsidRPr="00412029">
        <w:t xml:space="preserve">Van </w:t>
      </w:r>
      <w:proofErr w:type="spellStart"/>
      <w:r w:rsidRPr="00412029">
        <w:t>Ryzin</w:t>
      </w:r>
      <w:proofErr w:type="spellEnd"/>
      <w:r w:rsidRPr="00412029">
        <w:t xml:space="preserve">, G. G., </w:t>
      </w:r>
      <w:proofErr w:type="spellStart"/>
      <w:r w:rsidRPr="00412029">
        <w:t>Immerwahr</w:t>
      </w:r>
      <w:proofErr w:type="spellEnd"/>
      <w:r w:rsidRPr="00412029">
        <w:t xml:space="preserve">, S., &amp; Altman, S. (2008). Measuring Street Cleanliness: A Comparison of New York City’s Scorecard and Results from a Citizen Survey. </w:t>
      </w:r>
      <w:r w:rsidRPr="00412029">
        <w:rPr>
          <w:i/>
          <w:iCs/>
        </w:rPr>
        <w:t>Public Administration Review</w:t>
      </w:r>
      <w:r w:rsidRPr="00412029">
        <w:t xml:space="preserve">, </w:t>
      </w:r>
      <w:r w:rsidRPr="00412029">
        <w:rPr>
          <w:i/>
          <w:iCs/>
        </w:rPr>
        <w:t>68</w:t>
      </w:r>
      <w:r w:rsidRPr="00412029">
        <w:t>(2), 295–303. https://doi.org/10.1111/j.1540-6210.2007.00863.x</w:t>
      </w:r>
    </w:p>
    <w:p w14:paraId="09A29D73" w14:textId="77777777" w:rsidR="00412029" w:rsidRPr="00412029" w:rsidRDefault="00412029" w:rsidP="00412029">
      <w:pPr>
        <w:pStyle w:val="Bibliography"/>
      </w:pPr>
      <w:r w:rsidRPr="00412029">
        <w:t xml:space="preserve">Watkins, K. (2018). Does the Future of Mobility Depend on Public Transportation? </w:t>
      </w:r>
      <w:r w:rsidRPr="00412029">
        <w:rPr>
          <w:i/>
          <w:iCs/>
        </w:rPr>
        <w:t>Journal of Public Transportation</w:t>
      </w:r>
      <w:r w:rsidRPr="00412029">
        <w:t xml:space="preserve">, </w:t>
      </w:r>
      <w:r w:rsidRPr="00412029">
        <w:rPr>
          <w:i/>
          <w:iCs/>
        </w:rPr>
        <w:t>21</w:t>
      </w:r>
      <w:r w:rsidRPr="00412029">
        <w:t>(1), 53–59.</w:t>
      </w:r>
    </w:p>
    <w:p w14:paraId="3E7EE9B8" w14:textId="77777777" w:rsidR="00412029" w:rsidRPr="00412029" w:rsidRDefault="00412029" w:rsidP="00412029">
      <w:pPr>
        <w:pStyle w:val="Bibliography"/>
      </w:pPr>
      <w:proofErr w:type="spellStart"/>
      <w:r w:rsidRPr="00412029">
        <w:t>Weingast</w:t>
      </w:r>
      <w:proofErr w:type="spellEnd"/>
      <w:r w:rsidRPr="00412029">
        <w:t xml:space="preserve">, B. R., </w:t>
      </w:r>
      <w:proofErr w:type="spellStart"/>
      <w:r w:rsidRPr="00412029">
        <w:t>Shepsle</w:t>
      </w:r>
      <w:proofErr w:type="spellEnd"/>
      <w:r w:rsidRPr="00412029">
        <w:t xml:space="preserve">, K. A., &amp; Johnsen, C. (1981). The Political Economy of Benefits and Costs: A Neoclassical Approach to Distributive Politics. </w:t>
      </w:r>
      <w:r w:rsidRPr="00412029">
        <w:rPr>
          <w:i/>
          <w:iCs/>
        </w:rPr>
        <w:t>Journal of Political Economy</w:t>
      </w:r>
      <w:r w:rsidRPr="00412029">
        <w:t xml:space="preserve">, </w:t>
      </w:r>
      <w:r w:rsidRPr="00412029">
        <w:rPr>
          <w:i/>
          <w:iCs/>
        </w:rPr>
        <w:t>89</w:t>
      </w:r>
      <w:r w:rsidRPr="00412029">
        <w:t>(4), 642–664.</w:t>
      </w:r>
    </w:p>
    <w:p w14:paraId="25D90060" w14:textId="77777777" w:rsidR="00412029" w:rsidRPr="00412029" w:rsidRDefault="00412029" w:rsidP="00412029">
      <w:pPr>
        <w:pStyle w:val="Bibliography"/>
      </w:pPr>
      <w:r w:rsidRPr="00412029">
        <w:t xml:space="preserve">Woodhouse, E. F. (2023). The distributive politics of privately financed infrastructure agreements. </w:t>
      </w:r>
      <w:r w:rsidRPr="00412029">
        <w:rPr>
          <w:i/>
          <w:iCs/>
        </w:rPr>
        <w:t>Governance</w:t>
      </w:r>
      <w:r w:rsidRPr="00412029">
        <w:t>. https://doi.org/10.1111/gove.12824</w:t>
      </w:r>
    </w:p>
    <w:p w14:paraId="10F03620" w14:textId="77777777" w:rsidR="00412029" w:rsidRPr="00412029" w:rsidRDefault="00412029" w:rsidP="00412029">
      <w:pPr>
        <w:pStyle w:val="Bibliography"/>
      </w:pPr>
      <w:proofErr w:type="spellStart"/>
      <w:r w:rsidRPr="00412029">
        <w:t>Woon</w:t>
      </w:r>
      <w:proofErr w:type="spellEnd"/>
      <w:r w:rsidRPr="00412029">
        <w:t xml:space="preserve">, J. (2012). Democratic Accountability and Retrospective Voting: A Laboratory Experiment. </w:t>
      </w:r>
      <w:r w:rsidRPr="00412029">
        <w:rPr>
          <w:i/>
          <w:iCs/>
        </w:rPr>
        <w:t>American Journal of Political Science</w:t>
      </w:r>
      <w:r w:rsidRPr="00412029">
        <w:t xml:space="preserve">, </w:t>
      </w:r>
      <w:r w:rsidRPr="00412029">
        <w:rPr>
          <w:i/>
          <w:iCs/>
        </w:rPr>
        <w:t>56</w:t>
      </w:r>
      <w:r w:rsidRPr="00412029">
        <w:t>(4), 913–930. https://doi.org/10.1111/j.1540-5907.2012.00594.x</w:t>
      </w:r>
    </w:p>
    <w:p w14:paraId="6A591588" w14:textId="77777777" w:rsidR="00412029" w:rsidRPr="00412029" w:rsidRDefault="00412029" w:rsidP="00412029">
      <w:pPr>
        <w:pStyle w:val="Bibliography"/>
      </w:pPr>
      <w:proofErr w:type="spellStart"/>
      <w:r w:rsidRPr="00412029">
        <w:t>Yoo</w:t>
      </w:r>
      <w:proofErr w:type="spellEnd"/>
      <w:r w:rsidRPr="00412029">
        <w:t xml:space="preserve">, S., &amp; Lee, J. (2023). Revising bus routes to improve access for the transport disadvantaged: A reinforcement learning approach. </w:t>
      </w:r>
      <w:r w:rsidRPr="00412029">
        <w:rPr>
          <w:i/>
          <w:iCs/>
        </w:rPr>
        <w:t>Journal of Public Transportation</w:t>
      </w:r>
      <w:r w:rsidRPr="00412029">
        <w:t xml:space="preserve">, </w:t>
      </w:r>
      <w:r w:rsidRPr="00412029">
        <w:rPr>
          <w:i/>
          <w:iCs/>
        </w:rPr>
        <w:t>25</w:t>
      </w:r>
      <w:r w:rsidRPr="00412029">
        <w:t>, 100041. https://doi.org/10.1016/j.jpubtr.2023.100041</w:t>
      </w:r>
    </w:p>
    <w:p w14:paraId="65074920" w14:textId="56E6D154" w:rsidR="00711EAC" w:rsidRDefault="000447EF" w:rsidP="00711EAC">
      <w:r>
        <w:fldChar w:fldCharType="end"/>
      </w:r>
    </w:p>
    <w:p w14:paraId="2DE09E44" w14:textId="07BEED3F" w:rsidR="00C757C6" w:rsidRDefault="00C757C6">
      <w:pPr>
        <w:spacing w:after="0" w:line="240" w:lineRule="auto"/>
      </w:pPr>
    </w:p>
    <w:sectPr w:rsidR="00C757C6">
      <w:footerReference w:type="even"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ão Victor Guedes Neto" w:date="2023-11-16T13:42:00Z" w:initials="MOU">
    <w:p w14:paraId="660F0A08" w14:textId="77777777" w:rsidR="00036C48" w:rsidRDefault="00036C48" w:rsidP="00E70A90">
      <w:r>
        <w:rPr>
          <w:rStyle w:val="CommentReference"/>
        </w:rPr>
        <w:annotationRef/>
      </w:r>
      <w:r>
        <w:rPr>
          <w:sz w:val="20"/>
          <w:szCs w:val="20"/>
        </w:rPr>
        <w:t>A fórmula é essa mesma?</w:t>
      </w:r>
    </w:p>
  </w:comment>
  <w:comment w:id="1" w:author="João Victor Guedes Neto" w:date="2023-11-16T13:41:00Z" w:initials="MOU">
    <w:p w14:paraId="609DBF0B" w14:textId="77777777" w:rsidR="00D41876" w:rsidRDefault="00036C48" w:rsidP="00DB53D3">
      <w:r>
        <w:rPr>
          <w:rStyle w:val="CommentReference"/>
        </w:rPr>
        <w:annotationRef/>
      </w:r>
      <w:r w:rsidR="00D41876">
        <w:rPr>
          <w:sz w:val="20"/>
          <w:szCs w:val="20"/>
        </w:rPr>
        <w:t>0.37 p.p. or 37 p.p.? O mesmo se aplica nas próximas vezes onde o tamanho do resultado é apresentado.</w:t>
      </w:r>
    </w:p>
  </w:comment>
  <w:comment w:id="4" w:author="João Victor Guedes Neto" w:date="2023-11-16T13:41:00Z" w:initials="MOU">
    <w:p w14:paraId="731C5433" w14:textId="7E647D22" w:rsidR="00036C48" w:rsidRDefault="00036C48" w:rsidP="00CF0B5D">
      <w:r>
        <w:rPr>
          <w:rStyle w:val="CommentReference"/>
        </w:rPr>
        <w:annotationRef/>
      </w:r>
      <w:r>
        <w:rPr>
          <w:color w:val="000000"/>
          <w:sz w:val="20"/>
          <w:szCs w:val="20"/>
        </w:rPr>
        <w:t>Existe info sobre significância estatística?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0F0A08" w15:done="0"/>
  <w15:commentEx w15:paraId="609DBF0B" w15:done="0"/>
  <w15:commentEx w15:paraId="731C54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47B622D" w16cex:dateUtc="2023-11-16T16:42:00Z"/>
  <w16cex:commentExtensible w16cex:durableId="6B0D340C" w16cex:dateUtc="2023-11-16T16:41:00Z"/>
  <w16cex:commentExtensible w16cex:durableId="5E0337A3" w16cex:dateUtc="2023-11-16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0F0A08" w16cid:durableId="147B622D"/>
  <w16cid:commentId w16cid:paraId="609DBF0B" w16cid:durableId="6B0D340C"/>
  <w16cid:commentId w16cid:paraId="731C5433" w16cid:durableId="5E0337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FD358" w14:textId="77777777" w:rsidR="00741260" w:rsidRDefault="00741260" w:rsidP="001F01FB">
      <w:pPr>
        <w:spacing w:after="0" w:line="240" w:lineRule="auto"/>
      </w:pPr>
      <w:r>
        <w:separator/>
      </w:r>
    </w:p>
  </w:endnote>
  <w:endnote w:type="continuationSeparator" w:id="0">
    <w:p w14:paraId="107DDCA8" w14:textId="77777777" w:rsidR="00741260" w:rsidRDefault="00741260" w:rsidP="001F0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5965199"/>
      <w:docPartObj>
        <w:docPartGallery w:val="Page Numbers (Bottom of Page)"/>
        <w:docPartUnique/>
      </w:docPartObj>
    </w:sdtPr>
    <w:sdtContent>
      <w:p w14:paraId="7EAA871E" w14:textId="77777777" w:rsidR="001F01FB" w:rsidRDefault="001F01FB" w:rsidP="00C6488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0E823B" w14:textId="77777777" w:rsidR="001F01FB" w:rsidRDefault="001F01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4176500"/>
      <w:docPartObj>
        <w:docPartGallery w:val="Page Numbers (Bottom of Page)"/>
        <w:docPartUnique/>
      </w:docPartObj>
    </w:sdtPr>
    <w:sdtContent>
      <w:p w14:paraId="14B8BED9" w14:textId="77777777" w:rsidR="001F01FB" w:rsidRDefault="001F01FB" w:rsidP="00C6488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7E38B1" w14:textId="77777777" w:rsidR="001F01FB" w:rsidRDefault="001F0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14E73" w14:textId="77777777" w:rsidR="00741260" w:rsidRDefault="00741260" w:rsidP="001F01FB">
      <w:pPr>
        <w:spacing w:after="0" w:line="240" w:lineRule="auto"/>
      </w:pPr>
      <w:r>
        <w:separator/>
      </w:r>
    </w:p>
  </w:footnote>
  <w:footnote w:type="continuationSeparator" w:id="0">
    <w:p w14:paraId="119A3CCC" w14:textId="77777777" w:rsidR="00741260" w:rsidRDefault="00741260" w:rsidP="001F0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A441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5705B6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826A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32209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584B2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989E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1CB9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12CE7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3ECD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DC6C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D34385"/>
    <w:multiLevelType w:val="hybridMultilevel"/>
    <w:tmpl w:val="FB602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FB01D0"/>
    <w:multiLevelType w:val="hybridMultilevel"/>
    <w:tmpl w:val="7C845D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30054647">
    <w:abstractNumId w:val="0"/>
  </w:num>
  <w:num w:numId="2" w16cid:durableId="1195967865">
    <w:abstractNumId w:val="1"/>
  </w:num>
  <w:num w:numId="3" w16cid:durableId="220214851">
    <w:abstractNumId w:val="2"/>
  </w:num>
  <w:num w:numId="4" w16cid:durableId="231549440">
    <w:abstractNumId w:val="3"/>
  </w:num>
  <w:num w:numId="5" w16cid:durableId="359356943">
    <w:abstractNumId w:val="8"/>
  </w:num>
  <w:num w:numId="6" w16cid:durableId="119223470">
    <w:abstractNumId w:val="4"/>
  </w:num>
  <w:num w:numId="7" w16cid:durableId="1771774745">
    <w:abstractNumId w:val="5"/>
  </w:num>
  <w:num w:numId="8" w16cid:durableId="334385245">
    <w:abstractNumId w:val="6"/>
  </w:num>
  <w:num w:numId="9" w16cid:durableId="92482865">
    <w:abstractNumId w:val="7"/>
  </w:num>
  <w:num w:numId="10" w16cid:durableId="541140747">
    <w:abstractNumId w:val="9"/>
  </w:num>
  <w:num w:numId="11" w16cid:durableId="1308820512">
    <w:abstractNumId w:val="11"/>
  </w:num>
  <w:num w:numId="12" w16cid:durableId="38155844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ão Victor Guedes Neto">
    <w15:presenceInfo w15:providerId="AD" w15:userId="S::joao.neto@fgv.br::dcb69c34-fd4e-4418-80f8-f280c0620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3BE"/>
    <w:rsid w:val="0000204C"/>
    <w:rsid w:val="000309CB"/>
    <w:rsid w:val="00031925"/>
    <w:rsid w:val="00036C48"/>
    <w:rsid w:val="000447EF"/>
    <w:rsid w:val="00076753"/>
    <w:rsid w:val="000854D9"/>
    <w:rsid w:val="00086556"/>
    <w:rsid w:val="00095ED0"/>
    <w:rsid w:val="000B0A93"/>
    <w:rsid w:val="000B330C"/>
    <w:rsid w:val="000C02AD"/>
    <w:rsid w:val="000F02F8"/>
    <w:rsid w:val="000F200A"/>
    <w:rsid w:val="001210DF"/>
    <w:rsid w:val="00135716"/>
    <w:rsid w:val="00142476"/>
    <w:rsid w:val="001446EE"/>
    <w:rsid w:val="00144ADE"/>
    <w:rsid w:val="00146369"/>
    <w:rsid w:val="001655B3"/>
    <w:rsid w:val="001A7F54"/>
    <w:rsid w:val="001C3CD4"/>
    <w:rsid w:val="001C5A10"/>
    <w:rsid w:val="001C7556"/>
    <w:rsid w:val="001D20D7"/>
    <w:rsid w:val="001D5BDA"/>
    <w:rsid w:val="001F01FB"/>
    <w:rsid w:val="001F51BF"/>
    <w:rsid w:val="00200D10"/>
    <w:rsid w:val="0021096A"/>
    <w:rsid w:val="00276E50"/>
    <w:rsid w:val="00295B06"/>
    <w:rsid w:val="002967FF"/>
    <w:rsid w:val="002B7EDC"/>
    <w:rsid w:val="002F3FE6"/>
    <w:rsid w:val="002F7415"/>
    <w:rsid w:val="002F7674"/>
    <w:rsid w:val="002F7BE5"/>
    <w:rsid w:val="003043BE"/>
    <w:rsid w:val="00304D4A"/>
    <w:rsid w:val="00313EB3"/>
    <w:rsid w:val="0034052C"/>
    <w:rsid w:val="003B41BB"/>
    <w:rsid w:val="003E056B"/>
    <w:rsid w:val="003E5A7A"/>
    <w:rsid w:val="003F3586"/>
    <w:rsid w:val="003F4CFB"/>
    <w:rsid w:val="00412029"/>
    <w:rsid w:val="00415EE9"/>
    <w:rsid w:val="00422BA6"/>
    <w:rsid w:val="00437AA0"/>
    <w:rsid w:val="00447216"/>
    <w:rsid w:val="00482830"/>
    <w:rsid w:val="0049227D"/>
    <w:rsid w:val="00496F3D"/>
    <w:rsid w:val="00497336"/>
    <w:rsid w:val="004A2372"/>
    <w:rsid w:val="004A31A2"/>
    <w:rsid w:val="004B12DE"/>
    <w:rsid w:val="004F2CDB"/>
    <w:rsid w:val="005120F3"/>
    <w:rsid w:val="00532461"/>
    <w:rsid w:val="0053502A"/>
    <w:rsid w:val="00555F49"/>
    <w:rsid w:val="00577AEB"/>
    <w:rsid w:val="00586DF1"/>
    <w:rsid w:val="005A24A0"/>
    <w:rsid w:val="005A56A2"/>
    <w:rsid w:val="005D419B"/>
    <w:rsid w:val="005E1B9B"/>
    <w:rsid w:val="005E3BC9"/>
    <w:rsid w:val="005E5573"/>
    <w:rsid w:val="006429A7"/>
    <w:rsid w:val="0065560E"/>
    <w:rsid w:val="00657BE6"/>
    <w:rsid w:val="006610E6"/>
    <w:rsid w:val="006A73F1"/>
    <w:rsid w:val="006B0AF9"/>
    <w:rsid w:val="006B32A7"/>
    <w:rsid w:val="006B70DF"/>
    <w:rsid w:val="006B7499"/>
    <w:rsid w:val="006D2F5E"/>
    <w:rsid w:val="006D6967"/>
    <w:rsid w:val="00703D48"/>
    <w:rsid w:val="007100F8"/>
    <w:rsid w:val="00711EAC"/>
    <w:rsid w:val="0071462E"/>
    <w:rsid w:val="0072290E"/>
    <w:rsid w:val="00725F1B"/>
    <w:rsid w:val="00726008"/>
    <w:rsid w:val="00726CA6"/>
    <w:rsid w:val="00736549"/>
    <w:rsid w:val="00736D0B"/>
    <w:rsid w:val="00741260"/>
    <w:rsid w:val="0074335E"/>
    <w:rsid w:val="00755E3F"/>
    <w:rsid w:val="00760041"/>
    <w:rsid w:val="00781FA4"/>
    <w:rsid w:val="00782223"/>
    <w:rsid w:val="00786C93"/>
    <w:rsid w:val="007B33D9"/>
    <w:rsid w:val="007B5635"/>
    <w:rsid w:val="007B7FCC"/>
    <w:rsid w:val="007C395F"/>
    <w:rsid w:val="007E6B7B"/>
    <w:rsid w:val="00851E23"/>
    <w:rsid w:val="00855D5D"/>
    <w:rsid w:val="00860D54"/>
    <w:rsid w:val="00870685"/>
    <w:rsid w:val="00871C79"/>
    <w:rsid w:val="00881641"/>
    <w:rsid w:val="008F5524"/>
    <w:rsid w:val="00901514"/>
    <w:rsid w:val="00912462"/>
    <w:rsid w:val="009278D3"/>
    <w:rsid w:val="0093644F"/>
    <w:rsid w:val="00943322"/>
    <w:rsid w:val="00947076"/>
    <w:rsid w:val="00977E22"/>
    <w:rsid w:val="009A0D08"/>
    <w:rsid w:val="009A431E"/>
    <w:rsid w:val="009B5C40"/>
    <w:rsid w:val="009B6A86"/>
    <w:rsid w:val="009B753D"/>
    <w:rsid w:val="009D22AE"/>
    <w:rsid w:val="009E2EE2"/>
    <w:rsid w:val="009F180B"/>
    <w:rsid w:val="00A15B3A"/>
    <w:rsid w:val="00A46DE4"/>
    <w:rsid w:val="00A72EF7"/>
    <w:rsid w:val="00A91A7F"/>
    <w:rsid w:val="00AC0324"/>
    <w:rsid w:val="00B042D1"/>
    <w:rsid w:val="00B42BB5"/>
    <w:rsid w:val="00BA124A"/>
    <w:rsid w:val="00BE4CCB"/>
    <w:rsid w:val="00BE4CD6"/>
    <w:rsid w:val="00C05147"/>
    <w:rsid w:val="00C14A20"/>
    <w:rsid w:val="00C16776"/>
    <w:rsid w:val="00C20816"/>
    <w:rsid w:val="00C24621"/>
    <w:rsid w:val="00C5651F"/>
    <w:rsid w:val="00C757C6"/>
    <w:rsid w:val="00C91F93"/>
    <w:rsid w:val="00CA39DA"/>
    <w:rsid w:val="00CC1ACE"/>
    <w:rsid w:val="00CC2396"/>
    <w:rsid w:val="00CF1745"/>
    <w:rsid w:val="00D12DC1"/>
    <w:rsid w:val="00D13CD1"/>
    <w:rsid w:val="00D140CC"/>
    <w:rsid w:val="00D227F2"/>
    <w:rsid w:val="00D35620"/>
    <w:rsid w:val="00D41876"/>
    <w:rsid w:val="00DC6C65"/>
    <w:rsid w:val="00DD4225"/>
    <w:rsid w:val="00DF0534"/>
    <w:rsid w:val="00DF25FF"/>
    <w:rsid w:val="00DF400B"/>
    <w:rsid w:val="00DF50CA"/>
    <w:rsid w:val="00E260AD"/>
    <w:rsid w:val="00E45714"/>
    <w:rsid w:val="00E466D7"/>
    <w:rsid w:val="00E71E79"/>
    <w:rsid w:val="00E87841"/>
    <w:rsid w:val="00E90906"/>
    <w:rsid w:val="00E918C7"/>
    <w:rsid w:val="00EA01CB"/>
    <w:rsid w:val="00EA71F3"/>
    <w:rsid w:val="00EC3AF0"/>
    <w:rsid w:val="00EC6265"/>
    <w:rsid w:val="00EC753A"/>
    <w:rsid w:val="00EE21E0"/>
    <w:rsid w:val="00EE700F"/>
    <w:rsid w:val="00EF5ABB"/>
    <w:rsid w:val="00F243A4"/>
    <w:rsid w:val="00F35ADC"/>
    <w:rsid w:val="00F54CB1"/>
    <w:rsid w:val="00F55C69"/>
    <w:rsid w:val="00F608C6"/>
    <w:rsid w:val="00F75385"/>
    <w:rsid w:val="00F8390B"/>
    <w:rsid w:val="00FC1407"/>
    <w:rsid w:val="00FD61CC"/>
    <w:rsid w:val="00FE2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DD85"/>
  <w15:chartTrackingRefBased/>
  <w15:docId w15:val="{20D7DD8E-202B-8148-97B5-2FFDB0536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7F2"/>
    <w:pPr>
      <w:spacing w:after="120" w:line="360" w:lineRule="auto"/>
    </w:pPr>
    <w:rPr>
      <w:rFonts w:ascii="Times New Roman" w:hAnsi="Times New Roman"/>
    </w:rPr>
  </w:style>
  <w:style w:type="paragraph" w:styleId="Heading1">
    <w:name w:val="heading 1"/>
    <w:basedOn w:val="Normal"/>
    <w:next w:val="Normal"/>
    <w:link w:val="Heading1Char"/>
    <w:uiPriority w:val="9"/>
    <w:qFormat/>
    <w:rsid w:val="00D227F2"/>
    <w:pPr>
      <w:keepNext/>
      <w:keepLines/>
      <w:spacing w:before="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43322"/>
    <w:pPr>
      <w:keepNext/>
      <w:keepLines/>
      <w:spacing w:before="120"/>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943322"/>
    <w:pPr>
      <w:keepNext/>
      <w:keepLines/>
      <w:spacing w:before="120"/>
      <w:outlineLvl w:val="2"/>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7F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43322"/>
    <w:rPr>
      <w:rFonts w:ascii="Times New Roman" w:eastAsiaTheme="majorEastAsia" w:hAnsi="Times New Roman" w:cstheme="majorBidi"/>
      <w:b/>
      <w:i/>
      <w:szCs w:val="26"/>
    </w:rPr>
  </w:style>
  <w:style w:type="paragraph" w:styleId="Title">
    <w:name w:val="Title"/>
    <w:basedOn w:val="Normal"/>
    <w:next w:val="Normal"/>
    <w:link w:val="TitleChar"/>
    <w:uiPriority w:val="10"/>
    <w:qFormat/>
    <w:rsid w:val="009A431E"/>
    <w:pPr>
      <w:spacing w:before="120"/>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A431E"/>
    <w:rPr>
      <w:rFonts w:ascii="Times New Roman" w:eastAsiaTheme="majorEastAsia" w:hAnsi="Times New Roman" w:cstheme="majorBidi"/>
      <w:b/>
      <w:spacing w:val="-10"/>
      <w:kern w:val="28"/>
      <w:sz w:val="32"/>
      <w:szCs w:val="56"/>
    </w:rPr>
  </w:style>
  <w:style w:type="paragraph" w:styleId="Subtitle">
    <w:name w:val="Subtitle"/>
    <w:basedOn w:val="Normal"/>
    <w:next w:val="Normal"/>
    <w:link w:val="SubtitleChar"/>
    <w:uiPriority w:val="11"/>
    <w:qFormat/>
    <w:rsid w:val="00D227F2"/>
    <w:pPr>
      <w:numPr>
        <w:ilvl w:val="1"/>
      </w:numPr>
      <w:spacing w:before="120"/>
    </w:pPr>
    <w:rPr>
      <w:rFonts w:eastAsiaTheme="minorEastAsia"/>
      <w:b/>
      <w:spacing w:val="15"/>
      <w:sz w:val="28"/>
      <w:szCs w:val="22"/>
    </w:rPr>
  </w:style>
  <w:style w:type="character" w:customStyle="1" w:styleId="SubtitleChar">
    <w:name w:val="Subtitle Char"/>
    <w:basedOn w:val="DefaultParagraphFont"/>
    <w:link w:val="Subtitle"/>
    <w:uiPriority w:val="11"/>
    <w:rsid w:val="00D227F2"/>
    <w:rPr>
      <w:rFonts w:ascii="Times New Roman" w:eastAsiaTheme="minorEastAsia" w:hAnsi="Times New Roman"/>
      <w:b/>
      <w:spacing w:val="15"/>
      <w:sz w:val="28"/>
      <w:szCs w:val="22"/>
    </w:rPr>
  </w:style>
  <w:style w:type="character" w:styleId="SubtleEmphasis">
    <w:name w:val="Subtle Emphasis"/>
    <w:basedOn w:val="DefaultParagraphFont"/>
    <w:uiPriority w:val="19"/>
    <w:qFormat/>
    <w:rsid w:val="00D227F2"/>
    <w:rPr>
      <w:rFonts w:ascii="Times New Roman" w:hAnsi="Times New Roman"/>
      <w:b w:val="0"/>
      <w:i/>
      <w:iCs/>
      <w:color w:val="auto"/>
      <w:sz w:val="24"/>
    </w:rPr>
  </w:style>
  <w:style w:type="paragraph" w:styleId="Quote">
    <w:name w:val="Quote"/>
    <w:basedOn w:val="Normal"/>
    <w:next w:val="Normal"/>
    <w:link w:val="QuoteChar"/>
    <w:uiPriority w:val="29"/>
    <w:qFormat/>
    <w:rsid w:val="003F4CFB"/>
    <w:pPr>
      <w:spacing w:before="240" w:after="240"/>
      <w:ind w:left="864"/>
    </w:pPr>
    <w:rPr>
      <w:iCs/>
      <w:sz w:val="22"/>
    </w:rPr>
  </w:style>
  <w:style w:type="character" w:customStyle="1" w:styleId="QuoteChar">
    <w:name w:val="Quote Char"/>
    <w:basedOn w:val="DefaultParagraphFont"/>
    <w:link w:val="Quote"/>
    <w:uiPriority w:val="29"/>
    <w:rsid w:val="003F4CFB"/>
    <w:rPr>
      <w:rFonts w:ascii="Times New Roman" w:hAnsi="Times New Roman"/>
      <w:iCs/>
      <w:sz w:val="22"/>
    </w:rPr>
  </w:style>
  <w:style w:type="character" w:customStyle="1" w:styleId="Heading3Char">
    <w:name w:val="Heading 3 Char"/>
    <w:basedOn w:val="DefaultParagraphFont"/>
    <w:link w:val="Heading3"/>
    <w:uiPriority w:val="9"/>
    <w:semiHidden/>
    <w:rsid w:val="00943322"/>
    <w:rPr>
      <w:rFonts w:ascii="Times New Roman" w:eastAsiaTheme="majorEastAsia" w:hAnsi="Times New Roman" w:cstheme="majorBidi"/>
      <w:i/>
    </w:rPr>
  </w:style>
  <w:style w:type="paragraph" w:styleId="Caption">
    <w:name w:val="caption"/>
    <w:basedOn w:val="Normal"/>
    <w:next w:val="Normal"/>
    <w:uiPriority w:val="35"/>
    <w:unhideWhenUsed/>
    <w:qFormat/>
    <w:rsid w:val="00F243A4"/>
    <w:pPr>
      <w:spacing w:before="120"/>
    </w:pPr>
    <w:rPr>
      <w:b/>
      <w:iCs/>
      <w:sz w:val="22"/>
      <w:szCs w:val="18"/>
    </w:rPr>
  </w:style>
  <w:style w:type="paragraph" w:styleId="TOCHeading">
    <w:name w:val="TOC Heading"/>
    <w:basedOn w:val="Heading1"/>
    <w:next w:val="Normal"/>
    <w:uiPriority w:val="39"/>
    <w:semiHidden/>
    <w:unhideWhenUsed/>
    <w:qFormat/>
    <w:rsid w:val="00D227F2"/>
    <w:pPr>
      <w:outlineLvl w:val="9"/>
    </w:pPr>
  </w:style>
  <w:style w:type="character" w:styleId="EndnoteReference">
    <w:name w:val="endnote reference"/>
    <w:basedOn w:val="DefaultParagraphFont"/>
    <w:uiPriority w:val="99"/>
    <w:semiHidden/>
    <w:unhideWhenUsed/>
    <w:rsid w:val="00D227F2"/>
    <w:rPr>
      <w:rFonts w:ascii="Times New Roman" w:hAnsi="Times New Roman"/>
      <w:sz w:val="20"/>
      <w:vertAlign w:val="superscript"/>
    </w:rPr>
  </w:style>
  <w:style w:type="paragraph" w:styleId="EndnoteText">
    <w:name w:val="endnote text"/>
    <w:basedOn w:val="Normal"/>
    <w:link w:val="EndnoteTextChar"/>
    <w:uiPriority w:val="99"/>
    <w:semiHidden/>
    <w:unhideWhenUsed/>
    <w:rsid w:val="00D227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27F2"/>
    <w:rPr>
      <w:rFonts w:ascii="Times New Roman" w:hAnsi="Times New Roman"/>
      <w:sz w:val="20"/>
      <w:szCs w:val="20"/>
    </w:rPr>
  </w:style>
  <w:style w:type="paragraph" w:styleId="FootnoteText">
    <w:name w:val="footnote text"/>
    <w:basedOn w:val="Normal"/>
    <w:link w:val="FootnoteTextChar"/>
    <w:uiPriority w:val="99"/>
    <w:semiHidden/>
    <w:unhideWhenUsed/>
    <w:rsid w:val="00D227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27F2"/>
    <w:rPr>
      <w:rFonts w:ascii="Times New Roman" w:hAnsi="Times New Roman"/>
      <w:sz w:val="20"/>
      <w:szCs w:val="20"/>
    </w:rPr>
  </w:style>
  <w:style w:type="table" w:styleId="TableGrid">
    <w:name w:val="Table Grid"/>
    <w:basedOn w:val="TableNormal"/>
    <w:uiPriority w:val="39"/>
    <w:rsid w:val="00C91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C91F93"/>
    <w:pPr>
      <w:spacing w:after="0" w:line="240" w:lineRule="auto"/>
    </w:pPr>
    <w:rPr>
      <w:sz w:val="22"/>
    </w:rPr>
  </w:style>
  <w:style w:type="character" w:styleId="PlaceholderText">
    <w:name w:val="Placeholder Text"/>
    <w:basedOn w:val="DefaultParagraphFont"/>
    <w:uiPriority w:val="99"/>
    <w:semiHidden/>
    <w:rsid w:val="0049227D"/>
    <w:rPr>
      <w:color w:val="808080"/>
    </w:rPr>
  </w:style>
  <w:style w:type="paragraph" w:styleId="Footer">
    <w:name w:val="footer"/>
    <w:basedOn w:val="Normal"/>
    <w:link w:val="FooterChar"/>
    <w:uiPriority w:val="99"/>
    <w:unhideWhenUsed/>
    <w:rsid w:val="001F01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1FB"/>
    <w:rPr>
      <w:rFonts w:ascii="Times New Roman" w:hAnsi="Times New Roman"/>
    </w:rPr>
  </w:style>
  <w:style w:type="character" w:styleId="PageNumber">
    <w:name w:val="page number"/>
    <w:basedOn w:val="DefaultParagraphFont"/>
    <w:uiPriority w:val="99"/>
    <w:semiHidden/>
    <w:unhideWhenUsed/>
    <w:rsid w:val="001F01FB"/>
  </w:style>
  <w:style w:type="paragraph" w:styleId="ListParagraph">
    <w:name w:val="List Paragraph"/>
    <w:basedOn w:val="Normal"/>
    <w:uiPriority w:val="34"/>
    <w:qFormat/>
    <w:rsid w:val="005E3BC9"/>
    <w:pPr>
      <w:ind w:left="720"/>
      <w:contextualSpacing/>
    </w:pPr>
  </w:style>
  <w:style w:type="character" w:styleId="Hyperlink">
    <w:name w:val="Hyperlink"/>
    <w:basedOn w:val="DefaultParagraphFont"/>
    <w:uiPriority w:val="99"/>
    <w:unhideWhenUsed/>
    <w:rsid w:val="00CC1ACE"/>
    <w:rPr>
      <w:color w:val="0563C1" w:themeColor="hyperlink"/>
      <w:u w:val="single"/>
    </w:rPr>
  </w:style>
  <w:style w:type="character" w:styleId="UnresolvedMention">
    <w:name w:val="Unresolved Mention"/>
    <w:basedOn w:val="DefaultParagraphFont"/>
    <w:uiPriority w:val="99"/>
    <w:semiHidden/>
    <w:unhideWhenUsed/>
    <w:rsid w:val="00CC1ACE"/>
    <w:rPr>
      <w:color w:val="605E5C"/>
      <w:shd w:val="clear" w:color="auto" w:fill="E1DFDD"/>
    </w:rPr>
  </w:style>
  <w:style w:type="character" w:styleId="FollowedHyperlink">
    <w:name w:val="FollowedHyperlink"/>
    <w:basedOn w:val="DefaultParagraphFont"/>
    <w:uiPriority w:val="99"/>
    <w:semiHidden/>
    <w:unhideWhenUsed/>
    <w:rsid w:val="00482830"/>
    <w:rPr>
      <w:color w:val="954F72" w:themeColor="followedHyperlink"/>
      <w:u w:val="single"/>
    </w:rPr>
  </w:style>
  <w:style w:type="paragraph" w:styleId="Bibliography">
    <w:name w:val="Bibliography"/>
    <w:basedOn w:val="Normal"/>
    <w:next w:val="Normal"/>
    <w:uiPriority w:val="37"/>
    <w:unhideWhenUsed/>
    <w:rsid w:val="000447EF"/>
    <w:pPr>
      <w:spacing w:after="0"/>
      <w:ind w:left="720" w:hanging="720"/>
    </w:pPr>
  </w:style>
  <w:style w:type="paragraph" w:styleId="BodyText">
    <w:name w:val="Body Text"/>
    <w:basedOn w:val="Normal"/>
    <w:link w:val="BodyTextChar"/>
    <w:uiPriority w:val="1"/>
    <w:qFormat/>
    <w:rsid w:val="00736D0B"/>
    <w:pPr>
      <w:widowControl w:val="0"/>
      <w:autoSpaceDE w:val="0"/>
      <w:autoSpaceDN w:val="0"/>
      <w:spacing w:after="0" w:line="240" w:lineRule="auto"/>
    </w:pPr>
    <w:rPr>
      <w:rFonts w:ascii="Palatino Linotype" w:eastAsia="Palatino Linotype" w:hAnsi="Palatino Linotype" w:cs="Palatino Linotype"/>
      <w:sz w:val="20"/>
      <w:szCs w:val="20"/>
    </w:rPr>
  </w:style>
  <w:style w:type="character" w:customStyle="1" w:styleId="BodyTextChar">
    <w:name w:val="Body Text Char"/>
    <w:basedOn w:val="DefaultParagraphFont"/>
    <w:link w:val="BodyText"/>
    <w:uiPriority w:val="1"/>
    <w:rsid w:val="00736D0B"/>
    <w:rPr>
      <w:rFonts w:ascii="Palatino Linotype" w:eastAsia="Palatino Linotype" w:hAnsi="Palatino Linotype" w:cs="Palatino Linotype"/>
      <w:sz w:val="20"/>
      <w:szCs w:val="20"/>
    </w:rPr>
  </w:style>
  <w:style w:type="paragraph" w:customStyle="1" w:styleId="TableParagraph">
    <w:name w:val="Table Paragraph"/>
    <w:basedOn w:val="Normal"/>
    <w:uiPriority w:val="1"/>
    <w:qFormat/>
    <w:rsid w:val="00736D0B"/>
    <w:pPr>
      <w:widowControl w:val="0"/>
      <w:autoSpaceDE w:val="0"/>
      <w:autoSpaceDN w:val="0"/>
      <w:spacing w:before="46" w:after="0" w:line="240" w:lineRule="auto"/>
      <w:jc w:val="right"/>
    </w:pPr>
    <w:rPr>
      <w:rFonts w:ascii="Palatino Linotype" w:eastAsia="Palatino Linotype" w:hAnsi="Palatino Linotype" w:cs="Palatino Linotype"/>
      <w:sz w:val="22"/>
      <w:szCs w:val="22"/>
    </w:rPr>
  </w:style>
  <w:style w:type="character" w:styleId="CommentReference">
    <w:name w:val="annotation reference"/>
    <w:basedOn w:val="DefaultParagraphFont"/>
    <w:uiPriority w:val="99"/>
    <w:semiHidden/>
    <w:unhideWhenUsed/>
    <w:rsid w:val="00036C48"/>
    <w:rPr>
      <w:sz w:val="16"/>
      <w:szCs w:val="16"/>
    </w:rPr>
  </w:style>
  <w:style w:type="paragraph" w:styleId="CommentText">
    <w:name w:val="annotation text"/>
    <w:basedOn w:val="Normal"/>
    <w:link w:val="CommentTextChar"/>
    <w:uiPriority w:val="99"/>
    <w:semiHidden/>
    <w:unhideWhenUsed/>
    <w:rsid w:val="00036C48"/>
    <w:pPr>
      <w:spacing w:line="240" w:lineRule="auto"/>
    </w:pPr>
    <w:rPr>
      <w:sz w:val="20"/>
      <w:szCs w:val="20"/>
    </w:rPr>
  </w:style>
  <w:style w:type="character" w:customStyle="1" w:styleId="CommentTextChar">
    <w:name w:val="Comment Text Char"/>
    <w:basedOn w:val="DefaultParagraphFont"/>
    <w:link w:val="CommentText"/>
    <w:uiPriority w:val="99"/>
    <w:semiHidden/>
    <w:rsid w:val="00036C4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36C48"/>
    <w:rPr>
      <w:b/>
      <w:bCs/>
    </w:rPr>
  </w:style>
  <w:style w:type="character" w:customStyle="1" w:styleId="CommentSubjectChar">
    <w:name w:val="Comment Subject Char"/>
    <w:basedOn w:val="CommentTextChar"/>
    <w:link w:val="CommentSubject"/>
    <w:uiPriority w:val="99"/>
    <w:semiHidden/>
    <w:rsid w:val="00036C48"/>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aovictorguedesneto/Library/Group%20Containers/UBF8T346G9.Office/User%20Content.localized/Templates.localized/Academic%20(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7EA498-AA33-1947-BF68-C8C90CB03940}">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9A47A-6754-BD46-96D7-5A80FCDD0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Academic (New).dotx</Template>
  <TotalTime>543</TotalTime>
  <Pages>27</Pages>
  <Words>32876</Words>
  <Characters>187395</Characters>
  <Application>Microsoft Office Word</Application>
  <DocSecurity>0</DocSecurity>
  <Lines>1561</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João Victor Guedes Neto</cp:lastModifiedBy>
  <cp:revision>72</cp:revision>
  <dcterms:created xsi:type="dcterms:W3CDTF">2023-10-23T20:45:00Z</dcterms:created>
  <dcterms:modified xsi:type="dcterms:W3CDTF">2023-11-16T17:38:00Z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documentId_1171</vt:lpwstr>
  </property>
  <property fmtid="{D5CDD505-2E9C-101B-9397-08002B2CF9AE}" pid="3" name="grammarly_documentContext">
    <vt:lpwstr>{"goals":[],"domain":"general","emotions":[],"dialect":"american"}</vt:lpwstr>
  </property>
  <property fmtid="{D5CDD505-2E9C-101B-9397-08002B2CF9AE}" pid="4" name="ZOTERO_PREF_1">
    <vt:lpwstr>&lt;data data-version="3" zotero-version="6.0.30"&gt;&lt;session id="411TmQy3"/&gt;&lt;style id="http://www.zotero.org/styles/apa" locale="pt-BR" hasBibliography="1" bibliographyStyleHasBeenSet="1"/&gt;&lt;prefs&gt;&lt;pref name="fieldType" value="Field"/&gt;&lt;pref name="automaticJourn</vt:lpwstr>
  </property>
  <property fmtid="{D5CDD505-2E9C-101B-9397-08002B2CF9AE}" pid="5" name="ZOTERO_PREF_2">
    <vt:lpwstr>alAbbreviations" value="true"/&gt;&lt;/prefs&gt;&lt;/data&gt;</vt:lpwstr>
  </property>
</Properties>
</file>