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3332" w14:textId="4B8D8BB0" w:rsidR="00D35B58" w:rsidRDefault="00B926F1" w:rsidP="00B926F1">
      <w:pPr>
        <w:pStyle w:val="Ttulo"/>
      </w:pPr>
      <w:r>
        <w:t xml:space="preserve">It is not (just) the </w:t>
      </w:r>
      <w:r w:rsidR="002156F9">
        <w:t>E</w:t>
      </w:r>
      <w:r>
        <w:t xml:space="preserve">conomy, </w:t>
      </w:r>
      <w:r w:rsidR="002156F9">
        <w:t>S</w:t>
      </w:r>
      <w:r>
        <w:t xml:space="preserve">tupid: Policy </w:t>
      </w:r>
      <w:r w:rsidR="00D35B58">
        <w:t>Innovati</w:t>
      </w:r>
      <w:r>
        <w:t xml:space="preserve">on and </w:t>
      </w:r>
      <w:r w:rsidR="00D35B58">
        <w:t>Retrospective Voting</w:t>
      </w:r>
      <w:r>
        <w:t xml:space="preserve"> </w:t>
      </w:r>
      <w:r w:rsidR="00743C46">
        <w:t>in São Paulo, Brazil</w:t>
      </w:r>
      <w:r w:rsidR="001B5B5F">
        <w:rPr>
          <w:rStyle w:val="Refdenotaderodap"/>
        </w:rPr>
        <w:footnoteReference w:customMarkFollows="1" w:id="1"/>
        <w:t>*</w:t>
      </w:r>
    </w:p>
    <w:p w14:paraId="5B329BC6" w14:textId="4C549ED5" w:rsidR="00D02FB3" w:rsidRDefault="008A37A7" w:rsidP="00996CCA">
      <w:pPr>
        <w:pStyle w:val="Ttulo1"/>
        <w:ind w:left="284" w:right="284"/>
      </w:pPr>
      <w:r>
        <w:t>Abstract</w:t>
      </w:r>
    </w:p>
    <w:p w14:paraId="68459B8D" w14:textId="74D1A0BA" w:rsidR="00D02FB3" w:rsidRDefault="00996CCA" w:rsidP="00996CCA">
      <w:pPr>
        <w:pStyle w:val="Ttulo1"/>
        <w:ind w:left="284" w:right="284"/>
        <w:rPr>
          <w:b w:val="0"/>
          <w:bCs/>
          <w:sz w:val="24"/>
          <w:szCs w:val="24"/>
        </w:rPr>
      </w:pPr>
      <w:r w:rsidRPr="00996CCA">
        <w:rPr>
          <w:b w:val="0"/>
          <w:bCs/>
          <w:sz w:val="24"/>
          <w:szCs w:val="24"/>
        </w:rPr>
        <w:t>This study investigates the electoral rewards of policy innovation, focusing on São Paulo's Smart Card policy in public transit. Our analysis leverages a unique dataset, combining electoral data, transportation surveys, and census information to assess the policy's impact on the incumbent's vote share. We employ an OLS regression model with control variables and interaction terms to isolate the Smart Card's effect from pre-existing voting preferences and pork-barrel policies. Our findings reveal that successful policy implementation can sway voter support towards the incumbent, even when benefits are not explicitly targeted. The research contributes to the literature on retrospective voting by providing empirical evidence on the sub-municipal impacts of public transit policies, extending beyond conventional economic factors. The Smart Card policy, which streamlined fare collection and reduced travel costs, significantly influenced the voting behavior of its beneficiaries, underscoring the political viability of non-targeted, innovative public policies.</w:t>
      </w:r>
    </w:p>
    <w:p w14:paraId="60679028" w14:textId="30455DD3" w:rsidR="009D797A" w:rsidRDefault="009D797A" w:rsidP="009D797A">
      <w:pPr>
        <w:tabs>
          <w:tab w:val="num" w:pos="720"/>
        </w:tabs>
        <w:spacing w:after="120" w:line="360" w:lineRule="auto"/>
        <w:ind w:left="720"/>
        <w:rPr>
          <w:rFonts w:eastAsiaTheme="minorHAnsi" w:cstheme="minorBidi"/>
          <w:lang w:val="en-US" w:eastAsia="en-US"/>
        </w:rPr>
      </w:pPr>
      <w:r w:rsidRPr="009D797A">
        <w:rPr>
          <w:rFonts w:eastAsiaTheme="minorHAnsi"/>
          <w:b/>
          <w:bCs/>
          <w:lang w:val="en-US"/>
        </w:rPr>
        <w:t>Keywords</w:t>
      </w:r>
      <w:r>
        <w:rPr>
          <w:rFonts w:eastAsiaTheme="minorHAnsi"/>
          <w:lang w:val="en-US"/>
        </w:rPr>
        <w:t xml:space="preserve">: </w:t>
      </w:r>
      <w:r w:rsidRPr="009D797A">
        <w:rPr>
          <w:rFonts w:eastAsiaTheme="minorHAnsi" w:cstheme="minorBidi"/>
          <w:lang w:val="en-US" w:eastAsia="en-US"/>
        </w:rPr>
        <w:t>Retrospective Voting</w:t>
      </w:r>
      <w:r w:rsidRPr="009D797A">
        <w:rPr>
          <w:rFonts w:eastAsiaTheme="minorHAnsi" w:cstheme="minorBidi"/>
          <w:lang w:val="en-US" w:eastAsia="en-US"/>
        </w:rPr>
        <w:t>; P</w:t>
      </w:r>
      <w:r w:rsidRPr="009D797A">
        <w:rPr>
          <w:rFonts w:eastAsiaTheme="minorHAnsi" w:cstheme="minorBidi"/>
          <w:lang w:val="en-US" w:eastAsia="en-US"/>
        </w:rPr>
        <w:t>olicy Innovation</w:t>
      </w:r>
      <w:r w:rsidRPr="009D797A">
        <w:rPr>
          <w:rFonts w:eastAsiaTheme="minorHAnsi" w:cstheme="minorBidi"/>
          <w:lang w:val="en-US" w:eastAsia="en-US"/>
        </w:rPr>
        <w:t xml:space="preserve">; </w:t>
      </w:r>
      <w:r w:rsidRPr="009D797A">
        <w:rPr>
          <w:rFonts w:eastAsiaTheme="minorHAnsi" w:cstheme="minorBidi"/>
          <w:lang w:val="en-US" w:eastAsia="en-US"/>
        </w:rPr>
        <w:t>Public Transit Systems</w:t>
      </w:r>
      <w:r>
        <w:rPr>
          <w:rFonts w:eastAsiaTheme="minorHAnsi" w:cstheme="minorBidi"/>
          <w:lang w:val="en-US" w:eastAsia="en-US"/>
        </w:rPr>
        <w:t xml:space="preserve">; </w:t>
      </w:r>
      <w:r w:rsidRPr="009D797A">
        <w:rPr>
          <w:rFonts w:eastAsiaTheme="minorHAnsi" w:cstheme="minorBidi"/>
          <w:lang w:val="en-US" w:eastAsia="en-US"/>
        </w:rPr>
        <w:t>Electoral Behavior</w:t>
      </w:r>
      <w:r w:rsidRPr="009D797A">
        <w:rPr>
          <w:rFonts w:eastAsiaTheme="minorHAnsi" w:cstheme="minorBidi"/>
          <w:lang w:val="en-US" w:eastAsia="en-US"/>
        </w:rPr>
        <w:t xml:space="preserve">; </w:t>
      </w:r>
      <w:r w:rsidRPr="009D797A">
        <w:rPr>
          <w:rFonts w:eastAsiaTheme="minorHAnsi" w:cstheme="minorBidi"/>
          <w:lang w:val="en-US" w:eastAsia="en-US"/>
        </w:rPr>
        <w:t>Smart Card Policy</w:t>
      </w:r>
      <w:r w:rsidRPr="009D797A">
        <w:rPr>
          <w:rFonts w:eastAsiaTheme="minorHAnsi" w:cstheme="minorBidi"/>
          <w:lang w:val="en-US" w:eastAsia="en-US"/>
        </w:rPr>
        <w:t xml:space="preserve">; </w:t>
      </w:r>
      <w:r w:rsidRPr="009D797A">
        <w:rPr>
          <w:rFonts w:eastAsiaTheme="minorHAnsi" w:cstheme="minorBidi"/>
          <w:lang w:val="en-US" w:eastAsia="en-US"/>
        </w:rPr>
        <w:t>Urban Governance</w:t>
      </w:r>
    </w:p>
    <w:p w14:paraId="783986ED" w14:textId="77777777" w:rsidR="009D797A" w:rsidRPr="009D797A" w:rsidRDefault="009D797A" w:rsidP="009D797A">
      <w:pPr>
        <w:tabs>
          <w:tab w:val="num" w:pos="720"/>
        </w:tabs>
        <w:spacing w:after="120" w:line="360" w:lineRule="auto"/>
        <w:ind w:left="720"/>
        <w:rPr>
          <w:rFonts w:eastAsiaTheme="minorHAnsi" w:cstheme="minorBidi"/>
          <w:lang w:val="en-US" w:eastAsia="en-US"/>
        </w:rPr>
      </w:pPr>
    </w:p>
    <w:p w14:paraId="7FF9F1A8" w14:textId="3F8EE720" w:rsidR="00D35B58" w:rsidRDefault="00D35B58" w:rsidP="00D35B58">
      <w:pPr>
        <w:pStyle w:val="Ttulo1"/>
      </w:pPr>
      <w:r>
        <w:t>Introduction</w:t>
      </w:r>
    </w:p>
    <w:p w14:paraId="69FC6153" w14:textId="48771F65" w:rsidR="00740AC3" w:rsidRPr="00740AC3" w:rsidRDefault="00740AC3" w:rsidP="00740AC3">
      <w:pPr>
        <w:spacing w:after="120" w:line="360" w:lineRule="auto"/>
        <w:rPr>
          <w:rFonts w:eastAsiaTheme="minorHAnsi"/>
          <w:lang w:val="en-US"/>
        </w:rPr>
      </w:pPr>
      <w:r w:rsidRPr="00740AC3">
        <w:rPr>
          <w:rFonts w:eastAsiaTheme="minorHAnsi"/>
          <w:lang w:val="en-US"/>
        </w:rPr>
        <w:t xml:space="preserve">Do policymakers reap electoral rewards for innovative policies? While successful policymaking often translates into votes (Burnett &amp; Kogan, 2017; Fiorina, 1978; Healy &amp; Malhotra, 2013; Hopkins &amp; </w:t>
      </w:r>
      <w:proofErr w:type="spellStart"/>
      <w:r w:rsidRPr="00740AC3">
        <w:rPr>
          <w:rFonts w:eastAsiaTheme="minorHAnsi"/>
          <w:lang w:val="en-US"/>
        </w:rPr>
        <w:t>Pettingill</w:t>
      </w:r>
      <w:proofErr w:type="spellEnd"/>
      <w:r w:rsidRPr="00740AC3">
        <w:rPr>
          <w:rFonts w:eastAsiaTheme="minorHAnsi"/>
          <w:lang w:val="en-US"/>
        </w:rPr>
        <w:t xml:space="preserve">, 2018), voter bias due to partisan allegiance (Healy et al., 2017; </w:t>
      </w:r>
      <w:proofErr w:type="spellStart"/>
      <w:r w:rsidRPr="00740AC3">
        <w:rPr>
          <w:rFonts w:eastAsiaTheme="minorHAnsi"/>
          <w:lang w:val="en-US"/>
        </w:rPr>
        <w:t>Sigelman</w:t>
      </w:r>
      <w:proofErr w:type="spellEnd"/>
      <w:r w:rsidRPr="00740AC3">
        <w:rPr>
          <w:rFonts w:eastAsiaTheme="minorHAnsi"/>
          <w:lang w:val="en-US"/>
        </w:rPr>
        <w:t xml:space="preserve"> et al., 1991) or ambiguity regarding policy architects (</w:t>
      </w:r>
      <w:proofErr w:type="spellStart"/>
      <w:r w:rsidRPr="00740AC3">
        <w:rPr>
          <w:rFonts w:eastAsiaTheme="minorHAnsi"/>
          <w:lang w:val="en-US"/>
        </w:rPr>
        <w:t>Jilke</w:t>
      </w:r>
      <w:proofErr w:type="spellEnd"/>
      <w:r w:rsidRPr="00740AC3">
        <w:rPr>
          <w:rFonts w:eastAsiaTheme="minorHAnsi"/>
          <w:lang w:val="en-US"/>
        </w:rPr>
        <w:t xml:space="preserve">, 2018) can impede this. Such obstacles present a quandary for </w:t>
      </w:r>
      <w:proofErr w:type="gramStart"/>
      <w:r w:rsidRPr="00740AC3">
        <w:rPr>
          <w:rFonts w:eastAsiaTheme="minorHAnsi"/>
          <w:lang w:val="en-US"/>
        </w:rPr>
        <w:t>politicians</w:t>
      </w:r>
      <w:proofErr w:type="gramEnd"/>
      <w:r w:rsidRPr="00740AC3">
        <w:rPr>
          <w:rFonts w:eastAsiaTheme="minorHAnsi"/>
          <w:lang w:val="en-US"/>
        </w:rPr>
        <w:t xml:space="preserve"> keen on pioneering policy changes, as the dual risk of failing to enhance voters' lives and going unrewarded for effective policies looms large (Hong et al., 2022; Mullin &amp; Hansen, 2023).</w:t>
      </w:r>
    </w:p>
    <w:p w14:paraId="122E9F92" w14:textId="09C2FA2D" w:rsidR="00740AC3" w:rsidRPr="00740AC3" w:rsidRDefault="00740AC3" w:rsidP="00740AC3">
      <w:pPr>
        <w:spacing w:after="120" w:line="360" w:lineRule="auto"/>
        <w:rPr>
          <w:rFonts w:eastAsiaTheme="minorHAnsi"/>
          <w:lang w:val="en-US"/>
        </w:rPr>
      </w:pPr>
      <w:r w:rsidRPr="00740AC3">
        <w:rPr>
          <w:rFonts w:eastAsiaTheme="minorHAnsi"/>
          <w:lang w:val="en-US"/>
        </w:rPr>
        <w:lastRenderedPageBreak/>
        <w:t>This paper offers three novel insights. First, diverging from the conventional focus on national economic policies in retrospective voting studies, we concentrate on local policy impacts</w:t>
      </w:r>
      <w:r w:rsidR="00141AD1">
        <w:rPr>
          <w:rFonts w:eastAsiaTheme="minorHAnsi"/>
          <w:lang w:val="en-US"/>
        </w:rPr>
        <w:t>. I</w:t>
      </w:r>
      <w:r w:rsidRPr="00740AC3">
        <w:rPr>
          <w:rFonts w:eastAsiaTheme="minorHAnsi"/>
          <w:lang w:val="en-US"/>
        </w:rPr>
        <w:t>nspired by Burnett and Kogan (2017), who examined the electoral benefits of road maintenance in U.S. cities</w:t>
      </w:r>
      <w:r w:rsidR="00141AD1">
        <w:rPr>
          <w:rFonts w:eastAsiaTheme="minorHAnsi"/>
          <w:lang w:val="en-US"/>
        </w:rPr>
        <w:t>, w</w:t>
      </w:r>
      <w:r w:rsidRPr="00740AC3">
        <w:rPr>
          <w:rFonts w:eastAsiaTheme="minorHAnsi"/>
          <w:lang w:val="en-US"/>
        </w:rPr>
        <w:t>e explore the electoral implications of a transformative public transit initiative in a developing context. The adoption of the Smart Card (SC) in São Paulo, Brazil, revolutionized payment methods, digitized passenger flow, and facilitated the integration of transit routes within the bus network, among other advancements. This innovation enabled residents, especially the working class, to utilize multiple bus services for the price of one, enhancing affordability and efficiency in their daily commutes.</w:t>
      </w:r>
    </w:p>
    <w:p w14:paraId="21AC6587" w14:textId="77777777" w:rsidR="00740AC3" w:rsidRPr="00740AC3" w:rsidRDefault="00740AC3" w:rsidP="00740AC3">
      <w:pPr>
        <w:spacing w:after="120" w:line="360" w:lineRule="auto"/>
        <w:rPr>
          <w:rFonts w:eastAsiaTheme="minorHAnsi"/>
          <w:lang w:val="en-US"/>
        </w:rPr>
      </w:pPr>
      <w:r w:rsidRPr="00740AC3">
        <w:rPr>
          <w:rFonts w:eastAsiaTheme="minorHAnsi"/>
          <w:lang w:val="en-US"/>
        </w:rPr>
        <w:t>Second, we refine our analysis by employing georeferencing to dissect policy impacts within São Paulo's diverse neighborhoods. By correlating the density of SC beneficiaries with the incumbent's vote share before and after its implementation, we attribute voting patterns to the policy's direct benefits, distinguishing areas with heightened advantages from those with fewer.</w:t>
      </w:r>
    </w:p>
    <w:p w14:paraId="4D5F6E8D" w14:textId="5FC884AE" w:rsidR="00740AC3" w:rsidRPr="00740AC3" w:rsidRDefault="00740AC3" w:rsidP="00740AC3">
      <w:pPr>
        <w:spacing w:after="120" w:line="360" w:lineRule="auto"/>
        <w:rPr>
          <w:rFonts w:eastAsiaTheme="minorHAnsi"/>
          <w:lang w:val="en-US"/>
        </w:rPr>
      </w:pPr>
      <w:r w:rsidRPr="00740AC3">
        <w:rPr>
          <w:rFonts w:eastAsiaTheme="minorHAnsi"/>
          <w:lang w:val="en-US"/>
        </w:rPr>
        <w:t>Lastly, we contend that the implications of such policy innovations extend beyond typical pork-barrel strategies. Urban transit reforms must balance economic, technical, and political considerations, striving to cut costs, reduce commute times, alleviate traffic, and elevate service standards, all within the constraints of administrative and bureaucratic agendas (</w:t>
      </w:r>
      <w:proofErr w:type="spellStart"/>
      <w:r w:rsidRPr="00740AC3">
        <w:rPr>
          <w:rFonts w:eastAsiaTheme="minorHAnsi"/>
          <w:lang w:val="en-US"/>
        </w:rPr>
        <w:t>Yoo</w:t>
      </w:r>
      <w:proofErr w:type="spellEnd"/>
      <w:r w:rsidRPr="00740AC3">
        <w:rPr>
          <w:rFonts w:eastAsiaTheme="minorHAnsi"/>
          <w:lang w:val="en-US"/>
        </w:rPr>
        <w:t xml:space="preserve"> &amp; Lee, 2023). The multifaceted nature of urban transportation challenges precludes its simple use as a political lever. Our analysis accounts for additional policies by the same government that might </w:t>
      </w:r>
      <w:r w:rsidR="00D27D15">
        <w:rPr>
          <w:rFonts w:eastAsiaTheme="minorHAnsi"/>
          <w:lang w:val="en-US"/>
        </w:rPr>
        <w:t>confound our results</w:t>
      </w:r>
      <w:r w:rsidRPr="00740AC3">
        <w:rPr>
          <w:rFonts w:eastAsiaTheme="minorHAnsi"/>
          <w:lang w:val="en-US"/>
        </w:rPr>
        <w:t>. We conclude that the SC's impact persists even when factoring in these variables and through various sensitivity analyses.</w:t>
      </w:r>
    </w:p>
    <w:p w14:paraId="7DCA86F8" w14:textId="32DC6D72" w:rsidR="0032153F" w:rsidRPr="00D02FB3" w:rsidRDefault="0032153F" w:rsidP="0032153F">
      <w:pPr>
        <w:spacing w:after="120" w:line="360" w:lineRule="auto"/>
        <w:rPr>
          <w:rFonts w:eastAsiaTheme="minorHAnsi"/>
          <w:b/>
          <w:bCs/>
          <w:sz w:val="28"/>
          <w:szCs w:val="28"/>
          <w:lang w:val="en-US"/>
        </w:rPr>
      </w:pPr>
      <w:r w:rsidRPr="00D02FB3">
        <w:rPr>
          <w:rFonts w:eastAsiaTheme="minorHAnsi"/>
          <w:b/>
          <w:bCs/>
          <w:sz w:val="28"/>
          <w:szCs w:val="28"/>
          <w:lang w:val="en-US"/>
        </w:rPr>
        <w:t>Policy Innovation in Public Transit</w:t>
      </w:r>
    </w:p>
    <w:p w14:paraId="2E2EB36F" w14:textId="77777777" w:rsidR="0032153F" w:rsidRPr="0032153F" w:rsidRDefault="0032153F" w:rsidP="0032153F">
      <w:pPr>
        <w:spacing w:after="120" w:line="360" w:lineRule="auto"/>
        <w:rPr>
          <w:rFonts w:eastAsiaTheme="minorHAnsi"/>
          <w:lang w:val="en-US"/>
        </w:rPr>
      </w:pPr>
      <w:r w:rsidRPr="0032153F">
        <w:rPr>
          <w:rFonts w:eastAsiaTheme="minorHAnsi"/>
          <w:lang w:val="en-US"/>
        </w:rPr>
        <w:t>Public transit stands as a cornerstone of metropolitan governance and a historical flashpoint for political contention. Early 20th-century dialogues, such as those by Coker (1920), highlight the sector's longstanding inadequacies, with debates around the regulation and ownership of urban transport systems resonating through the decades. The intersection of mass transit systems with capitalist urbanization—and their consumption primarily by the working class—has consistently situated them at the political forefront (Castells, 1978).</w:t>
      </w:r>
    </w:p>
    <w:p w14:paraId="1D286945" w14:textId="77777777" w:rsidR="0032153F" w:rsidRPr="0032153F" w:rsidRDefault="0032153F" w:rsidP="0032153F">
      <w:pPr>
        <w:spacing w:after="120" w:line="360" w:lineRule="auto"/>
        <w:rPr>
          <w:rFonts w:eastAsiaTheme="minorHAnsi"/>
          <w:lang w:val="en-US"/>
        </w:rPr>
      </w:pPr>
      <w:r w:rsidRPr="0032153F">
        <w:rPr>
          <w:rFonts w:eastAsiaTheme="minorHAnsi"/>
          <w:lang w:val="en-US"/>
        </w:rPr>
        <w:t xml:space="preserve">In the contemporary urban landscape, the displacement of low-income workers from city centers to peripheral areas lacking public services (Murphy &amp; Wallace, 2010) underscores the urgency </w:t>
      </w:r>
      <w:r w:rsidRPr="0032153F">
        <w:rPr>
          <w:rFonts w:eastAsiaTheme="minorHAnsi"/>
          <w:lang w:val="en-US"/>
        </w:rPr>
        <w:lastRenderedPageBreak/>
        <w:t>for efficient transportation. This necessity has sparked global mobilization and political strategies, illustrated by divergent approaches in London by mayors Ken Livingstone and Boris Johnson, and by the protest-triggering gasoline tax in France under Emmanuel Macron (Doering et al., 2021).</w:t>
      </w:r>
    </w:p>
    <w:p w14:paraId="7354E9F6" w14:textId="39B078B6" w:rsidR="0032153F" w:rsidRPr="0032153F" w:rsidRDefault="0032153F" w:rsidP="0032153F">
      <w:pPr>
        <w:spacing w:after="120" w:line="360" w:lineRule="auto"/>
        <w:rPr>
          <w:rFonts w:eastAsiaTheme="minorHAnsi"/>
          <w:lang w:val="en-US"/>
        </w:rPr>
      </w:pPr>
      <w:r w:rsidRPr="0032153F">
        <w:rPr>
          <w:rFonts w:eastAsiaTheme="minorHAnsi"/>
          <w:lang w:val="en-US"/>
        </w:rPr>
        <w:t>We posit that public transit operates as a distributive policy</w:t>
      </w:r>
      <w:r w:rsidR="009D5371">
        <w:rPr>
          <w:rFonts w:eastAsiaTheme="minorHAnsi"/>
          <w:lang w:val="en-US"/>
        </w:rPr>
        <w:t xml:space="preserve"> (</w:t>
      </w:r>
      <w:r w:rsidR="009D5371" w:rsidRPr="00A12349">
        <w:rPr>
          <w:rFonts w:eastAsiaTheme="minorHAnsi"/>
        </w:rPr>
        <w:t>Weingast, Shepsle, and Johnsen</w:t>
      </w:r>
      <w:r w:rsidR="009D5371">
        <w:rPr>
          <w:rFonts w:eastAsiaTheme="minorHAnsi"/>
          <w:lang w:val="en-US"/>
        </w:rPr>
        <w:t>,</w:t>
      </w:r>
      <w:r w:rsidR="009D5371" w:rsidRPr="00A12349">
        <w:rPr>
          <w:rFonts w:eastAsiaTheme="minorHAnsi"/>
        </w:rPr>
        <w:t xml:space="preserve"> 1981</w:t>
      </w:r>
      <w:r w:rsidR="009D5371">
        <w:rPr>
          <w:rFonts w:eastAsiaTheme="minorHAnsi"/>
          <w:lang w:val="en-US"/>
        </w:rPr>
        <w:t>)</w:t>
      </w:r>
      <w:r w:rsidRPr="0032153F">
        <w:rPr>
          <w:rFonts w:eastAsiaTheme="minorHAnsi"/>
          <w:lang w:val="en-US"/>
        </w:rPr>
        <w:t>, providing benefits through subsidized solutions that predominantly serve lower-income populations. As a result, these solutions can garner electoral support, rewarding incumbents with votes from the targeted beneficiaries (Woodhouse, 2023). Furthermore, broader societal benefits, such as reduced congestion from increased bus usage, may accrue even to those not directly subsidized.</w:t>
      </w:r>
    </w:p>
    <w:p w14:paraId="76791B79" w14:textId="1068CDC7" w:rsidR="0032153F" w:rsidRPr="0032153F" w:rsidRDefault="0032153F" w:rsidP="0032153F">
      <w:pPr>
        <w:spacing w:after="120" w:line="360" w:lineRule="auto"/>
        <w:rPr>
          <w:rFonts w:eastAsiaTheme="minorHAnsi"/>
          <w:lang w:val="en-US"/>
        </w:rPr>
      </w:pPr>
      <w:r w:rsidRPr="0032153F">
        <w:rPr>
          <w:rFonts w:eastAsiaTheme="minorHAnsi"/>
          <w:lang w:val="en-US"/>
        </w:rPr>
        <w:t>Economically, public transit policies play a pivotal role in enhancing mobility within the ever-evolving metropolitan areas. They counter the inefficiencies of systems overly reliant on single-occupant vehicles (Watkins, 2018) and remain vital. Recent research aims to bolster mass-transit ridership, lower costs, harness user data for system enhancements, and improve access for disadvantaged groups (</w:t>
      </w:r>
      <w:proofErr w:type="spellStart"/>
      <w:r w:rsidRPr="0032153F">
        <w:rPr>
          <w:rFonts w:eastAsiaTheme="minorHAnsi"/>
          <w:lang w:val="en-US"/>
        </w:rPr>
        <w:t>Nnene</w:t>
      </w:r>
      <w:proofErr w:type="spellEnd"/>
      <w:r w:rsidRPr="0032153F">
        <w:rPr>
          <w:rFonts w:eastAsiaTheme="minorHAnsi"/>
          <w:lang w:val="en-US"/>
        </w:rPr>
        <w:t xml:space="preserve"> et al., 2023; </w:t>
      </w:r>
      <w:proofErr w:type="spellStart"/>
      <w:r w:rsidRPr="0032153F">
        <w:rPr>
          <w:rFonts w:eastAsiaTheme="minorHAnsi"/>
          <w:lang w:val="en-US"/>
        </w:rPr>
        <w:t>Faroqi</w:t>
      </w:r>
      <w:proofErr w:type="spellEnd"/>
      <w:r w:rsidRPr="0032153F">
        <w:rPr>
          <w:rFonts w:eastAsiaTheme="minorHAnsi"/>
          <w:lang w:val="en-US"/>
        </w:rPr>
        <w:t xml:space="preserve"> et al., 2023; </w:t>
      </w:r>
      <w:proofErr w:type="spellStart"/>
      <w:r w:rsidRPr="0032153F">
        <w:rPr>
          <w:rFonts w:eastAsiaTheme="minorHAnsi"/>
          <w:lang w:val="en-US"/>
        </w:rPr>
        <w:t>Yoo</w:t>
      </w:r>
      <w:proofErr w:type="spellEnd"/>
      <w:r w:rsidRPr="0032153F">
        <w:rPr>
          <w:rFonts w:eastAsiaTheme="minorHAnsi"/>
          <w:lang w:val="en-US"/>
        </w:rPr>
        <w:t xml:space="preserve"> &amp; Lee, 2023). </w:t>
      </w:r>
      <w:proofErr w:type="spellStart"/>
      <w:r w:rsidR="00F11FFA" w:rsidRPr="0032153F">
        <w:rPr>
          <w:rFonts w:eastAsiaTheme="minorHAnsi"/>
          <w:lang w:val="en-US"/>
        </w:rPr>
        <w:t>Yoo</w:t>
      </w:r>
      <w:proofErr w:type="spellEnd"/>
      <w:r w:rsidRPr="0032153F">
        <w:rPr>
          <w:rFonts w:eastAsiaTheme="minorHAnsi"/>
          <w:lang w:val="en-US"/>
        </w:rPr>
        <w:t xml:space="preserve"> and Lee's (2023) "transit service need index" for Sydney exemplifies the nuanced considerations behind transit reform, balancing efficiency with social equity.</w:t>
      </w:r>
    </w:p>
    <w:p w14:paraId="24854579" w14:textId="77777777" w:rsidR="0032153F" w:rsidRPr="0032153F" w:rsidRDefault="0032153F" w:rsidP="0032153F">
      <w:pPr>
        <w:spacing w:after="120" w:line="360" w:lineRule="auto"/>
        <w:rPr>
          <w:rFonts w:eastAsiaTheme="minorHAnsi"/>
          <w:lang w:val="en-US"/>
        </w:rPr>
      </w:pPr>
      <w:r w:rsidRPr="0032153F">
        <w:rPr>
          <w:rFonts w:eastAsiaTheme="minorHAnsi"/>
          <w:lang w:val="en-US"/>
        </w:rPr>
        <w:t>The literature reveals two key challenges in public transit policy reform: the inherently contentious politics due to its distributive nature and the sector's complex technical aspects. Technological solutions, while diverse and innovative, are not universally applicable, necessitating a tailored approach that acknowledges the unique demands of each urban context.</w:t>
      </w:r>
    </w:p>
    <w:p w14:paraId="16BF0843" w14:textId="77777777" w:rsidR="0032153F" w:rsidRPr="0032153F" w:rsidRDefault="0032153F" w:rsidP="0032153F">
      <w:pPr>
        <w:spacing w:after="120" w:line="360" w:lineRule="auto"/>
        <w:rPr>
          <w:rFonts w:eastAsiaTheme="minorHAnsi"/>
          <w:lang w:val="en-US"/>
        </w:rPr>
      </w:pPr>
      <w:r w:rsidRPr="0032153F">
        <w:rPr>
          <w:rFonts w:eastAsiaTheme="minorHAnsi"/>
          <w:lang w:val="en-US"/>
        </w:rPr>
        <w:t>Elected officials, thus, are tasked with balancing innovative transportation solutions against the prospect of political support. However, change introduces informational costs, necessitates new habits, and imposes budgetary constraints. According to Hong, Kim, and Kwon (2022), innovation in policymaking is contingent upon citizen demand, external pressures from successful precedents, and the alignment of a politician's characteristics with the policy.</w:t>
      </w:r>
    </w:p>
    <w:p w14:paraId="32E5CC1F" w14:textId="77777777" w:rsidR="0032153F" w:rsidRPr="0032153F" w:rsidRDefault="0032153F" w:rsidP="0032153F">
      <w:pPr>
        <w:spacing w:after="120" w:line="360" w:lineRule="auto"/>
        <w:rPr>
          <w:rFonts w:eastAsiaTheme="minorHAnsi"/>
          <w:lang w:val="en-US"/>
        </w:rPr>
      </w:pPr>
      <w:r w:rsidRPr="0032153F">
        <w:rPr>
          <w:rFonts w:eastAsiaTheme="minorHAnsi"/>
          <w:lang w:val="en-US"/>
        </w:rPr>
        <w:t xml:space="preserve">Consequently, while innovative, distributive transportation policies have the potential for electoral dividends, the inherent risks may deter risk-averse politicians from implementation. Our theoretical framework builds on the premise that such policy innovations, if desirable and visible </w:t>
      </w:r>
      <w:r w:rsidRPr="0032153F">
        <w:rPr>
          <w:rFonts w:eastAsiaTheme="minorHAnsi"/>
          <w:lang w:val="en-US"/>
        </w:rPr>
        <w:lastRenderedPageBreak/>
        <w:t>to constituents, may indeed result in electoral rewards for incumbents. However, the uncertainty of electoral gain compels a cautious approach to innovation.</w:t>
      </w:r>
    </w:p>
    <w:p w14:paraId="226AC692" w14:textId="77777777" w:rsidR="00792FB7" w:rsidRPr="00D02FB3" w:rsidRDefault="00792FB7" w:rsidP="00792FB7">
      <w:pPr>
        <w:pStyle w:val="Ttulo1"/>
        <w:rPr>
          <w:rFonts w:cs="Times New Roman"/>
          <w:szCs w:val="28"/>
        </w:rPr>
      </w:pPr>
      <w:r w:rsidRPr="00D02FB3">
        <w:rPr>
          <w:rFonts w:cs="Times New Roman"/>
          <w:szCs w:val="28"/>
        </w:rPr>
        <w:t>Policy Impact and Electoral Choice</w:t>
      </w:r>
    </w:p>
    <w:p w14:paraId="6B2FABBB" w14:textId="77777777" w:rsidR="00376DBB" w:rsidRPr="00376DBB" w:rsidRDefault="00376DBB" w:rsidP="00376DBB">
      <w:pPr>
        <w:spacing w:after="120" w:line="360" w:lineRule="auto"/>
        <w:rPr>
          <w:rFonts w:eastAsiaTheme="minorHAnsi"/>
          <w:lang w:val="en-US"/>
        </w:rPr>
      </w:pPr>
      <w:r w:rsidRPr="00376DBB">
        <w:rPr>
          <w:rFonts w:eastAsiaTheme="minorHAnsi"/>
          <w:lang w:val="en-US"/>
        </w:rPr>
        <w:t>The nexus between policymaking and electoral outcomes is well-documented; elections act as a barometer for public sentiment on reforms and can influence an official’s willingness to innovate (</w:t>
      </w:r>
      <w:proofErr w:type="spellStart"/>
      <w:r w:rsidRPr="00376DBB">
        <w:rPr>
          <w:rFonts w:eastAsiaTheme="minorHAnsi"/>
          <w:lang w:val="en-US"/>
        </w:rPr>
        <w:t>Flom</w:t>
      </w:r>
      <w:proofErr w:type="spellEnd"/>
      <w:r w:rsidRPr="00376DBB">
        <w:rPr>
          <w:rFonts w:eastAsiaTheme="minorHAnsi"/>
          <w:lang w:val="en-US"/>
        </w:rPr>
        <w:t>, 2023). Politicians often craft policies with electoral ambitions in mind, aiming to maximize votes by tailoring investments and initiatives to strategic regions (Albertus, 2013; Woodhouse, 2023).</w:t>
      </w:r>
    </w:p>
    <w:p w14:paraId="7A7EB004" w14:textId="77777777" w:rsidR="00376DBB" w:rsidRPr="00376DBB" w:rsidRDefault="00376DBB" w:rsidP="00376DBB">
      <w:pPr>
        <w:spacing w:after="120" w:line="360" w:lineRule="auto"/>
        <w:rPr>
          <w:rFonts w:eastAsiaTheme="minorHAnsi"/>
          <w:lang w:val="en-US"/>
        </w:rPr>
      </w:pPr>
      <w:r w:rsidRPr="00376DBB">
        <w:rPr>
          <w:rFonts w:eastAsiaTheme="minorHAnsi"/>
          <w:lang w:val="en-US"/>
        </w:rPr>
        <w:t>Voters’ appraisal of policies can be nuanced. Performance-based models suggest that effective policymaking is rewarded at the ballot box. This reward manifests as increased citizen satisfaction and positive retrospective voting—where voters assess government performance and cast their votes accordingly (Healy &amp; Malhotra, 2013).</w:t>
      </w:r>
    </w:p>
    <w:p w14:paraId="784BEE53" w14:textId="77777777" w:rsidR="00376DBB" w:rsidRPr="00376DBB" w:rsidRDefault="00376DBB" w:rsidP="00376DBB">
      <w:pPr>
        <w:spacing w:after="120" w:line="360" w:lineRule="auto"/>
        <w:rPr>
          <w:rFonts w:eastAsiaTheme="minorHAnsi"/>
          <w:lang w:val="en-US"/>
        </w:rPr>
      </w:pPr>
      <w:r w:rsidRPr="00376DBB">
        <w:rPr>
          <w:rFonts w:eastAsiaTheme="minorHAnsi"/>
          <w:lang w:val="en-US"/>
        </w:rPr>
        <w:t>Although economic policy is a common focus, performance-linked electoral outcomes span various sectors. Studies have shown that quality local roads can boost electoral support for local officials (Burnett &amp; Kogan, 2017), school board members are judged by academic performance (Berry &amp; Howell, 2007), and incumbents’ handling of natural disasters (Healy &amp; Malhotra, 2009) and wartime decisions (Grose &amp; Oppenheimer, 2007) significantly impact voter perceptions.</w:t>
      </w:r>
    </w:p>
    <w:p w14:paraId="4E999F63" w14:textId="77777777" w:rsidR="00376DBB" w:rsidRPr="00376DBB" w:rsidRDefault="00376DBB" w:rsidP="00376DBB">
      <w:pPr>
        <w:spacing w:after="120" w:line="360" w:lineRule="auto"/>
        <w:rPr>
          <w:rFonts w:eastAsiaTheme="minorHAnsi"/>
          <w:lang w:val="en-US"/>
        </w:rPr>
      </w:pPr>
      <w:r w:rsidRPr="00376DBB">
        <w:rPr>
          <w:rFonts w:eastAsiaTheme="minorHAnsi"/>
          <w:lang w:val="en-US"/>
        </w:rPr>
        <w:t xml:space="preserve">However, several factors can distort this performance-reward correlation, including biased perceptions, ambiguity in policy responsibility, and complex policy interests. Debates around the </w:t>
      </w:r>
      <w:proofErr w:type="spellStart"/>
      <w:r w:rsidRPr="009334DB">
        <w:rPr>
          <w:rFonts w:eastAsiaTheme="minorHAnsi"/>
          <w:i/>
          <w:iCs/>
          <w:lang w:val="en-US"/>
        </w:rPr>
        <w:t>sociotropic</w:t>
      </w:r>
      <w:proofErr w:type="spellEnd"/>
      <w:r w:rsidRPr="00376DBB">
        <w:rPr>
          <w:rFonts w:eastAsiaTheme="minorHAnsi"/>
          <w:lang w:val="en-US"/>
        </w:rPr>
        <w:t xml:space="preserve"> versus </w:t>
      </w:r>
      <w:r w:rsidRPr="009334DB">
        <w:rPr>
          <w:rFonts w:eastAsiaTheme="minorHAnsi"/>
          <w:i/>
          <w:iCs/>
          <w:lang w:val="en-US"/>
        </w:rPr>
        <w:t>pocketbook</w:t>
      </w:r>
      <w:r w:rsidRPr="00376DBB">
        <w:rPr>
          <w:rFonts w:eastAsiaTheme="minorHAnsi"/>
          <w:lang w:val="en-US"/>
        </w:rPr>
        <w:t xml:space="preserve"> voting underscore this complexity; voters may weigh overall economic health against their financial wellbeing when casting ballots (Kramer, 1971; Hansford &amp; Gomez, 2015).</w:t>
      </w:r>
    </w:p>
    <w:p w14:paraId="54CD1CA2" w14:textId="20B90C7E" w:rsidR="00376DBB" w:rsidRPr="00376DBB" w:rsidRDefault="00376DBB" w:rsidP="00376DBB">
      <w:pPr>
        <w:spacing w:after="120" w:line="360" w:lineRule="auto"/>
        <w:rPr>
          <w:rFonts w:eastAsiaTheme="minorHAnsi"/>
          <w:lang w:val="en-US"/>
        </w:rPr>
      </w:pPr>
      <w:r w:rsidRPr="00376DBB">
        <w:rPr>
          <w:rFonts w:eastAsiaTheme="minorHAnsi"/>
          <w:lang w:val="en-US"/>
        </w:rPr>
        <w:t>Biases and responsibility attribution further muddy these waters. Voters often view policy outcomes through the lens of partisanship, rewarding co-partisan initiatives and penalizing opposing ones (Lenz, 2013; Marvel, 2015</w:t>
      </w:r>
      <w:r w:rsidR="001E078F">
        <w:rPr>
          <w:rFonts w:eastAsiaTheme="minorHAnsi"/>
          <w:lang w:val="en-US"/>
        </w:rPr>
        <w:t xml:space="preserve"> and 2016</w:t>
      </w:r>
      <w:r w:rsidRPr="00376DBB">
        <w:rPr>
          <w:rFonts w:eastAsiaTheme="minorHAnsi"/>
          <w:lang w:val="en-US"/>
        </w:rPr>
        <w:t>). Such cognitive biases are exacerbated when policy responsibility is dispersed, leaving voters uncertain about who to credit or blame (</w:t>
      </w:r>
      <w:proofErr w:type="spellStart"/>
      <w:r w:rsidRPr="00376DBB">
        <w:rPr>
          <w:rFonts w:eastAsiaTheme="minorHAnsi"/>
          <w:lang w:val="en-US"/>
        </w:rPr>
        <w:t>Jilke</w:t>
      </w:r>
      <w:proofErr w:type="spellEnd"/>
      <w:r w:rsidRPr="00376DBB">
        <w:rPr>
          <w:rFonts w:eastAsiaTheme="minorHAnsi"/>
          <w:lang w:val="en-US"/>
        </w:rPr>
        <w:t>, 2018).</w:t>
      </w:r>
    </w:p>
    <w:p w14:paraId="621DA855" w14:textId="77777777" w:rsidR="00376DBB" w:rsidRPr="00376DBB" w:rsidRDefault="00376DBB" w:rsidP="00376DBB">
      <w:pPr>
        <w:spacing w:after="120" w:line="360" w:lineRule="auto"/>
        <w:rPr>
          <w:rFonts w:eastAsiaTheme="minorHAnsi"/>
          <w:lang w:val="en-US"/>
        </w:rPr>
      </w:pPr>
      <w:r w:rsidRPr="00376DBB">
        <w:rPr>
          <w:rFonts w:eastAsiaTheme="minorHAnsi"/>
          <w:lang w:val="en-US"/>
        </w:rPr>
        <w:t xml:space="preserve">Unexpected demographics may also respond to policies in unanticipated ways. Holland (2023) finds that support for new metro stations in Bogotá came predominantly from upper-class </w:t>
      </w:r>
      <w:r w:rsidRPr="00376DBB">
        <w:rPr>
          <w:rFonts w:eastAsiaTheme="minorHAnsi"/>
          <w:lang w:val="en-US"/>
        </w:rPr>
        <w:lastRenderedPageBreak/>
        <w:t>households, not the working-class users who stand to benefit directly. These findings suggest that secondary benefits, like reduced traffic congestion, can influence support for public initiatives.</w:t>
      </w:r>
    </w:p>
    <w:p w14:paraId="07E0354F" w14:textId="77777777" w:rsidR="00376DBB" w:rsidRPr="00376DBB" w:rsidRDefault="00376DBB" w:rsidP="00376DBB">
      <w:pPr>
        <w:spacing w:after="120" w:line="360" w:lineRule="auto"/>
        <w:rPr>
          <w:rFonts w:eastAsiaTheme="minorHAnsi"/>
          <w:lang w:val="en-US"/>
        </w:rPr>
      </w:pPr>
      <w:r w:rsidRPr="00376DBB">
        <w:rPr>
          <w:rFonts w:eastAsiaTheme="minorHAnsi"/>
          <w:lang w:val="en-US"/>
        </w:rPr>
        <w:t>The path from innovative policymaking to electoral rewards is complex and fraught with potential voter biases, misattribution of responsibility, and unforeseen reactions. Moreover, the immediate performance of a new policy is not guaranteed. Yet, when policy innovations tangibly benefit constituents—such as reducing commute times and costs—voters are likely to support the responsible incumbent, transcending partisan allegiances.</w:t>
      </w:r>
    </w:p>
    <w:p w14:paraId="3EB3E201" w14:textId="035E2FF7" w:rsidR="00376DBB" w:rsidRDefault="00376DBB" w:rsidP="00376DBB">
      <w:pPr>
        <w:spacing w:after="120" w:line="360" w:lineRule="auto"/>
        <w:rPr>
          <w:rFonts w:eastAsiaTheme="minorHAnsi"/>
          <w:lang w:val="en-US"/>
        </w:rPr>
      </w:pPr>
      <w:r w:rsidRPr="00376DBB">
        <w:rPr>
          <w:rFonts w:eastAsiaTheme="minorHAnsi"/>
          <w:lang w:val="en-US"/>
        </w:rPr>
        <w:t>We argue that the effects of policy innovations are more discernible among direct beneficiaries. These individuals, whose daily lives are markedly improved by new policies, may prioritize personal gains over party affiliation, viewing the incumbent as a catalyst for positive change. Therefore, we hypothesize</w:t>
      </w:r>
      <w:r>
        <w:rPr>
          <w:rFonts w:eastAsiaTheme="minorHAnsi"/>
          <w:lang w:val="en-US"/>
        </w:rPr>
        <w:t xml:space="preserve"> that t</w:t>
      </w:r>
      <w:r w:rsidRPr="00376DBB">
        <w:rPr>
          <w:rFonts w:eastAsiaTheme="minorHAnsi"/>
          <w:lang w:val="en-US"/>
        </w:rPr>
        <w:t>he greater the number of public transit policy beneficiaries in a region, the more substantial the support for the incumbent official in the subsequent election.</w:t>
      </w:r>
      <w:r>
        <w:rPr>
          <w:rFonts w:eastAsiaTheme="minorHAnsi"/>
          <w:lang w:val="en-US"/>
        </w:rPr>
        <w:t xml:space="preserve"> This </w:t>
      </w:r>
      <w:r w:rsidR="00545973">
        <w:rPr>
          <w:rFonts w:eastAsiaTheme="minorHAnsi"/>
          <w:lang w:val="en-US"/>
        </w:rPr>
        <w:t xml:space="preserve">hypothesis is </w:t>
      </w:r>
      <w:r>
        <w:rPr>
          <w:rFonts w:eastAsiaTheme="minorHAnsi"/>
          <w:lang w:val="en-US"/>
        </w:rPr>
        <w:t>the basis of our empirical approach.</w:t>
      </w:r>
    </w:p>
    <w:p w14:paraId="6226B263" w14:textId="3D247511" w:rsidR="00D32CBB" w:rsidRPr="00D02FB3" w:rsidRDefault="00D32CBB" w:rsidP="00D32CBB">
      <w:pPr>
        <w:spacing w:after="120" w:line="360" w:lineRule="auto"/>
        <w:rPr>
          <w:rFonts w:eastAsiaTheme="minorHAnsi"/>
          <w:b/>
          <w:bCs/>
          <w:sz w:val="28"/>
          <w:szCs w:val="28"/>
          <w:lang w:val="en-US"/>
        </w:rPr>
      </w:pPr>
      <w:r w:rsidRPr="00D02FB3">
        <w:rPr>
          <w:rFonts w:eastAsiaTheme="minorHAnsi"/>
          <w:b/>
          <w:bCs/>
          <w:sz w:val="28"/>
          <w:szCs w:val="28"/>
          <w:lang w:val="en-US"/>
        </w:rPr>
        <w:t xml:space="preserve">The </w:t>
      </w:r>
      <w:r w:rsidR="001C5434" w:rsidRPr="00D02FB3">
        <w:rPr>
          <w:rFonts w:eastAsiaTheme="minorHAnsi"/>
          <w:b/>
          <w:bCs/>
          <w:sz w:val="28"/>
          <w:szCs w:val="28"/>
          <w:lang w:val="en-US"/>
        </w:rPr>
        <w:t xml:space="preserve">Integrated </w:t>
      </w:r>
      <w:r w:rsidR="001C5434" w:rsidRPr="00D02FB3">
        <w:rPr>
          <w:rFonts w:eastAsiaTheme="minorHAnsi"/>
          <w:b/>
          <w:bCs/>
          <w:sz w:val="28"/>
          <w:szCs w:val="28"/>
          <w:lang w:val="en-US"/>
        </w:rPr>
        <w:t>Public Transit</w:t>
      </w:r>
      <w:r w:rsidR="001C5434" w:rsidRPr="00D02FB3">
        <w:rPr>
          <w:rFonts w:eastAsiaTheme="minorHAnsi"/>
          <w:b/>
          <w:bCs/>
          <w:sz w:val="28"/>
          <w:szCs w:val="28"/>
          <w:lang w:val="en-US"/>
        </w:rPr>
        <w:t xml:space="preserve"> </w:t>
      </w:r>
      <w:r w:rsidRPr="00D02FB3">
        <w:rPr>
          <w:rFonts w:eastAsiaTheme="minorHAnsi"/>
          <w:b/>
          <w:bCs/>
          <w:sz w:val="28"/>
          <w:szCs w:val="28"/>
          <w:lang w:val="en-US"/>
        </w:rPr>
        <w:t>Initiative in São Paulo</w:t>
      </w:r>
    </w:p>
    <w:p w14:paraId="0156161F" w14:textId="3EB6DF31" w:rsidR="00D32CBB" w:rsidRPr="00D32CBB" w:rsidRDefault="00D32CBB" w:rsidP="00D32CBB">
      <w:pPr>
        <w:spacing w:after="120" w:line="360" w:lineRule="auto"/>
        <w:rPr>
          <w:rFonts w:eastAsiaTheme="minorHAnsi"/>
          <w:lang w:val="en-US"/>
        </w:rPr>
      </w:pPr>
      <w:r w:rsidRPr="00D32CBB">
        <w:rPr>
          <w:rFonts w:eastAsiaTheme="minorHAnsi"/>
          <w:lang w:val="en-US"/>
        </w:rPr>
        <w:t>In Brazil, municipalities are tasked with public transit, often outsourcing to private operators under monopolistic conditions. These contracts detail fares, routes, and quality standards, yet often fall prey to inefficiencies due to urban evolution and technological advances. In 1998, authorities in São Paulo identified a yearly diseconomy of R$ 346 million due to a disjointed transit network</w:t>
      </w:r>
      <w:r w:rsidR="00473092">
        <w:rPr>
          <w:rFonts w:eastAsiaTheme="minorHAnsi"/>
          <w:lang w:val="en-US"/>
        </w:rPr>
        <w:t xml:space="preserve"> (São Paulo, 2004)</w:t>
      </w:r>
      <w:r w:rsidRPr="00D32CBB">
        <w:rPr>
          <w:rFonts w:eastAsiaTheme="minorHAnsi"/>
          <w:lang w:val="en-US"/>
        </w:rPr>
        <w:t>.</w:t>
      </w:r>
    </w:p>
    <w:p w14:paraId="09894041" w14:textId="77777777" w:rsidR="00D32CBB" w:rsidRPr="00D32CBB" w:rsidRDefault="00D32CBB" w:rsidP="00D32CBB">
      <w:pPr>
        <w:spacing w:after="120" w:line="360" w:lineRule="auto"/>
        <w:rPr>
          <w:rFonts w:eastAsiaTheme="minorHAnsi"/>
          <w:lang w:val="en-US"/>
        </w:rPr>
      </w:pPr>
      <w:r w:rsidRPr="00D32CBB">
        <w:rPr>
          <w:rFonts w:eastAsiaTheme="minorHAnsi"/>
          <w:lang w:val="en-US"/>
        </w:rPr>
        <w:t xml:space="preserve">To combat these inefficiencies, Mayor Marta </w:t>
      </w:r>
      <w:proofErr w:type="spellStart"/>
      <w:r w:rsidRPr="00D32CBB">
        <w:rPr>
          <w:rFonts w:eastAsiaTheme="minorHAnsi"/>
          <w:lang w:val="en-US"/>
        </w:rPr>
        <w:t>Suplicy's</w:t>
      </w:r>
      <w:proofErr w:type="spellEnd"/>
      <w:r w:rsidRPr="00D32CBB">
        <w:rPr>
          <w:rFonts w:eastAsiaTheme="minorHAnsi"/>
          <w:lang w:val="en-US"/>
        </w:rPr>
        <w:t xml:space="preserve"> administration initiated the Interconnected São Paulo plan. Recognizing the inadequacies of the current radial bus routes, an interdisciplinary task force suggested comprehensive reforms: electronic billing to streamline fare systems, improved bus terminal facilities for better route connectivity, prioritization of bus transit, and enhanced monitoring to rationalize operations.</w:t>
      </w:r>
    </w:p>
    <w:p w14:paraId="5AD4F070" w14:textId="77777777" w:rsidR="00D32CBB" w:rsidRPr="00D32CBB" w:rsidRDefault="00D32CBB" w:rsidP="00D32CBB">
      <w:pPr>
        <w:spacing w:after="120" w:line="360" w:lineRule="auto"/>
        <w:rPr>
          <w:rFonts w:eastAsiaTheme="minorHAnsi"/>
          <w:lang w:val="en-US"/>
        </w:rPr>
      </w:pPr>
      <w:r w:rsidRPr="00D32CBB">
        <w:rPr>
          <w:rFonts w:eastAsiaTheme="minorHAnsi"/>
          <w:lang w:val="en-US"/>
        </w:rPr>
        <w:t>Central to these reforms was the contactless smart card (SC), pivotal for the tariff policy and as a facilitator of route integration. With SC technology, commuters could seamlessly transfer between buses, avoiding additional costs and lengthy waits, thus making neighborhood-to-neighborhood commutes more efficient.</w:t>
      </w:r>
    </w:p>
    <w:p w14:paraId="70DE5BE3" w14:textId="77777777" w:rsidR="00D32CBB" w:rsidRPr="00D32CBB" w:rsidRDefault="00D32CBB" w:rsidP="00D32CBB">
      <w:pPr>
        <w:spacing w:after="120" w:line="360" w:lineRule="auto"/>
        <w:rPr>
          <w:rFonts w:eastAsiaTheme="minorHAnsi"/>
          <w:lang w:val="en-US"/>
        </w:rPr>
      </w:pPr>
      <w:r w:rsidRPr="00D32CBB">
        <w:rPr>
          <w:rFonts w:eastAsiaTheme="minorHAnsi"/>
          <w:lang w:val="en-US"/>
        </w:rPr>
        <w:lastRenderedPageBreak/>
        <w:t xml:space="preserve">The SC's rollout occurred in four stages, beginning with technical trials and legal preparations. The program initially targeted the elderly and students, extending to formal workers through partnerships with private companies offering transportation vouchers. The final phase saw broad public distribution, where users registered at city offices or through </w:t>
      </w:r>
      <w:r w:rsidRPr="009334DB">
        <w:rPr>
          <w:rFonts w:eastAsiaTheme="minorHAnsi"/>
          <w:i/>
          <w:iCs/>
          <w:lang w:val="en-US"/>
        </w:rPr>
        <w:t xml:space="preserve">Caixa </w:t>
      </w:r>
      <w:proofErr w:type="spellStart"/>
      <w:r w:rsidRPr="009334DB">
        <w:rPr>
          <w:rFonts w:eastAsiaTheme="minorHAnsi"/>
          <w:i/>
          <w:iCs/>
          <w:lang w:val="en-US"/>
        </w:rPr>
        <w:t>Econômica</w:t>
      </w:r>
      <w:proofErr w:type="spellEnd"/>
      <w:r w:rsidRPr="009334DB">
        <w:rPr>
          <w:rFonts w:eastAsiaTheme="minorHAnsi"/>
          <w:i/>
          <w:iCs/>
          <w:lang w:val="en-US"/>
        </w:rPr>
        <w:t xml:space="preserve"> Federal</w:t>
      </w:r>
      <w:r w:rsidRPr="00D32CBB">
        <w:rPr>
          <w:rFonts w:eastAsiaTheme="minorHAnsi"/>
          <w:lang w:val="en-US"/>
        </w:rPr>
        <w:t>, a prominent public bank.</w:t>
      </w:r>
    </w:p>
    <w:p w14:paraId="1E7B4834" w14:textId="6B35BA54" w:rsidR="00D32CBB" w:rsidRDefault="00D32CBB" w:rsidP="00D32CBB">
      <w:pPr>
        <w:spacing w:after="120" w:line="360" w:lineRule="auto"/>
        <w:rPr>
          <w:rFonts w:eastAsiaTheme="minorHAnsi"/>
          <w:lang w:val="en-US"/>
        </w:rPr>
      </w:pPr>
      <w:r w:rsidRPr="00D32CBB">
        <w:rPr>
          <w:rFonts w:eastAsiaTheme="minorHAnsi"/>
          <w:lang w:val="en-US"/>
        </w:rPr>
        <w:t xml:space="preserve">By February 2005, the SC system was fully operational, revolutionizing payment for public transit and subsequently integrating with subway and rail systems under </w:t>
      </w:r>
      <w:r w:rsidR="00DA3261">
        <w:rPr>
          <w:rFonts w:eastAsiaTheme="minorHAnsi"/>
          <w:lang w:val="en-US"/>
        </w:rPr>
        <w:t>the next</w:t>
      </w:r>
      <w:r w:rsidRPr="00D32CBB">
        <w:rPr>
          <w:rFonts w:eastAsiaTheme="minorHAnsi"/>
          <w:lang w:val="en-US"/>
        </w:rPr>
        <w:t xml:space="preserve"> city administration. This innovation set a precedent for public transit payment in Brazil, with cities like Rio de Janeiro and others with populations over 500,000 adopting similar systems.</w:t>
      </w:r>
    </w:p>
    <w:p w14:paraId="1D6C2981" w14:textId="77777777" w:rsidR="009861BA" w:rsidRPr="00D02FB3" w:rsidRDefault="009861BA" w:rsidP="009861BA">
      <w:pPr>
        <w:spacing w:after="120" w:line="360" w:lineRule="auto"/>
        <w:rPr>
          <w:rFonts w:eastAsiaTheme="minorHAnsi"/>
          <w:b/>
          <w:bCs/>
          <w:sz w:val="28"/>
          <w:szCs w:val="28"/>
          <w:lang w:val="en-US"/>
        </w:rPr>
      </w:pPr>
      <w:r w:rsidRPr="00D02FB3">
        <w:rPr>
          <w:rFonts w:eastAsiaTheme="minorHAnsi"/>
          <w:b/>
          <w:bCs/>
          <w:sz w:val="28"/>
          <w:szCs w:val="28"/>
          <w:lang w:val="en-US"/>
        </w:rPr>
        <w:t>Empirical Strategy</w:t>
      </w:r>
    </w:p>
    <w:p w14:paraId="43688568" w14:textId="77777777" w:rsidR="009861BA" w:rsidRPr="009861BA" w:rsidRDefault="009861BA" w:rsidP="009861BA">
      <w:pPr>
        <w:spacing w:after="120" w:line="360" w:lineRule="auto"/>
        <w:rPr>
          <w:rFonts w:eastAsiaTheme="minorHAnsi"/>
          <w:lang w:val="en-US"/>
        </w:rPr>
      </w:pPr>
      <w:r w:rsidRPr="009861BA">
        <w:rPr>
          <w:rFonts w:eastAsiaTheme="minorHAnsi"/>
          <w:lang w:val="en-US"/>
        </w:rPr>
        <w:t>Our analysis treats the Smart Card Policy as an exogenous intervention, impacting the citizens of São Paulo non-selectively. Variations in the policy's impact were inherently tied to the existing transport infrastructure, which was beyond the scope of short-term political influence. This natural variance provides a unique opportunity to assess the incumbent's electoral performance across different city zones, each experiencing the policy's economic benefits to varying degrees.</w:t>
      </w:r>
    </w:p>
    <w:p w14:paraId="7D1ADD9D" w14:textId="77777777" w:rsidR="009861BA" w:rsidRPr="009861BA" w:rsidRDefault="009861BA" w:rsidP="009861BA">
      <w:pPr>
        <w:spacing w:after="120" w:line="360" w:lineRule="auto"/>
        <w:rPr>
          <w:rFonts w:eastAsiaTheme="minorHAnsi"/>
          <w:lang w:val="en-US"/>
        </w:rPr>
      </w:pPr>
      <w:r w:rsidRPr="009861BA">
        <w:rPr>
          <w:rFonts w:eastAsiaTheme="minorHAnsi"/>
          <w:lang w:val="en-US"/>
        </w:rPr>
        <w:t>São Paulo's transport network—a mix of bus routes, corridors, terminals, commuter rails, and the subway—was considered fixed as of 1997, before policy implementation. In zones where bus services were limited ("Zone A"), commuters had to make multiple transfers, often at double the cost. Conversely, in well-connected zones ("Zone B"), such transfers were less necessary. The Smart Card policy, by offering fare exemptions for transfers, had a more pronounced effect in Zone A, where pre-existing network conditions necessitated multiple bus journeys.</w:t>
      </w:r>
    </w:p>
    <w:p w14:paraId="5615A0F0" w14:textId="77777777" w:rsidR="009861BA" w:rsidRPr="009861BA" w:rsidRDefault="009861BA" w:rsidP="009861BA">
      <w:pPr>
        <w:spacing w:after="120" w:line="360" w:lineRule="auto"/>
        <w:rPr>
          <w:rFonts w:eastAsiaTheme="minorHAnsi"/>
          <w:lang w:val="en-US"/>
        </w:rPr>
      </w:pPr>
      <w:r w:rsidRPr="009861BA">
        <w:rPr>
          <w:rFonts w:eastAsiaTheme="minorHAnsi"/>
          <w:lang w:val="en-US"/>
        </w:rPr>
        <w:t>The policy's technical nature meant that it could not be used by the incumbent mayor to strategically target specific zones for electoral gain, as the benefits were dictated by the pre-treatment bus infrastructure. Our empirical approach, using a difference-in-differences (DID) model with intensity variation, compared zones by the degree of policy impact, rather than a binary treated-versus-untreated framework.</w:t>
      </w:r>
    </w:p>
    <w:p w14:paraId="29D9007C" w14:textId="77777777" w:rsidR="009861BA" w:rsidRPr="009861BA" w:rsidRDefault="009861BA" w:rsidP="009861BA">
      <w:pPr>
        <w:spacing w:after="120" w:line="360" w:lineRule="auto"/>
        <w:rPr>
          <w:rFonts w:eastAsiaTheme="minorHAnsi"/>
          <w:lang w:val="en-US"/>
        </w:rPr>
      </w:pPr>
      <w:r w:rsidRPr="009861BA">
        <w:rPr>
          <w:rFonts w:eastAsiaTheme="minorHAnsi"/>
          <w:lang w:val="en-US"/>
        </w:rPr>
        <w:t>We recognize the limitations in establishing causality, particularly due to data constraints that prevent us from examining trends prior to the 2000 baseline election. To mitigate this, we incorporated the baseline vote share as a control for pre-existing voting patterns in our model.</w:t>
      </w:r>
    </w:p>
    <w:p w14:paraId="2AF96991" w14:textId="77777777" w:rsidR="009861BA" w:rsidRPr="009861BA" w:rsidRDefault="009861BA" w:rsidP="009861BA">
      <w:pPr>
        <w:spacing w:after="120" w:line="360" w:lineRule="auto"/>
        <w:rPr>
          <w:rFonts w:eastAsiaTheme="minorHAnsi"/>
          <w:lang w:val="en-US"/>
        </w:rPr>
      </w:pPr>
      <w:r w:rsidRPr="009861BA">
        <w:rPr>
          <w:rFonts w:eastAsiaTheme="minorHAnsi"/>
          <w:lang w:val="en-US"/>
        </w:rPr>
        <w:lastRenderedPageBreak/>
        <w:t>Addressing potential confounders is crucial, as other concurrent policies, such as the Bus Rapid Transit system, or historical voting shifts, particularly the Labor Party's growing influence in the city's peripheries, could influence the incumbent's performance. Our model accounts for these through additional controls and interaction terms, evaluating the stability of the Smart Card policy's effect across various specifications.</w:t>
      </w:r>
    </w:p>
    <w:p w14:paraId="1AD822E2" w14:textId="2370E53F" w:rsidR="009861BA" w:rsidRPr="0017752E" w:rsidRDefault="009861BA" w:rsidP="009861BA">
      <w:pPr>
        <w:spacing w:after="120" w:line="360" w:lineRule="auto"/>
        <w:rPr>
          <w:rFonts w:eastAsiaTheme="minorHAnsi"/>
          <w:lang w:val="en-US"/>
        </w:rPr>
      </w:pPr>
      <w:r w:rsidRPr="009861BA">
        <w:rPr>
          <w:rFonts w:eastAsiaTheme="minorHAnsi"/>
          <w:lang w:val="en-US"/>
        </w:rPr>
        <w:t xml:space="preserve">The empirical model is defined by Equation 1, where </w:t>
      </w:r>
      <m:oMath>
        <m:sSubSup>
          <m:sSubSupPr>
            <m:ctrlPr>
              <w:rPr>
                <w:rFonts w:ascii="Cambria Math" w:hAnsi="Cambria Math"/>
                <w:i/>
              </w:rPr>
            </m:ctrlPr>
          </m:sSubSupPr>
          <m:e>
            <m:r>
              <w:rPr>
                <w:rFonts w:ascii="Cambria Math" w:hAnsi="Cambria Math"/>
              </w:rPr>
              <m:t>∆I_V</m:t>
            </m:r>
          </m:e>
          <m:sub>
            <m:r>
              <w:rPr>
                <w:rFonts w:ascii="Cambria Math" w:hAnsi="Cambria Math"/>
              </w:rPr>
              <m:t>z</m:t>
            </m:r>
          </m:sub>
          <m:sup>
            <m:r>
              <w:rPr>
                <w:rFonts w:ascii="Cambria Math" w:hAnsi="Cambria Math"/>
              </w:rPr>
              <m:t>2004-2000</m:t>
            </m:r>
          </m:sup>
        </m:sSubSup>
      </m:oMath>
      <w:r>
        <w:rPr>
          <w:rFonts w:eastAsiaTheme="minorEastAsia"/>
          <w:lang w:val="en-US"/>
        </w:rPr>
        <w:t xml:space="preserve"> is the </w:t>
      </w:r>
      <w:r w:rsidRPr="009861BA">
        <w:rPr>
          <w:rFonts w:eastAsiaTheme="minorEastAsia"/>
          <w:lang w:val="en-US"/>
        </w:rPr>
        <w:t>change in the incumbent's vote share from 2000 to 2004</w:t>
      </w:r>
      <w:r>
        <w:rPr>
          <w:rFonts w:eastAsiaTheme="minorEastAsia"/>
          <w:lang w:val="en-US"/>
        </w:rPr>
        <w:t>,</w:t>
      </w:r>
      <w:r>
        <w:rPr>
          <w:rFonts w:eastAsiaTheme="minorEastAsia"/>
          <w:lang w:val="en-US"/>
        </w:rPr>
        <w:t xml:space="preserve"> </w:t>
      </w:r>
      <m:oMath>
        <m:sSubSup>
          <m:sSubSupPr>
            <m:ctrlPr>
              <w:rPr>
                <w:rFonts w:ascii="Cambria Math" w:hAnsi="Cambria Math"/>
                <w:i/>
              </w:rPr>
            </m:ctrlPr>
          </m:sSubSupPr>
          <m:e>
            <m:r>
              <w:rPr>
                <w:rFonts w:ascii="Cambria Math" w:hAnsi="Cambria Math"/>
              </w:rPr>
              <m:t>I_V</m:t>
            </m:r>
          </m:e>
          <m:sub>
            <m:r>
              <w:rPr>
                <w:rFonts w:ascii="Cambria Math" w:hAnsi="Cambria Math"/>
              </w:rPr>
              <m:t>z</m:t>
            </m:r>
          </m:sub>
          <m:sup>
            <m:r>
              <w:rPr>
                <w:rFonts w:ascii="Cambria Math" w:hAnsi="Cambria Math"/>
              </w:rPr>
              <m:t>2000</m:t>
            </m:r>
          </m:sup>
        </m:sSubSup>
      </m:oMath>
      <w:r>
        <w:rPr>
          <w:rFonts w:eastAsiaTheme="minorEastAsia"/>
          <w:lang w:val="en-US"/>
        </w:rPr>
        <w:t xml:space="preserve"> </w:t>
      </w:r>
      <w:r w:rsidRPr="009861BA">
        <w:rPr>
          <w:rFonts w:eastAsiaTheme="minorEastAsia"/>
          <w:lang w:val="en-US"/>
        </w:rPr>
        <w:t xml:space="preserve">is the vote share in 2000, </w:t>
      </w:r>
      <m:oMath>
        <m:sSubSup>
          <m:sSubSupPr>
            <m:ctrlPr>
              <w:rPr>
                <w:rFonts w:ascii="Cambria Math" w:hAnsi="Cambria Math"/>
                <w:i/>
              </w:rPr>
            </m:ctrlPr>
          </m:sSubSupPr>
          <m:e>
            <m:r>
              <w:rPr>
                <w:rFonts w:ascii="Cambria Math" w:hAnsi="Cambria Math"/>
              </w:rPr>
              <m:t>SC</m:t>
            </m:r>
          </m:e>
          <m:sub>
            <m:r>
              <w:rPr>
                <w:rFonts w:ascii="Cambria Math" w:hAnsi="Cambria Math"/>
              </w:rPr>
              <m:t>z</m:t>
            </m:r>
          </m:sub>
          <m:sup>
            <m:r>
              <w:rPr>
                <w:rFonts w:ascii="Cambria Math" w:hAnsi="Cambria Math"/>
              </w:rPr>
              <m:t>1997</m:t>
            </m:r>
          </m:sup>
        </m:sSubSup>
      </m:oMath>
      <w:r>
        <w:rPr>
          <w:rFonts w:eastAsiaTheme="minorEastAsia"/>
          <w:lang w:val="en-US"/>
        </w:rPr>
        <w:t xml:space="preserve"> </w:t>
      </w:r>
      <w:r w:rsidRPr="009861BA">
        <w:rPr>
          <w:rFonts w:eastAsiaTheme="minorEastAsia"/>
          <w:lang w:val="en-US"/>
        </w:rPr>
        <w:t xml:space="preserve">measures the Smart Card intensity in 1997,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z</m:t>
            </m:r>
          </m:sub>
          <m:sup>
            <m:r>
              <w:rPr>
                <w:rFonts w:ascii="Cambria Math" w:hAnsi="Cambria Math"/>
              </w:rPr>
              <m:t>2000</m:t>
            </m:r>
          </m:sup>
        </m:sSubSup>
      </m:oMath>
      <w:r>
        <w:rPr>
          <w:rFonts w:eastAsiaTheme="minorHAnsi"/>
          <w:lang w:val="en-US"/>
        </w:rPr>
        <w:t xml:space="preserve"> </w:t>
      </w:r>
      <w:r>
        <w:rPr>
          <w:rFonts w:eastAsiaTheme="minorHAnsi"/>
          <w:lang w:val="en-US"/>
        </w:rPr>
        <w:t>r</w:t>
      </w:r>
      <w:r w:rsidRPr="009861BA">
        <w:rPr>
          <w:rFonts w:eastAsiaTheme="minorHAnsi"/>
          <w:lang w:val="en-US"/>
        </w:rPr>
        <w:t xml:space="preserve">epresents a vector of census covariates, </w:t>
      </w:r>
      <m:oMath>
        <m:sSubSup>
          <m:sSubSupPr>
            <m:ctrlPr>
              <w:rPr>
                <w:rFonts w:ascii="Cambria Math" w:hAnsi="Cambria Math"/>
                <w:i/>
              </w:rPr>
            </m:ctrlPr>
          </m:sSubSupPr>
          <m:e>
            <m:r>
              <m:rPr>
                <m:sty m:val="bi"/>
              </m:rPr>
              <w:rPr>
                <w:rFonts w:ascii="Cambria Math" w:hAnsi="Cambria Math"/>
              </w:rPr>
              <m:t>W</m:t>
            </m:r>
          </m:e>
          <m:sub>
            <m:r>
              <w:rPr>
                <w:rFonts w:ascii="Cambria Math" w:hAnsi="Cambria Math"/>
              </w:rPr>
              <m:t>z</m:t>
            </m:r>
          </m:sub>
          <m:sup>
            <m:r>
              <w:rPr>
                <w:rFonts w:ascii="Cambria Math" w:hAnsi="Cambria Math"/>
              </w:rPr>
              <m:t>2004</m:t>
            </m:r>
          </m:sup>
        </m:sSubSup>
      </m:oMath>
      <w:r>
        <w:rPr>
          <w:rFonts w:eastAsiaTheme="minorEastAsia"/>
          <w:lang w:val="en-US"/>
        </w:rPr>
        <w:t xml:space="preserve"> </w:t>
      </w:r>
      <w:r w:rsidRPr="009861BA">
        <w:rPr>
          <w:rFonts w:eastAsiaTheme="minorHAnsi"/>
          <w:lang w:val="en-US"/>
        </w:rPr>
        <w:t xml:space="preserve">encompasses public policies implemented before the Smart Card Policy, and </w:t>
      </w:r>
      <m:oMath>
        <m:sSub>
          <m:sSubPr>
            <m:ctrlPr>
              <w:rPr>
                <w:rFonts w:ascii="Cambria Math" w:hAnsi="Cambria Math"/>
                <w:i/>
              </w:rPr>
            </m:ctrlPr>
          </m:sSubPr>
          <m:e>
            <m:r>
              <w:rPr>
                <w:rFonts w:ascii="Cambria Math" w:hAnsi="Cambria Math"/>
              </w:rPr>
              <m:t>ε</m:t>
            </m:r>
          </m:e>
          <m:sub>
            <m:r>
              <w:rPr>
                <w:rFonts w:ascii="Cambria Math" w:hAnsi="Cambria Math"/>
              </w:rPr>
              <m:t>z</m:t>
            </m:r>
          </m:sub>
        </m:sSub>
        <m:r>
          <w:rPr>
            <w:rFonts w:ascii="Cambria Math" w:hAnsi="Cambria Math"/>
          </w:rPr>
          <m:t xml:space="preserve"> </m:t>
        </m:r>
      </m:oMath>
      <w:r w:rsidR="006603BA">
        <w:rPr>
          <w:rFonts w:eastAsiaTheme="minorEastAsia"/>
          <w:lang w:val="en-US"/>
        </w:rPr>
        <w:t>i</w:t>
      </w:r>
      <w:proofErr w:type="spellStart"/>
      <w:r w:rsidRPr="009861BA">
        <w:rPr>
          <w:rFonts w:eastAsiaTheme="minorHAnsi"/>
          <w:lang w:val="en-US"/>
        </w:rPr>
        <w:t>s</w:t>
      </w:r>
      <w:proofErr w:type="spellEnd"/>
      <w:r w:rsidRPr="009861BA">
        <w:rPr>
          <w:rFonts w:eastAsiaTheme="minorHAnsi"/>
          <w:lang w:val="en-US"/>
        </w:rPr>
        <w:t xml:space="preserve"> the standard error term. A comprehensive list of variables, aligned with the prior discussion, is detailed in the appendix.</w:t>
      </w:r>
    </w:p>
    <w:p w14:paraId="70BEFBFC" w14:textId="77777777" w:rsidR="009861BA" w:rsidRDefault="009861BA" w:rsidP="009861BA">
      <w:pPr>
        <w:pStyle w:val="Table"/>
        <w:tabs>
          <w:tab w:val="left" w:pos="8750"/>
        </w:tabs>
        <w:ind w:left="108"/>
      </w:pPr>
      <m:oMath>
        <m:sSubSup>
          <m:sSubSupPr>
            <m:ctrlPr>
              <w:rPr>
                <w:rFonts w:ascii="Cambria Math" w:hAnsi="Cambria Math"/>
                <w:i/>
              </w:rPr>
            </m:ctrlPr>
          </m:sSubSupPr>
          <m:e>
            <m:r>
              <w:rPr>
                <w:rFonts w:ascii="Cambria Math" w:hAnsi="Cambria Math"/>
              </w:rPr>
              <m:t>∆I_V</m:t>
            </m:r>
          </m:e>
          <m:sub>
            <m:r>
              <w:rPr>
                <w:rFonts w:ascii="Cambria Math" w:hAnsi="Cambria Math"/>
              </w:rPr>
              <m:t>z</m:t>
            </m:r>
          </m:sub>
          <m:sup>
            <m:r>
              <w:rPr>
                <w:rFonts w:ascii="Cambria Math" w:hAnsi="Cambria Math"/>
              </w:rPr>
              <m:t>2004-2000</m:t>
            </m:r>
          </m:sup>
        </m:sSubSup>
        <m:r>
          <w:rPr>
            <w:rFonts w:ascii="Cambria Math" w:hAnsi="Cambria Math"/>
          </w:rPr>
          <m:t>=α+δ</m:t>
        </m:r>
        <m:sSubSup>
          <m:sSubSupPr>
            <m:ctrlPr>
              <w:rPr>
                <w:rFonts w:ascii="Cambria Math" w:hAnsi="Cambria Math"/>
                <w:i/>
              </w:rPr>
            </m:ctrlPr>
          </m:sSubSupPr>
          <m:e>
            <m:r>
              <w:rPr>
                <w:rFonts w:ascii="Cambria Math" w:hAnsi="Cambria Math"/>
              </w:rPr>
              <m:t>I_V</m:t>
            </m:r>
          </m:e>
          <m:sub>
            <m:r>
              <w:rPr>
                <w:rFonts w:ascii="Cambria Math" w:hAnsi="Cambria Math"/>
              </w:rPr>
              <m:t>z</m:t>
            </m:r>
          </m:sub>
          <m:sup>
            <m:r>
              <w:rPr>
                <w:rFonts w:ascii="Cambria Math" w:hAnsi="Cambria Math"/>
              </w:rPr>
              <m:t>2000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SC</m:t>
            </m:r>
          </m:e>
          <m:sub>
            <m:r>
              <w:rPr>
                <w:rFonts w:ascii="Cambria Math" w:hAnsi="Cambria Math"/>
              </w:rPr>
              <m:t>z</m:t>
            </m:r>
          </m:sub>
          <m:sup>
            <m:r>
              <w:rPr>
                <w:rFonts w:ascii="Cambria Math" w:hAnsi="Cambria Math"/>
              </w:rPr>
              <m:t>1997</m:t>
            </m:r>
          </m:sup>
        </m:sSubSup>
        <m:r>
          <w:rPr>
            <w:rFonts w:ascii="Cambria Math" w:hAnsi="Cambria Math"/>
          </w:rPr>
          <m:t>+</m:t>
        </m:r>
        <m:sSub>
          <m:sSubPr>
            <m:ctrlPr>
              <w:rPr>
                <w:rFonts w:ascii="Cambria Math" w:hAnsi="Cambria Math"/>
                <w:i/>
              </w:rPr>
            </m:ctrlPr>
          </m:sSubPr>
          <m:e>
            <m:r>
              <m:rPr>
                <m:sty m:val="bi"/>
              </m:rPr>
              <w:rPr>
                <w:rFonts w:ascii="Cambria Math" w:hAnsi="Cambria Math"/>
              </w:rPr>
              <m:t>β</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z</m:t>
            </m:r>
          </m:sub>
          <m:sup>
            <m:r>
              <w:rPr>
                <w:rFonts w:ascii="Cambria Math" w:hAnsi="Cambria Math"/>
              </w:rPr>
              <m:t>2000</m:t>
            </m:r>
          </m:sup>
        </m:sSubSup>
        <m:r>
          <w:rPr>
            <w:rFonts w:ascii="Cambria Math" w:hAnsi="Cambria Math"/>
          </w:rPr>
          <m:t>+</m:t>
        </m:r>
        <m:sSub>
          <m:sSubPr>
            <m:ctrlPr>
              <w:rPr>
                <w:rFonts w:ascii="Cambria Math" w:hAnsi="Cambria Math"/>
                <w:i/>
              </w:rPr>
            </m:ctrlPr>
          </m:sSubPr>
          <m:e>
            <m:r>
              <m:rPr>
                <m:sty m:val="bi"/>
              </m:rPr>
              <w:rPr>
                <w:rFonts w:ascii="Cambria Math" w:hAnsi="Cambria Math"/>
              </w:rPr>
              <m:t>β</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W</m:t>
            </m:r>
          </m:e>
          <m:sub>
            <m:r>
              <w:rPr>
                <w:rFonts w:ascii="Cambria Math" w:hAnsi="Cambria Math"/>
              </w:rPr>
              <m:t>z</m:t>
            </m:r>
          </m:sub>
          <m:sup>
            <m:r>
              <w:rPr>
                <w:rFonts w:ascii="Cambria Math" w:hAnsi="Cambria Math"/>
              </w:rPr>
              <m:t>2004</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z</m:t>
            </m:r>
          </m:sub>
        </m:sSub>
      </m:oMath>
      <w:r>
        <w:tab/>
        <w:t>(1)</w:t>
      </w:r>
    </w:p>
    <w:p w14:paraId="1F28BB8D" w14:textId="77777777" w:rsidR="00EE5AA7" w:rsidRDefault="00EE5AA7" w:rsidP="00EE5AA7">
      <w:pPr>
        <w:spacing w:after="120" w:line="360" w:lineRule="auto"/>
        <w:rPr>
          <w:rFonts w:eastAsiaTheme="minorHAnsi"/>
          <w:lang w:val="en-US"/>
        </w:rPr>
      </w:pPr>
    </w:p>
    <w:p w14:paraId="252E5609" w14:textId="77777777" w:rsidR="002F6782" w:rsidRPr="002F6782" w:rsidRDefault="002F6782" w:rsidP="002F6782">
      <w:pPr>
        <w:spacing w:after="120" w:line="360" w:lineRule="auto"/>
        <w:rPr>
          <w:rFonts w:eastAsiaTheme="minorEastAsia"/>
          <w:lang w:val="en-US"/>
        </w:rPr>
      </w:pPr>
      <w:r w:rsidRPr="002F6782">
        <w:rPr>
          <w:rFonts w:eastAsiaTheme="minorHAnsi"/>
          <w:lang w:val="en-US"/>
        </w:rPr>
        <w:t>Our model posits that the incumbent's vote share change from 2000 to 2004 is influenced by past voting patterns, the Smart Card policy's reach, demographic characteristics, and other public policy interventions. We employ Ordinary Least Squares (OLS) regression to estimate the coefficients, focusing particularly on</w:t>
      </w:r>
      <w:r w:rsidR="00EE5AA7">
        <w:rPr>
          <w:rFonts w:eastAsiaTheme="minorHAnsi"/>
          <w:lang w:val="en-U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EE5AA7">
        <w:rPr>
          <w:rFonts w:eastAsiaTheme="minorEastAsia"/>
          <w:lang w:val="en-US"/>
        </w:rPr>
        <w:t xml:space="preserve"> </w:t>
      </w:r>
      <w:r w:rsidRPr="002F6782">
        <w:rPr>
          <w:rFonts w:eastAsiaTheme="minorEastAsia"/>
          <w:lang w:val="en-US"/>
        </w:rPr>
        <w:t>which represents the change in the incumbent's vote share per percentage point increase in Smart Card beneficiaries.</w:t>
      </w:r>
    </w:p>
    <w:p w14:paraId="4D512706" w14:textId="5DEC63ED" w:rsidR="002F6782" w:rsidRDefault="002F6782" w:rsidP="00EE5AA7">
      <w:pPr>
        <w:spacing w:after="120" w:line="360" w:lineRule="auto"/>
        <w:rPr>
          <w:rFonts w:eastAsiaTheme="minorEastAsia"/>
          <w:lang w:val="en-US"/>
        </w:rPr>
      </w:pPr>
      <w:r>
        <w:rPr>
          <w:rFonts w:eastAsiaTheme="minorEastAsia"/>
          <w:lang w:val="en-US"/>
        </w:rPr>
        <w:t xml:space="preserve">If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lang w:val="en-US"/>
        </w:rPr>
        <w:t xml:space="preserve"> </w:t>
      </w:r>
      <w:r>
        <w:rPr>
          <w:rFonts w:eastAsiaTheme="minorEastAsia"/>
          <w:lang w:val="en-US"/>
        </w:rPr>
        <w:t xml:space="preserve">is </w:t>
      </w:r>
      <w:r w:rsidR="00F17BD1" w:rsidRPr="00F17BD1">
        <w:rPr>
          <w:rFonts w:eastAsiaTheme="minorEastAsia"/>
          <w:lang w:val="en-US"/>
        </w:rPr>
        <w:t>statistically significant and positive, it suggests that the Smart Card policy positively influenced the incumbent's electoral support. To evaluate the substantive significance of this effect, we assess the policy's actual impact on vote share:</w:t>
      </w:r>
    </w:p>
    <w:p w14:paraId="0E8846F0" w14:textId="77777777" w:rsidR="00EE5AA7" w:rsidRPr="00C8391F" w:rsidRDefault="00EE5AA7" w:rsidP="00EE5AA7">
      <w:pPr>
        <w:spacing w:after="120" w:line="360" w:lineRule="auto"/>
        <w:jc w:val="center"/>
        <w:rPr>
          <w:rFonts w:eastAsiaTheme="minorHAnsi"/>
          <w:i/>
          <w:iCs/>
          <w:lang w:val="en-US"/>
        </w:rPr>
      </w:pPr>
      <m:oMath>
        <m:r>
          <w:rPr>
            <w:rFonts w:ascii="Cambria Math" w:eastAsiaTheme="minorHAnsi" w:hAnsi="Cambria Math"/>
            <w:lang w:val="en-US"/>
          </w:rPr>
          <m:t>Impact=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acc>
              <m:accPr>
                <m:chr m:val="̅"/>
                <m:ctrlPr>
                  <w:rPr>
                    <w:rFonts w:ascii="Cambria Math" w:eastAsia="TeXGyrePagella" w:hAnsi="Cambria Math" w:cstheme="minorBidi"/>
                    <w:i/>
                    <w:kern w:val="2"/>
                    <w:sz w:val="22"/>
                    <w:lang w:eastAsia="en-US"/>
                    <w14:ligatures w14:val="standardContextual"/>
                  </w:rPr>
                </m:ctrlPr>
              </m:accPr>
              <m:e>
                <m:r>
                  <w:rPr>
                    <w:rFonts w:ascii="Cambria Math" w:hAnsi="Cambria Math"/>
                  </w:rPr>
                  <m:t>SC</m:t>
                </m:r>
              </m:e>
            </m:acc>
          </m:e>
          <m:sub>
            <m:r>
              <w:rPr>
                <w:rFonts w:ascii="Cambria Math" w:hAnsi="Cambria Math"/>
              </w:rPr>
              <m:t>z</m:t>
            </m:r>
          </m:sub>
          <m:sup>
            <m:r>
              <w:rPr>
                <w:rFonts w:ascii="Cambria Math" w:hAnsi="Cambria Math"/>
              </w:rPr>
              <m:t>1997</m:t>
            </m:r>
          </m:sup>
        </m:sSubSup>
      </m:oMath>
      <w:r w:rsidRPr="00C8391F">
        <w:rPr>
          <w:rFonts w:eastAsiaTheme="minorEastAsia"/>
          <w:iCs/>
        </w:rPr>
        <w:tab/>
      </w:r>
      <w:r w:rsidRPr="00C8391F">
        <w:rPr>
          <w:rFonts w:eastAsiaTheme="minorEastAsia"/>
          <w:iCs/>
          <w:lang w:val="en-US"/>
        </w:rPr>
        <w:t>(2)</w:t>
      </w:r>
    </w:p>
    <w:p w14:paraId="1D161EF6" w14:textId="57C188D0" w:rsidR="00EE5AA7" w:rsidRPr="00E31F09" w:rsidRDefault="00EE5AA7" w:rsidP="00EE5AA7">
      <w:pPr>
        <w:spacing w:after="120" w:line="360" w:lineRule="auto"/>
        <w:rPr>
          <w:rFonts w:eastAsiaTheme="minorEastAsia"/>
          <w:lang w:val="en-US"/>
        </w:rPr>
      </w:pPr>
      <w:r>
        <w:rPr>
          <w:rFonts w:eastAsiaTheme="minorHAnsi"/>
          <w:iCs/>
          <w:lang w:val="en-US"/>
        </w:rPr>
        <w:t>Where</w:t>
      </w:r>
      <w:r w:rsidR="00F17BD1">
        <w:rPr>
          <w:rFonts w:eastAsiaTheme="minorHAnsi"/>
          <w:iCs/>
          <w:lang w:val="en-US"/>
        </w:rPr>
        <w:t xml:space="preserve"> </w:t>
      </w:r>
      <m:oMath>
        <m:sSubSup>
          <m:sSubSupPr>
            <m:ctrlPr>
              <w:rPr>
                <w:rFonts w:ascii="Cambria Math" w:hAnsi="Cambria Math"/>
                <w:i/>
              </w:rPr>
            </m:ctrlPr>
          </m:sSubSupPr>
          <m:e>
            <m:acc>
              <m:accPr>
                <m:chr m:val="̅"/>
                <m:ctrlPr>
                  <w:rPr>
                    <w:rFonts w:ascii="Cambria Math" w:eastAsia="TeXGyrePagella" w:hAnsi="Cambria Math" w:cstheme="minorBidi"/>
                    <w:i/>
                    <w:kern w:val="2"/>
                    <w:sz w:val="22"/>
                    <w:lang w:eastAsia="en-US"/>
                    <w14:ligatures w14:val="standardContextual"/>
                  </w:rPr>
                </m:ctrlPr>
              </m:accPr>
              <m:e>
                <m:r>
                  <w:rPr>
                    <w:rFonts w:ascii="Cambria Math" w:hAnsi="Cambria Math"/>
                  </w:rPr>
                  <m:t>SC</m:t>
                </m:r>
              </m:e>
            </m:acc>
          </m:e>
          <m:sub>
            <m:r>
              <w:rPr>
                <w:rFonts w:ascii="Cambria Math" w:hAnsi="Cambria Math"/>
              </w:rPr>
              <m:t>z</m:t>
            </m:r>
          </m:sub>
          <m:sup>
            <m:r>
              <w:rPr>
                <w:rFonts w:ascii="Cambria Math" w:hAnsi="Cambria Math"/>
              </w:rPr>
              <m:t>1997</m:t>
            </m:r>
          </m:sup>
        </m:sSubSup>
      </m:oMath>
      <w:r w:rsidR="00F17BD1">
        <w:rPr>
          <w:rFonts w:eastAsiaTheme="minorHAnsi"/>
          <w:iCs/>
          <w:lang w:val="en-US"/>
        </w:rPr>
        <w:t xml:space="preserve"> </w:t>
      </w:r>
      <w:r w:rsidR="00F17BD1" w:rsidRPr="00F17BD1">
        <w:rPr>
          <w:rFonts w:eastAsiaTheme="minorEastAsia"/>
          <w:lang w:val="en-US"/>
        </w:rPr>
        <w:t>is the average number of Smart Card beneficiaries. This gives us the mean impact in percentage points. To contextualize this impact, we compare it to the overall change in votes:</w:t>
      </w:r>
    </w:p>
    <w:p w14:paraId="74AE7890" w14:textId="77777777" w:rsidR="00EE5AA7" w:rsidRPr="00E31F09" w:rsidRDefault="00EE5AA7" w:rsidP="00EE5AA7">
      <w:pPr>
        <w:spacing w:after="120" w:line="360" w:lineRule="auto"/>
        <w:jc w:val="center"/>
        <w:rPr>
          <w:rFonts w:eastAsiaTheme="minorHAnsi"/>
          <w:i/>
          <w:iCs/>
          <w:lang w:val="en-US"/>
        </w:rPr>
      </w:pPr>
      <m:oMath>
        <m:r>
          <w:rPr>
            <w:rFonts w:ascii="Cambria Math" w:eastAsiaTheme="minorHAnsi" w:hAnsi="Cambria Math"/>
            <w:lang w:val="en-US"/>
          </w:rPr>
          <m:t>RelativeImpact=</m:t>
        </m:r>
        <m:f>
          <m:fPr>
            <m:ctrlPr>
              <w:rPr>
                <w:rFonts w:ascii="Cambria Math" w:eastAsiaTheme="minorHAnsi" w:hAnsi="Cambria Math"/>
                <w:i/>
                <w:iCs/>
                <w:lang w:val="en-US" w:eastAsia="en-US"/>
              </w:rPr>
            </m:ctrlPr>
          </m:fPr>
          <m:num>
            <m:r>
              <w:rPr>
                <w:rFonts w:ascii="Cambria Math" w:hAnsi="Cambria Math"/>
              </w:rPr>
              <m:t>Impact</m:t>
            </m:r>
          </m:num>
          <m:den>
            <m:d>
              <m:dPr>
                <m:begChr m:val="|"/>
                <m:endChr m:val="|"/>
                <m:ctrlPr>
                  <w:rPr>
                    <w:rFonts w:ascii="Cambria Math" w:eastAsia="TeXGyrePagella" w:hAnsi="Cambria Math" w:cstheme="minorBidi"/>
                    <w:i/>
                    <w:kern w:val="2"/>
                    <w:sz w:val="22"/>
                    <w:lang w:eastAsia="en-US"/>
                    <w14:ligatures w14:val="standardContextual"/>
                  </w:rPr>
                </m:ctrlPr>
              </m:dPr>
              <m:e>
                <m:sSubSup>
                  <m:sSubSupPr>
                    <m:ctrlPr>
                      <w:rPr>
                        <w:rFonts w:ascii="Cambria Math" w:hAnsi="Cambria Math"/>
                        <w:i/>
                      </w:rPr>
                    </m:ctrlPr>
                  </m:sSubSupPr>
                  <m:e>
                    <m:acc>
                      <m:accPr>
                        <m:chr m:val="̅"/>
                        <m:ctrlPr>
                          <w:rPr>
                            <w:rFonts w:ascii="Cambria Math" w:eastAsia="TeXGyrePagella" w:hAnsi="Cambria Math" w:cstheme="minorBidi"/>
                            <w:i/>
                            <w:kern w:val="2"/>
                            <w:sz w:val="22"/>
                            <w:lang w:eastAsia="en-US"/>
                            <w14:ligatures w14:val="standardContextual"/>
                          </w:rPr>
                        </m:ctrlPr>
                      </m:accPr>
                      <m:e>
                        <m:r>
                          <w:rPr>
                            <w:rFonts w:ascii="Cambria Math" w:hAnsi="Cambria Math"/>
                          </w:rPr>
                          <m:t>∆I_V</m:t>
                        </m:r>
                      </m:e>
                    </m:acc>
                  </m:e>
                  <m:sub>
                    <m:r>
                      <w:rPr>
                        <w:rFonts w:ascii="Cambria Math" w:hAnsi="Cambria Math"/>
                      </w:rPr>
                      <m:t>z</m:t>
                    </m:r>
                  </m:sub>
                  <m:sup>
                    <m:r>
                      <w:rPr>
                        <w:rFonts w:ascii="Cambria Math" w:hAnsi="Cambria Math"/>
                      </w:rPr>
                      <m:t>2004-2000</m:t>
                    </m:r>
                  </m:sup>
                </m:sSubSup>
              </m:e>
            </m:d>
          </m:den>
        </m:f>
      </m:oMath>
      <w:r w:rsidRPr="00C8391F">
        <w:rPr>
          <w:rFonts w:eastAsiaTheme="minorEastAsia"/>
          <w:lang w:val="en-US"/>
        </w:rPr>
        <w:tab/>
        <w:t>(3)</w:t>
      </w:r>
    </w:p>
    <w:p w14:paraId="64542B2A" w14:textId="2EACD687" w:rsidR="00EE5AA7" w:rsidRDefault="00EE5AA7" w:rsidP="00EE5AA7">
      <w:pPr>
        <w:spacing w:after="120" w:line="360" w:lineRule="auto"/>
        <w:rPr>
          <w:rFonts w:eastAsiaTheme="minorEastAsia"/>
          <w:lang w:val="en-US"/>
        </w:rPr>
      </w:pPr>
      <w:r>
        <w:rPr>
          <w:rFonts w:eastAsiaTheme="minorEastAsia"/>
          <w:lang w:val="en-US"/>
        </w:rPr>
        <w:t xml:space="preserve">Where </w:t>
      </w:r>
      <m:oMath>
        <m:sSubSup>
          <m:sSubSupPr>
            <m:ctrlPr>
              <w:rPr>
                <w:rFonts w:ascii="Cambria Math" w:hAnsi="Cambria Math"/>
                <w:i/>
              </w:rPr>
            </m:ctrlPr>
          </m:sSubSupPr>
          <m:e>
            <m:acc>
              <m:accPr>
                <m:chr m:val="̅"/>
                <m:ctrlPr>
                  <w:rPr>
                    <w:rFonts w:ascii="Cambria Math" w:eastAsia="TeXGyrePagella" w:hAnsi="Cambria Math" w:cstheme="minorBidi"/>
                    <w:i/>
                    <w:kern w:val="2"/>
                    <w:sz w:val="22"/>
                    <w:lang w:eastAsia="en-US"/>
                    <w14:ligatures w14:val="standardContextual"/>
                  </w:rPr>
                </m:ctrlPr>
              </m:accPr>
              <m:e>
                <m:r>
                  <w:rPr>
                    <w:rFonts w:ascii="Cambria Math" w:hAnsi="Cambria Math"/>
                  </w:rPr>
                  <m:t>∆I_V</m:t>
                </m:r>
              </m:e>
            </m:acc>
          </m:e>
          <m:sub>
            <m:r>
              <w:rPr>
                <w:rFonts w:ascii="Cambria Math" w:hAnsi="Cambria Math"/>
              </w:rPr>
              <m:t>z</m:t>
            </m:r>
          </m:sub>
          <m:sup>
            <m:r>
              <w:rPr>
                <w:rFonts w:ascii="Cambria Math" w:hAnsi="Cambria Math"/>
              </w:rPr>
              <m:t>2004-2000</m:t>
            </m:r>
          </m:sup>
        </m:sSubSup>
      </m:oMath>
      <w:r>
        <w:rPr>
          <w:rFonts w:eastAsiaTheme="minorEastAsia"/>
          <w:lang w:val="en-US"/>
        </w:rPr>
        <w:t xml:space="preserve"> </w:t>
      </w:r>
      <w:r w:rsidR="00F17BD1" w:rsidRPr="00F17BD1">
        <w:rPr>
          <w:rFonts w:eastAsiaTheme="minorEastAsia"/>
          <w:lang w:val="en-US"/>
        </w:rPr>
        <w:t>is the average change in the incumbent's vote share, with the absolute value used due to a general decrease in votes from 2000 to 2004. These impact measures allow us to discuss the electoral weight of the Smart Card policy.</w:t>
      </w:r>
    </w:p>
    <w:p w14:paraId="0C08D808" w14:textId="2367F5F8" w:rsidR="00EE5AA7" w:rsidRDefault="001D4A04" w:rsidP="00EE5AA7">
      <w:pPr>
        <w:spacing w:after="120" w:line="360" w:lineRule="auto"/>
        <w:rPr>
          <w:rFonts w:eastAsiaTheme="minorHAnsi"/>
          <w:lang w:val="en-US"/>
        </w:rPr>
      </w:pPr>
      <w:r w:rsidRPr="001D4A04">
        <w:rPr>
          <w:rFonts w:eastAsiaTheme="minorHAnsi"/>
          <w:lang w:val="en-US"/>
        </w:rPr>
        <w:lastRenderedPageBreak/>
        <w:t>To capture potential heterogeneity in the policy's electoral impact and to strengthen the model against confounding variables, we introduce interaction terms between the treatment variable and demographic or policy characteristics. This step helps determine whether the policy's impact varied among different voter groups and ensures robustness in the model's predictions:</w:t>
      </w:r>
    </w:p>
    <w:p w14:paraId="4A54625A" w14:textId="77777777" w:rsidR="00EE5AA7" w:rsidRDefault="00EE5AA7" w:rsidP="00EE5AA7">
      <w:pPr>
        <w:pStyle w:val="Table"/>
        <w:tabs>
          <w:tab w:val="left" w:pos="8750"/>
        </w:tabs>
        <w:ind w:left="108"/>
      </w:pPr>
      <m:oMath>
        <m:sSubSup>
          <m:sSubSupPr>
            <m:ctrlPr>
              <w:rPr>
                <w:rFonts w:ascii="Cambria Math" w:hAnsi="Cambria Math"/>
                <w:i/>
              </w:rPr>
            </m:ctrlPr>
          </m:sSubSupPr>
          <m:e>
            <m:r>
              <w:rPr>
                <w:rFonts w:ascii="Cambria Math" w:hAnsi="Cambria Math"/>
              </w:rPr>
              <m:t>∆I_V</m:t>
            </m:r>
          </m:e>
          <m:sub>
            <m:r>
              <w:rPr>
                <w:rFonts w:ascii="Cambria Math" w:hAnsi="Cambria Math"/>
              </w:rPr>
              <m:t>z</m:t>
            </m:r>
          </m:sub>
          <m:sup>
            <m:r>
              <w:rPr>
                <w:rFonts w:ascii="Cambria Math" w:hAnsi="Cambria Math"/>
              </w:rPr>
              <m:t>2004-2000</m:t>
            </m:r>
          </m:sup>
        </m:sSubSup>
        <m:r>
          <w:rPr>
            <w:rFonts w:ascii="Cambria Math" w:hAnsi="Cambria Math"/>
          </w:rPr>
          <m:t>=α+δ</m:t>
        </m:r>
        <m:sSubSup>
          <m:sSubSupPr>
            <m:ctrlPr>
              <w:rPr>
                <w:rFonts w:ascii="Cambria Math" w:hAnsi="Cambria Math"/>
                <w:i/>
              </w:rPr>
            </m:ctrlPr>
          </m:sSubSupPr>
          <m:e>
            <m:r>
              <w:rPr>
                <w:rFonts w:ascii="Cambria Math" w:hAnsi="Cambria Math"/>
              </w:rPr>
              <m:t>I_V</m:t>
            </m:r>
          </m:e>
          <m:sub>
            <m:r>
              <w:rPr>
                <w:rFonts w:ascii="Cambria Math" w:hAnsi="Cambria Math"/>
              </w:rPr>
              <m:t>z</m:t>
            </m:r>
          </m:sub>
          <m:sup>
            <m:r>
              <w:rPr>
                <w:rFonts w:ascii="Cambria Math" w:hAnsi="Cambria Math"/>
              </w:rPr>
              <m:t>2000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SC</m:t>
            </m:r>
          </m:e>
          <m:sub>
            <m:r>
              <w:rPr>
                <w:rFonts w:ascii="Cambria Math" w:hAnsi="Cambria Math"/>
              </w:rPr>
              <m:t>z</m:t>
            </m:r>
          </m:sub>
          <m:sup>
            <m:r>
              <w:rPr>
                <w:rFonts w:ascii="Cambria Math" w:hAnsi="Cambria Math"/>
              </w:rPr>
              <m:t>1997</m:t>
            </m:r>
          </m:sup>
        </m:sSubSup>
        <m:r>
          <w:rPr>
            <w:rFonts w:ascii="Cambria Math" w:hAnsi="Cambria Math"/>
          </w:rPr>
          <m:t>+</m:t>
        </m:r>
        <m:sSub>
          <m:sSubPr>
            <m:ctrlPr>
              <w:rPr>
                <w:rFonts w:ascii="Cambria Math" w:hAnsi="Cambria Math"/>
                <w:i/>
              </w:rPr>
            </m:ctrlPr>
          </m:sSubPr>
          <m:e>
            <m:r>
              <m:rPr>
                <m:sty m:val="bi"/>
              </m:rPr>
              <w:rPr>
                <w:rFonts w:ascii="Cambria Math" w:hAnsi="Cambria Math"/>
              </w:rPr>
              <m:t>β</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z</m:t>
            </m:r>
          </m:sub>
          <m:sup>
            <m:r>
              <w:rPr>
                <w:rFonts w:ascii="Cambria Math" w:hAnsi="Cambria Math"/>
              </w:rPr>
              <m:t>2000</m:t>
            </m:r>
          </m:sup>
        </m:sSubSup>
        <m:r>
          <w:rPr>
            <w:rFonts w:ascii="Cambria Math" w:hAnsi="Cambria Math"/>
          </w:rPr>
          <m:t>+</m:t>
        </m:r>
        <m:sSub>
          <m:sSubPr>
            <m:ctrlPr>
              <w:rPr>
                <w:rFonts w:ascii="Cambria Math" w:hAnsi="Cambria Math"/>
                <w:i/>
              </w:rPr>
            </m:ctrlPr>
          </m:sSubPr>
          <m:e>
            <m:r>
              <m:rPr>
                <m:sty m:val="bi"/>
              </m:rPr>
              <w:rPr>
                <w:rFonts w:ascii="Cambria Math" w:hAnsi="Cambria Math"/>
              </w:rPr>
              <m:t>β</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W</m:t>
            </m:r>
          </m:e>
          <m:sub>
            <m:r>
              <w:rPr>
                <w:rFonts w:ascii="Cambria Math" w:hAnsi="Cambria Math"/>
              </w:rPr>
              <m:t>z</m:t>
            </m:r>
          </m:sub>
          <m:sup>
            <m:r>
              <w:rPr>
                <w:rFonts w:ascii="Cambria Math" w:hAnsi="Cambria Math"/>
              </w:rPr>
              <m:t>2004</m:t>
            </m:r>
          </m:sup>
        </m:sSubSup>
        <m:r>
          <w:rPr>
            <w:rFonts w:ascii="Cambria Math" w:hAnsi="Cambria Math"/>
          </w:rPr>
          <m:t>+</m:t>
        </m:r>
        <m:sSub>
          <m:sSubPr>
            <m:ctrlPr>
              <w:rPr>
                <w:rFonts w:ascii="Cambria Math" w:hAnsi="Cambria Math" w:cstheme="minorBidi"/>
                <w:i/>
                <w:sz w:val="22"/>
                <w:lang w:eastAsia="en-US"/>
              </w:rPr>
            </m:ctrlPr>
          </m:sSubPr>
          <m:e>
            <m:r>
              <m:rPr>
                <m:sty m:val="bi"/>
              </m:rPr>
              <w:rPr>
                <w:rFonts w:ascii="Cambria Math" w:hAnsi="Cambria Math"/>
              </w:rPr>
              <m:t>γ</m:t>
            </m:r>
          </m:e>
          <m:sub>
            <m:r>
              <w:rPr>
                <w:rFonts w:ascii="Cambria Math" w:hAnsi="Cambria Math"/>
              </w:rPr>
              <m:t>1</m:t>
            </m:r>
          </m:sub>
        </m:sSub>
        <m:sSubSup>
          <m:sSubSupPr>
            <m:ctrlPr>
              <w:rPr>
                <w:rFonts w:ascii="Cambria Math" w:hAnsi="Cambria Math"/>
                <w:i/>
              </w:rPr>
            </m:ctrlPr>
          </m:sSubSupPr>
          <m:e>
            <m:r>
              <w:rPr>
                <w:rFonts w:ascii="Cambria Math" w:hAnsi="Cambria Math"/>
              </w:rPr>
              <m:t>SC</m:t>
            </m:r>
          </m:e>
          <m:sub>
            <m:r>
              <w:rPr>
                <w:rFonts w:ascii="Cambria Math" w:hAnsi="Cambria Math"/>
              </w:rPr>
              <m:t>z</m:t>
            </m:r>
          </m:sub>
          <m:sup>
            <m:r>
              <w:rPr>
                <w:rFonts w:ascii="Cambria Math" w:hAnsi="Cambria Math"/>
              </w:rPr>
              <m:t>1997</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z</m:t>
            </m:r>
          </m:sub>
          <m:sup>
            <m:r>
              <w:rPr>
                <w:rFonts w:ascii="Cambria Math" w:hAnsi="Cambria Math"/>
              </w:rPr>
              <m:t>2000</m:t>
            </m:r>
          </m:sup>
        </m:sSubSup>
        <m:r>
          <w:rPr>
            <w:rFonts w:ascii="Cambria Math" w:hAnsi="Cambria Math"/>
          </w:rPr>
          <m:t>+</m:t>
        </m:r>
        <m:sSub>
          <m:sSubPr>
            <m:ctrlPr>
              <w:rPr>
                <w:rFonts w:ascii="Cambria Math" w:hAnsi="Cambria Math" w:cstheme="minorBidi"/>
                <w:i/>
                <w:sz w:val="22"/>
                <w:lang w:eastAsia="en-US"/>
              </w:rPr>
            </m:ctrlPr>
          </m:sSubPr>
          <m:e>
            <m:r>
              <m:rPr>
                <m:sty m:val="bi"/>
              </m:rPr>
              <w:rPr>
                <w:rFonts w:ascii="Cambria Math" w:hAnsi="Cambria Math"/>
              </w:rPr>
              <m:t>+</m:t>
            </m:r>
            <m:r>
              <m:rPr>
                <m:sty m:val="bi"/>
              </m:rPr>
              <w:rPr>
                <w:rFonts w:ascii="Cambria Math" w:hAnsi="Cambria Math"/>
              </w:rPr>
              <m:t>γ</m:t>
            </m:r>
          </m:e>
          <m:sub>
            <m:r>
              <w:rPr>
                <w:rFonts w:ascii="Cambria Math" w:hAnsi="Cambria Math"/>
              </w:rPr>
              <m:t>2</m:t>
            </m:r>
          </m:sub>
        </m:sSub>
        <m:sSub>
          <m:sSubPr>
            <m:ctrlPr>
              <w:rPr>
                <w:rFonts w:ascii="Cambria Math" w:hAnsi="Cambria Math"/>
                <w:i/>
              </w:rPr>
            </m:ctrlPr>
          </m:sSubPr>
          <m:e>
            <m:sSubSup>
              <m:sSubSupPr>
                <m:ctrlPr>
                  <w:rPr>
                    <w:rFonts w:ascii="Cambria Math" w:hAnsi="Cambria Math"/>
                    <w:i/>
                  </w:rPr>
                </m:ctrlPr>
              </m:sSubSupPr>
              <m:e>
                <m:r>
                  <w:rPr>
                    <w:rFonts w:ascii="Cambria Math" w:hAnsi="Cambria Math"/>
                  </w:rPr>
                  <m:t>SC</m:t>
                </m:r>
              </m:e>
              <m:sub>
                <m:r>
                  <w:rPr>
                    <w:rFonts w:ascii="Cambria Math" w:hAnsi="Cambria Math"/>
                  </w:rPr>
                  <m:t>z</m:t>
                </m:r>
              </m:sub>
              <m:sup>
                <m:r>
                  <w:rPr>
                    <w:rFonts w:ascii="Cambria Math" w:hAnsi="Cambria Math"/>
                  </w:rPr>
                  <m:t>1997</m:t>
                </m:r>
              </m:sup>
            </m:sSubSup>
            <m:sSubSup>
              <m:sSubSupPr>
                <m:ctrlPr>
                  <w:rPr>
                    <w:rFonts w:ascii="Cambria Math" w:hAnsi="Cambria Math"/>
                    <w:i/>
                  </w:rPr>
                </m:ctrlPr>
              </m:sSubSupPr>
              <m:e>
                <m:r>
                  <m:rPr>
                    <m:sty m:val="bi"/>
                  </m:rPr>
                  <w:rPr>
                    <w:rFonts w:ascii="Cambria Math" w:hAnsi="Cambria Math"/>
                  </w:rPr>
                  <m:t>W</m:t>
                </m:r>
              </m:e>
              <m:sub>
                <m:r>
                  <w:rPr>
                    <w:rFonts w:ascii="Cambria Math" w:hAnsi="Cambria Math"/>
                  </w:rPr>
                  <m:t>z</m:t>
                </m:r>
              </m:sub>
              <m:sup>
                <m:r>
                  <w:rPr>
                    <w:rFonts w:ascii="Cambria Math" w:hAnsi="Cambria Math"/>
                  </w:rPr>
                  <m:t>2004</m:t>
                </m:r>
              </m:sup>
            </m:sSubSup>
            <m:r>
              <w:rPr>
                <w:rFonts w:ascii="Cambria Math" w:hAnsi="Cambria Math"/>
              </w:rPr>
              <m:t>+ε</m:t>
            </m:r>
          </m:e>
          <m:sub>
            <m:r>
              <w:rPr>
                <w:rFonts w:ascii="Cambria Math" w:hAnsi="Cambria Math"/>
              </w:rPr>
              <m:t>z</m:t>
            </m:r>
          </m:sub>
        </m:sSub>
      </m:oMath>
      <w:r>
        <w:tab/>
        <w:t>(4)</w:t>
      </w:r>
    </w:p>
    <w:p w14:paraId="224E006C" w14:textId="77777777" w:rsidR="00EE5AA7" w:rsidRDefault="00EE5AA7" w:rsidP="00EE5AA7">
      <w:pPr>
        <w:spacing w:after="120" w:line="360" w:lineRule="auto"/>
        <w:rPr>
          <w:rFonts w:eastAsiaTheme="minorHAnsi"/>
          <w:lang w:val="en-US"/>
        </w:rPr>
      </w:pPr>
    </w:p>
    <w:p w14:paraId="4A81EF40" w14:textId="0B9DB8FB" w:rsidR="001D4A04" w:rsidRDefault="001D4A04" w:rsidP="001D4A04">
      <w:pPr>
        <w:spacing w:after="120" w:line="360" w:lineRule="auto"/>
        <w:rPr>
          <w:rFonts w:eastAsiaTheme="minorHAnsi"/>
          <w:lang w:val="en-US"/>
        </w:rPr>
      </w:pPr>
      <w:r w:rsidRPr="001D4A04">
        <w:rPr>
          <w:rFonts w:eastAsiaTheme="minorHAnsi"/>
          <w:lang w:val="en-US"/>
        </w:rPr>
        <w:t xml:space="preserve">In essence, by integrating these interactions, we not only refine the model to reflect varied electoral responses but also fortify it against external variables that could skew the results, aligning with the methodology suggested by Angrist and </w:t>
      </w:r>
      <w:proofErr w:type="spellStart"/>
      <w:r w:rsidRPr="001D4A04">
        <w:rPr>
          <w:rFonts w:eastAsiaTheme="minorHAnsi"/>
          <w:lang w:val="en-US"/>
        </w:rPr>
        <w:t>Pischke</w:t>
      </w:r>
      <w:proofErr w:type="spellEnd"/>
      <w:r w:rsidRPr="001D4A04">
        <w:rPr>
          <w:rFonts w:eastAsiaTheme="minorHAnsi"/>
          <w:lang w:val="en-US"/>
        </w:rPr>
        <w:t xml:space="preserve"> (2009)</w:t>
      </w:r>
      <w:r w:rsidR="009F7637">
        <w:rPr>
          <w:rFonts w:eastAsiaTheme="minorHAnsi"/>
          <w:lang w:val="en-US"/>
        </w:rPr>
        <w:t xml:space="preserve">, </w:t>
      </w:r>
      <w:r w:rsidR="009F7637" w:rsidRPr="009F7637">
        <w:rPr>
          <w:rFonts w:eastAsiaTheme="minorHAnsi"/>
          <w:i/>
          <w:iCs/>
          <w:lang w:val="en-US"/>
        </w:rPr>
        <w:t>inter alia</w:t>
      </w:r>
      <w:r w:rsidRPr="001D4A04">
        <w:rPr>
          <w:rFonts w:eastAsiaTheme="minorHAnsi"/>
          <w:lang w:val="en-US"/>
        </w:rPr>
        <w:t>.</w:t>
      </w:r>
    </w:p>
    <w:p w14:paraId="2572EE07" w14:textId="13CEA7A3" w:rsidR="00EE5AA7" w:rsidRDefault="001D4A04" w:rsidP="001D4A04">
      <w:pPr>
        <w:spacing w:after="120" w:line="360" w:lineRule="auto"/>
        <w:rPr>
          <w:rFonts w:eastAsiaTheme="minorHAnsi"/>
          <w:lang w:val="en-US"/>
        </w:rPr>
      </w:pPr>
      <w:r w:rsidRPr="001D4A04">
        <w:rPr>
          <w:rFonts w:eastAsiaTheme="minorHAnsi"/>
          <w:lang w:val="en-US"/>
        </w:rPr>
        <w:t xml:space="preserve">In our enhanced model, the Smart Card variable </w:t>
      </w:r>
      <m:oMath>
        <m:sSubSup>
          <m:sSubSupPr>
            <m:ctrlPr>
              <w:rPr>
                <w:rFonts w:ascii="Cambria Math" w:hAnsi="Cambria Math"/>
                <w:i/>
              </w:rPr>
            </m:ctrlPr>
          </m:sSubSupPr>
          <m:e>
            <m:r>
              <w:rPr>
                <w:rFonts w:ascii="Cambria Math" w:hAnsi="Cambria Math"/>
              </w:rPr>
              <m:t>SC</m:t>
            </m:r>
          </m:e>
          <m:sub>
            <m:r>
              <w:rPr>
                <w:rFonts w:ascii="Cambria Math" w:hAnsi="Cambria Math"/>
              </w:rPr>
              <m:t>z</m:t>
            </m:r>
          </m:sub>
          <m:sup>
            <m:r>
              <w:rPr>
                <w:rFonts w:ascii="Cambria Math" w:hAnsi="Cambria Math"/>
              </w:rPr>
              <m:t>1997</m:t>
            </m:r>
          </m:sup>
        </m:sSubSup>
      </m:oMath>
      <w:r w:rsidR="00EE5AA7">
        <w:rPr>
          <w:rFonts w:eastAsiaTheme="minorHAnsi"/>
          <w:lang w:val="en-US"/>
        </w:rPr>
        <w:t xml:space="preserve"> </w:t>
      </w:r>
      <w:r w:rsidRPr="001D4A04">
        <w:rPr>
          <w:rFonts w:eastAsiaTheme="minorHAnsi"/>
          <w:lang w:val="en-US"/>
        </w:rPr>
        <w:t xml:space="preserve">interacts with other terms, preventing a straightforward interpretation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HAnsi"/>
          <w:lang w:val="en-US"/>
        </w:rPr>
        <w:t xml:space="preserve"> </w:t>
      </w:r>
      <w:r w:rsidRPr="001D4A04">
        <w:rPr>
          <w:rFonts w:eastAsiaTheme="minorHAnsi"/>
          <w:lang w:val="en-US"/>
        </w:rPr>
        <w:t>as we previously detailed. This complexity means we can no longer directly apply the average impact formula from equation (2). To accurately estimate the electoral influence of the Smart Card policy, we must use a modified equation that accounts for these interactions:</w:t>
      </w:r>
    </w:p>
    <w:p w14:paraId="45223E43" w14:textId="77777777" w:rsidR="00EE5AA7" w:rsidRPr="00C8391F" w:rsidRDefault="00EE5AA7" w:rsidP="00EE5AA7">
      <w:pPr>
        <w:spacing w:after="120" w:line="360" w:lineRule="auto"/>
        <w:jc w:val="center"/>
        <w:rPr>
          <w:rFonts w:eastAsiaTheme="minorHAnsi"/>
          <w:i/>
          <w:iCs/>
          <w:lang w:val="en-US"/>
        </w:rPr>
      </w:pPr>
      <m:oMath>
        <m:r>
          <w:rPr>
            <w:rFonts w:ascii="Cambria Math" w:eastAsiaTheme="minorHAnsi" w:hAnsi="Cambria Math"/>
            <w:lang w:val="en-US"/>
          </w:rPr>
          <m:t>Impact=</m:t>
        </m:r>
        <m:d>
          <m:dPr>
            <m:begChr m:val="["/>
            <m:endChr m:val="]"/>
            <m:ctrlPr>
              <w:rPr>
                <w:rFonts w:ascii="Cambria Math" w:eastAsia="TeXGyrePagella" w:hAnsi="Cambria Math"/>
                <w:i/>
                <w:kern w:val="2"/>
                <w:lang w:eastAsia="en-US"/>
                <w14:ligatures w14:val="standardContextual"/>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 w:val="22"/>
                    <w:lang w:val="en-US" w:eastAsia="en-US"/>
                  </w:rPr>
                </m:ctrlPr>
              </m:sSubPr>
              <m:e>
                <m:r>
                  <m:rPr>
                    <m:sty m:val="bi"/>
                  </m:rPr>
                  <w:rPr>
                    <w:rFonts w:ascii="Cambria Math" w:hAnsi="Cambria Math"/>
                  </w:rPr>
                  <m:t>γ</m:t>
                </m:r>
              </m:e>
              <m:sub>
                <m:r>
                  <w:rPr>
                    <w:rFonts w:ascii="Cambria Math" w:hAnsi="Cambria Math"/>
                  </w:rPr>
                  <m:t>1</m:t>
                </m:r>
              </m:sub>
            </m:sSub>
            <m:sSubSup>
              <m:sSubSupPr>
                <m:ctrlPr>
                  <w:rPr>
                    <w:rFonts w:ascii="Cambria Math" w:hAnsi="Cambria Math"/>
                    <w:i/>
                  </w:rPr>
                </m:ctrlPr>
              </m:sSubSupPr>
              <m:e>
                <m:acc>
                  <m:accPr>
                    <m:chr m:val="̅"/>
                    <m:ctrlPr>
                      <w:rPr>
                        <w:rFonts w:ascii="Cambria Math" w:eastAsia="TeXGyrePagella" w:hAnsi="Cambria Math" w:cstheme="minorBidi"/>
                        <w:b/>
                        <w:bCs/>
                        <w:i/>
                        <w:kern w:val="2"/>
                        <w:sz w:val="22"/>
                        <w:lang w:eastAsia="en-US"/>
                        <w14:ligatures w14:val="standardContextual"/>
                      </w:rPr>
                    </m:ctrlPr>
                  </m:accPr>
                  <m:e>
                    <m:r>
                      <m:rPr>
                        <m:sty m:val="bi"/>
                      </m:rPr>
                      <w:rPr>
                        <w:rFonts w:ascii="Cambria Math" w:hAnsi="Cambria Math"/>
                      </w:rPr>
                      <m:t>X</m:t>
                    </m:r>
                  </m:e>
                </m:acc>
              </m:e>
              <m:sub>
                <m:r>
                  <w:rPr>
                    <w:rFonts w:ascii="Cambria Math" w:hAnsi="Cambria Math"/>
                  </w:rPr>
                  <m:t>z</m:t>
                </m:r>
              </m:sub>
              <m:sup>
                <m:r>
                  <w:rPr>
                    <w:rFonts w:ascii="Cambria Math" w:hAnsi="Cambria Math"/>
                  </w:rPr>
                  <m:t>2000</m:t>
                </m:r>
              </m:sup>
            </m:sSubSup>
            <m:sSub>
              <m:sSubPr>
                <m:ctrlPr>
                  <w:rPr>
                    <w:rFonts w:ascii="Cambria Math" w:eastAsiaTheme="minorHAnsi" w:hAnsi="Cambria Math" w:cstheme="minorBidi"/>
                    <w:i/>
                    <w:sz w:val="22"/>
                    <w:lang w:val="en-US" w:eastAsia="en-US"/>
                  </w:rPr>
                </m:ctrlPr>
              </m:sSubPr>
              <m:e>
                <m:r>
                  <m:rPr>
                    <m:sty m:val="bi"/>
                  </m:rPr>
                  <w:rPr>
                    <w:rFonts w:ascii="Cambria Math" w:hAnsi="Cambria Math"/>
                  </w:rPr>
                  <m:t>+</m:t>
                </m:r>
                <m:r>
                  <m:rPr>
                    <m:sty m:val="bi"/>
                  </m:rPr>
                  <w:rPr>
                    <w:rFonts w:ascii="Cambria Math" w:hAnsi="Cambria Math"/>
                  </w:rPr>
                  <m:t>γ</m:t>
                </m:r>
              </m:e>
              <m:sub>
                <m:r>
                  <w:rPr>
                    <w:rFonts w:ascii="Cambria Math" w:hAnsi="Cambria Math"/>
                  </w:rPr>
                  <m:t>2</m:t>
                </m:r>
              </m:sub>
            </m:sSub>
            <m:sSubSup>
              <m:sSubSupPr>
                <m:ctrlPr>
                  <w:rPr>
                    <w:rFonts w:ascii="Cambria Math" w:hAnsi="Cambria Math"/>
                    <w:i/>
                  </w:rPr>
                </m:ctrlPr>
              </m:sSubSupPr>
              <m:e>
                <m:acc>
                  <m:accPr>
                    <m:chr m:val="̅"/>
                    <m:ctrlPr>
                      <w:rPr>
                        <w:rFonts w:ascii="Cambria Math" w:eastAsia="TeXGyrePagella" w:hAnsi="Cambria Math" w:cstheme="minorBidi"/>
                        <w:b/>
                        <w:bCs/>
                        <w:i/>
                        <w:kern w:val="2"/>
                        <w:sz w:val="22"/>
                        <w:lang w:eastAsia="en-US"/>
                        <w14:ligatures w14:val="standardContextual"/>
                      </w:rPr>
                    </m:ctrlPr>
                  </m:accPr>
                  <m:e>
                    <m:r>
                      <m:rPr>
                        <m:sty m:val="bi"/>
                      </m:rPr>
                      <w:rPr>
                        <w:rFonts w:ascii="Cambria Math" w:hAnsi="Cambria Math"/>
                      </w:rPr>
                      <m:t>W</m:t>
                    </m:r>
                  </m:e>
                </m:acc>
              </m:e>
              <m:sub>
                <m:r>
                  <w:rPr>
                    <w:rFonts w:ascii="Cambria Math" w:hAnsi="Cambria Math"/>
                  </w:rPr>
                  <m:t>z</m:t>
                </m:r>
              </m:sub>
              <m:sup>
                <m:r>
                  <w:rPr>
                    <w:rFonts w:ascii="Cambria Math" w:hAnsi="Cambria Math"/>
                  </w:rPr>
                  <m:t>2004</m:t>
                </m:r>
              </m:sup>
            </m:sSubSup>
          </m:e>
        </m:d>
        <m:r>
          <w:rPr>
            <w:rFonts w:ascii="Cambria Math" w:hAnsi="Cambria Math"/>
          </w:rPr>
          <m:t>×</m:t>
        </m:r>
        <m:sSubSup>
          <m:sSubSupPr>
            <m:ctrlPr>
              <w:rPr>
                <w:rFonts w:ascii="Cambria Math" w:hAnsi="Cambria Math"/>
                <w:i/>
              </w:rPr>
            </m:ctrlPr>
          </m:sSubSupPr>
          <m:e>
            <m:acc>
              <m:accPr>
                <m:chr m:val="̅"/>
                <m:ctrlPr>
                  <w:rPr>
                    <w:rFonts w:ascii="Cambria Math" w:eastAsia="TeXGyrePagella" w:hAnsi="Cambria Math" w:cstheme="minorBidi"/>
                    <w:i/>
                    <w:kern w:val="2"/>
                    <w:sz w:val="22"/>
                    <w:lang w:eastAsia="en-US"/>
                    <w14:ligatures w14:val="standardContextual"/>
                  </w:rPr>
                </m:ctrlPr>
              </m:accPr>
              <m:e>
                <m:r>
                  <w:rPr>
                    <w:rFonts w:ascii="Cambria Math" w:hAnsi="Cambria Math"/>
                  </w:rPr>
                  <m:t>SC</m:t>
                </m:r>
              </m:e>
            </m:acc>
          </m:e>
          <m:sub>
            <m:r>
              <w:rPr>
                <w:rFonts w:ascii="Cambria Math" w:hAnsi="Cambria Math"/>
              </w:rPr>
              <m:t>z</m:t>
            </m:r>
          </m:sub>
          <m:sup>
            <m:r>
              <w:rPr>
                <w:rFonts w:ascii="Cambria Math" w:hAnsi="Cambria Math"/>
              </w:rPr>
              <m:t>1997</m:t>
            </m:r>
          </m:sup>
        </m:sSubSup>
      </m:oMath>
      <w:r w:rsidRPr="00C8391F">
        <w:rPr>
          <w:rFonts w:eastAsiaTheme="minorEastAsia"/>
          <w:iCs/>
        </w:rPr>
        <w:tab/>
      </w:r>
      <w:r w:rsidRPr="00C8391F">
        <w:rPr>
          <w:rFonts w:eastAsiaTheme="minorEastAsia"/>
          <w:iCs/>
          <w:lang w:val="en-US"/>
        </w:rPr>
        <w:t>(</w:t>
      </w:r>
      <w:r>
        <w:rPr>
          <w:rFonts w:eastAsiaTheme="minorEastAsia"/>
          <w:iCs/>
          <w:lang w:val="en-US"/>
        </w:rPr>
        <w:t>5</w:t>
      </w:r>
      <w:r w:rsidRPr="00C8391F">
        <w:rPr>
          <w:rFonts w:eastAsiaTheme="minorEastAsia"/>
          <w:iCs/>
          <w:lang w:val="en-US"/>
        </w:rPr>
        <w:t>)</w:t>
      </w:r>
    </w:p>
    <w:p w14:paraId="7F0E9851" w14:textId="3680D6F9" w:rsidR="00FA64E9" w:rsidRPr="00FA64E9" w:rsidRDefault="00153B08" w:rsidP="00FA64E9">
      <w:pPr>
        <w:spacing w:after="120" w:line="360" w:lineRule="auto"/>
        <w:rPr>
          <w:rFonts w:eastAsiaTheme="minorEastAsia"/>
          <w:lang w:val="en-US"/>
        </w:rPr>
      </w:pPr>
      <w:r>
        <w:rPr>
          <w:rFonts w:eastAsiaTheme="minorHAnsi"/>
          <w:lang w:val="en-US"/>
        </w:rPr>
        <w:t>H</w:t>
      </w:r>
      <w:r w:rsidR="00EE5AA7">
        <w:rPr>
          <w:rFonts w:eastAsiaTheme="minorHAnsi"/>
          <w:lang w:val="en-US"/>
        </w:rPr>
        <w:t xml:space="preserve">ere </w:t>
      </w:r>
      <m:oMath>
        <m:sSubSup>
          <m:sSubSupPr>
            <m:ctrlPr>
              <w:rPr>
                <w:rFonts w:ascii="Cambria Math" w:hAnsi="Cambria Math"/>
                <w:i/>
              </w:rPr>
            </m:ctrlPr>
          </m:sSubSupPr>
          <m:e>
            <m:acc>
              <m:accPr>
                <m:chr m:val="̅"/>
                <m:ctrlPr>
                  <w:rPr>
                    <w:rFonts w:ascii="Cambria Math" w:eastAsia="TeXGyrePagella" w:hAnsi="Cambria Math" w:cstheme="minorBidi"/>
                    <w:b/>
                    <w:bCs/>
                    <w:i/>
                    <w:kern w:val="2"/>
                    <w:sz w:val="22"/>
                    <w:lang w:eastAsia="en-US"/>
                    <w14:ligatures w14:val="standardContextual"/>
                  </w:rPr>
                </m:ctrlPr>
              </m:accPr>
              <m:e>
                <m:r>
                  <m:rPr>
                    <m:sty m:val="bi"/>
                  </m:rPr>
                  <w:rPr>
                    <w:rFonts w:ascii="Cambria Math" w:hAnsi="Cambria Math"/>
                  </w:rPr>
                  <m:t>X</m:t>
                </m:r>
              </m:e>
            </m:acc>
          </m:e>
          <m:sub>
            <m:r>
              <w:rPr>
                <w:rFonts w:ascii="Cambria Math" w:hAnsi="Cambria Math"/>
              </w:rPr>
              <m:t>z</m:t>
            </m:r>
          </m:sub>
          <m:sup>
            <m:r>
              <w:rPr>
                <w:rFonts w:ascii="Cambria Math" w:hAnsi="Cambria Math"/>
              </w:rPr>
              <m:t>2000</m:t>
            </m:r>
          </m:sup>
        </m:sSubSup>
      </m:oMath>
      <w:r w:rsidR="00EE5AA7">
        <w:rPr>
          <w:rFonts w:eastAsiaTheme="minorHAnsi"/>
          <w:lang w:val="en-US"/>
        </w:rPr>
        <w:t xml:space="preserve"> and </w:t>
      </w:r>
      <m:oMath>
        <m:sSubSup>
          <m:sSubSupPr>
            <m:ctrlPr>
              <w:rPr>
                <w:rFonts w:ascii="Cambria Math" w:hAnsi="Cambria Math"/>
                <w:i/>
              </w:rPr>
            </m:ctrlPr>
          </m:sSubSupPr>
          <m:e>
            <m:acc>
              <m:accPr>
                <m:chr m:val="̅"/>
                <m:ctrlPr>
                  <w:rPr>
                    <w:rFonts w:ascii="Cambria Math" w:eastAsia="TeXGyrePagella" w:hAnsi="Cambria Math" w:cstheme="minorBidi"/>
                    <w:b/>
                    <w:bCs/>
                    <w:i/>
                    <w:kern w:val="2"/>
                    <w:sz w:val="22"/>
                    <w:lang w:eastAsia="en-US"/>
                    <w14:ligatures w14:val="standardContextual"/>
                  </w:rPr>
                </m:ctrlPr>
              </m:accPr>
              <m:e>
                <m:r>
                  <m:rPr>
                    <m:sty m:val="bi"/>
                  </m:rPr>
                  <w:rPr>
                    <w:rFonts w:ascii="Cambria Math" w:hAnsi="Cambria Math"/>
                  </w:rPr>
                  <m:t>W</m:t>
                </m:r>
              </m:e>
            </m:acc>
          </m:e>
          <m:sub>
            <m:r>
              <w:rPr>
                <w:rFonts w:ascii="Cambria Math" w:hAnsi="Cambria Math"/>
              </w:rPr>
              <m:t>z</m:t>
            </m:r>
          </m:sub>
          <m:sup>
            <m:r>
              <w:rPr>
                <w:rFonts w:ascii="Cambria Math" w:hAnsi="Cambria Math"/>
              </w:rPr>
              <m:t>2004</m:t>
            </m:r>
          </m:sup>
        </m:sSubSup>
      </m:oMath>
      <w:r w:rsidR="00EE5AA7">
        <w:rPr>
          <w:rFonts w:eastAsiaTheme="minorEastAsia"/>
          <w:lang w:val="en-US"/>
        </w:rPr>
        <w:t xml:space="preserve"> </w:t>
      </w:r>
      <w:r w:rsidR="00FA64E9" w:rsidRPr="00FA64E9">
        <w:rPr>
          <w:rFonts w:eastAsiaTheme="minorEastAsia"/>
          <w:lang w:val="en-US"/>
        </w:rPr>
        <w:t xml:space="preserve">represent the average demographic characteristics and policy features, respectively. To determine the relative impact, we </w:t>
      </w:r>
      <w:r w:rsidR="00FA64E9" w:rsidRPr="00FA64E9">
        <w:rPr>
          <w:rFonts w:eastAsiaTheme="minorEastAsia"/>
          <w:lang w:val="en-US"/>
        </w:rPr>
        <w:t>refer</w:t>
      </w:r>
      <w:r w:rsidR="00FA64E9" w:rsidRPr="00FA64E9">
        <w:rPr>
          <w:rFonts w:eastAsiaTheme="minorEastAsia"/>
          <w:lang w:val="en-US"/>
        </w:rPr>
        <w:t xml:space="preserve"> to equation (3), which incorporates all interaction terms outlined in equation (5).</w:t>
      </w:r>
    </w:p>
    <w:p w14:paraId="4DBB6143" w14:textId="1C37C311" w:rsidR="00EE5AA7" w:rsidRDefault="00FA64E9" w:rsidP="00FA64E9">
      <w:pPr>
        <w:spacing w:after="120" w:line="360" w:lineRule="auto"/>
        <w:rPr>
          <w:rFonts w:eastAsiaTheme="minorEastAsia"/>
          <w:lang w:val="en-US"/>
        </w:rPr>
      </w:pPr>
      <w:r w:rsidRPr="009D07CB">
        <w:rPr>
          <w:rFonts w:eastAsiaTheme="minorEastAsia"/>
          <w:lang w:val="en-US"/>
        </w:rPr>
        <w:t>By factoring in these interactions, we can more precisely gauge the policy's differential effects across the electorate and ensure a robust assessment of the Smart Card's true influence on voting behavior.</w:t>
      </w:r>
    </w:p>
    <w:p w14:paraId="77C9352E" w14:textId="0539EF7F" w:rsidR="00D44473" w:rsidRPr="00D44473" w:rsidRDefault="00D44473" w:rsidP="00D44473">
      <w:pPr>
        <w:spacing w:after="120" w:line="360" w:lineRule="auto"/>
        <w:rPr>
          <w:rFonts w:eastAsiaTheme="minorHAnsi"/>
          <w:sz w:val="28"/>
          <w:szCs w:val="28"/>
          <w:lang w:val="en-US"/>
        </w:rPr>
      </w:pPr>
      <w:r w:rsidRPr="00D44473">
        <w:rPr>
          <w:rFonts w:eastAsiaTheme="minorHAnsi"/>
          <w:b/>
          <w:bCs/>
          <w:sz w:val="28"/>
          <w:szCs w:val="28"/>
          <w:lang w:val="en-US"/>
        </w:rPr>
        <w:t>Data Assembly and Variable Construction</w:t>
      </w:r>
    </w:p>
    <w:p w14:paraId="7D0A0B76" w14:textId="77777777" w:rsidR="00D44473" w:rsidRPr="00D44473" w:rsidRDefault="00D44473" w:rsidP="00D44473">
      <w:pPr>
        <w:spacing w:after="120" w:line="360" w:lineRule="auto"/>
        <w:rPr>
          <w:rFonts w:eastAsiaTheme="minorHAnsi"/>
          <w:lang w:val="en-US"/>
        </w:rPr>
      </w:pPr>
      <w:r w:rsidRPr="00D44473">
        <w:rPr>
          <w:rFonts w:eastAsiaTheme="minorHAnsi"/>
          <w:lang w:val="en-US"/>
        </w:rPr>
        <w:t xml:space="preserve">To evaluate the interplay between regional voting patterns and transportation changes, we synthesized a unique dataset from diverse sources. The electoral data was sourced from the </w:t>
      </w:r>
      <w:r w:rsidRPr="00D44473">
        <w:rPr>
          <w:rFonts w:eastAsiaTheme="minorHAnsi"/>
          <w:i/>
          <w:iCs/>
          <w:lang w:val="en-US"/>
        </w:rPr>
        <w:t xml:space="preserve">Centro de Política e Economia do </w:t>
      </w:r>
      <w:proofErr w:type="spellStart"/>
      <w:r w:rsidRPr="00D44473">
        <w:rPr>
          <w:rFonts w:eastAsiaTheme="minorHAnsi"/>
          <w:i/>
          <w:iCs/>
          <w:lang w:val="en-US"/>
        </w:rPr>
        <w:t>Setor</w:t>
      </w:r>
      <w:proofErr w:type="spellEnd"/>
      <w:r w:rsidRPr="00D44473">
        <w:rPr>
          <w:rFonts w:eastAsiaTheme="minorHAnsi"/>
          <w:i/>
          <w:iCs/>
          <w:lang w:val="en-US"/>
        </w:rPr>
        <w:t xml:space="preserve"> </w:t>
      </w:r>
      <w:proofErr w:type="spellStart"/>
      <w:r w:rsidRPr="00D44473">
        <w:rPr>
          <w:rFonts w:eastAsiaTheme="minorHAnsi"/>
          <w:i/>
          <w:iCs/>
          <w:lang w:val="en-US"/>
        </w:rPr>
        <w:t>Público</w:t>
      </w:r>
      <w:proofErr w:type="spellEnd"/>
      <w:r w:rsidRPr="00D44473">
        <w:rPr>
          <w:rFonts w:eastAsiaTheme="minorHAnsi"/>
          <w:lang w:val="en-US"/>
        </w:rPr>
        <w:t xml:space="preserve"> (FGV CEPESP), informed by Brazil's Federal Electoral Court (TSE). Additionally, the 1997 Origin and Destiny Survey (OD) by São Paulo's subway company, conducted every decade, offered insights into transit and socio-economic </w:t>
      </w:r>
      <w:r w:rsidRPr="00D44473">
        <w:rPr>
          <w:rFonts w:eastAsiaTheme="minorHAnsi"/>
          <w:lang w:val="en-US"/>
        </w:rPr>
        <w:lastRenderedPageBreak/>
        <w:t>patterns. These primary sources were supplemented with demographic data from the 2000 Census and municipal policy records from 2001 to May 2004, enriching our control variables.</w:t>
      </w:r>
    </w:p>
    <w:p w14:paraId="0566A17C" w14:textId="77777777" w:rsidR="00D44473" w:rsidRPr="00D44473" w:rsidRDefault="00D44473" w:rsidP="00D44473">
      <w:pPr>
        <w:spacing w:after="120" w:line="360" w:lineRule="auto"/>
        <w:rPr>
          <w:rFonts w:eastAsiaTheme="minorHAnsi"/>
          <w:lang w:val="en-US"/>
        </w:rPr>
      </w:pPr>
      <w:r w:rsidRPr="00D44473">
        <w:rPr>
          <w:rFonts w:eastAsiaTheme="minorHAnsi"/>
          <w:lang w:val="en-US"/>
        </w:rPr>
        <w:t>The treatment variable was derived from the OD Survey, which profiles metropolitan trips and socio-economic data, allowing aggregation at the zone level based on the OD Zones—areas delineated by demographic and transportation criteria. We defined a potential Smart Card policy beneficiary as anyone who, in 1997, required one or more bus transfers, indicating the policy's benefit potential. Hence, treatment intensity is a ratio: the number of voting-age potential Smart Card beneficiaries to the total voting-age population within an OD Zone.</w:t>
      </w:r>
    </w:p>
    <w:p w14:paraId="4D4DD003" w14:textId="77777777" w:rsidR="00D44473" w:rsidRPr="00D44473" w:rsidRDefault="00D44473" w:rsidP="00D44473">
      <w:pPr>
        <w:spacing w:after="120" w:line="360" w:lineRule="auto"/>
        <w:rPr>
          <w:rFonts w:eastAsiaTheme="minorHAnsi"/>
          <w:lang w:val="en-US"/>
        </w:rPr>
      </w:pPr>
      <w:r w:rsidRPr="00D44473">
        <w:rPr>
          <w:rFonts w:eastAsiaTheme="minorHAnsi"/>
          <w:lang w:val="en-US"/>
        </w:rPr>
        <w:t xml:space="preserve">Our dependent variable tracks the change in votes for incumbent Mayor Marta </w:t>
      </w:r>
      <w:proofErr w:type="spellStart"/>
      <w:r w:rsidRPr="00D44473">
        <w:rPr>
          <w:rFonts w:eastAsiaTheme="minorHAnsi"/>
          <w:lang w:val="en-US"/>
        </w:rPr>
        <w:t>Suplicy</w:t>
      </w:r>
      <w:proofErr w:type="spellEnd"/>
      <w:r w:rsidRPr="00D44473">
        <w:rPr>
          <w:rFonts w:eastAsiaTheme="minorHAnsi"/>
          <w:lang w:val="en-US"/>
        </w:rPr>
        <w:t xml:space="preserve"> from her 2000 election to the 2004 re-election bid, disaggregated by OD Zone. TSE data, aggregated from ballot boxes to polling places, was geolocated using </w:t>
      </w:r>
      <w:r w:rsidRPr="00D44473">
        <w:rPr>
          <w:rFonts w:eastAsiaTheme="minorHAnsi"/>
          <w:i/>
          <w:iCs/>
          <w:lang w:val="en-US"/>
        </w:rPr>
        <w:t xml:space="preserve">Centro de </w:t>
      </w:r>
      <w:proofErr w:type="spellStart"/>
      <w:r w:rsidRPr="00D44473">
        <w:rPr>
          <w:rFonts w:eastAsiaTheme="minorHAnsi"/>
          <w:i/>
          <w:iCs/>
          <w:lang w:val="en-US"/>
        </w:rPr>
        <w:t>Estudos</w:t>
      </w:r>
      <w:proofErr w:type="spellEnd"/>
      <w:r w:rsidRPr="00D44473">
        <w:rPr>
          <w:rFonts w:eastAsiaTheme="minorHAnsi"/>
          <w:i/>
          <w:iCs/>
          <w:lang w:val="en-US"/>
        </w:rPr>
        <w:t xml:space="preserve"> da </w:t>
      </w:r>
      <w:proofErr w:type="spellStart"/>
      <w:r w:rsidRPr="00D44473">
        <w:rPr>
          <w:rFonts w:eastAsiaTheme="minorHAnsi"/>
          <w:i/>
          <w:iCs/>
          <w:lang w:val="en-US"/>
        </w:rPr>
        <w:t>Metrópole</w:t>
      </w:r>
      <w:proofErr w:type="spellEnd"/>
      <w:r w:rsidRPr="00D44473">
        <w:rPr>
          <w:rFonts w:eastAsiaTheme="minorHAnsi"/>
          <w:lang w:val="en-US"/>
        </w:rPr>
        <w:t xml:space="preserve"> (USP CEM) data to form Voronoi Polygons, which helped attribute votes to the corresponding OD Zone by proximity.</w:t>
      </w:r>
    </w:p>
    <w:p w14:paraId="3D31E53F" w14:textId="77777777" w:rsidR="00D44473" w:rsidRPr="00D44473" w:rsidRDefault="00D44473" w:rsidP="00D44473">
      <w:pPr>
        <w:spacing w:after="120" w:line="360" w:lineRule="auto"/>
        <w:rPr>
          <w:rFonts w:eastAsiaTheme="minorHAnsi"/>
          <w:lang w:val="en-US"/>
        </w:rPr>
      </w:pPr>
      <w:r w:rsidRPr="00D44473">
        <w:rPr>
          <w:rFonts w:eastAsiaTheme="minorHAnsi"/>
          <w:lang w:val="en-US"/>
        </w:rPr>
        <w:t xml:space="preserve">Control variables incorporated census data and municipal policy information from </w:t>
      </w:r>
      <w:proofErr w:type="spellStart"/>
      <w:r w:rsidRPr="00D44473">
        <w:rPr>
          <w:rFonts w:eastAsiaTheme="minorHAnsi"/>
          <w:lang w:val="en-US"/>
        </w:rPr>
        <w:t>GeoSampa</w:t>
      </w:r>
      <w:proofErr w:type="spellEnd"/>
      <w:r w:rsidRPr="00D44473">
        <w:rPr>
          <w:rFonts w:eastAsiaTheme="minorHAnsi"/>
          <w:lang w:val="en-US"/>
        </w:rPr>
        <w:t>, including proximity to transport amenities and the Unified Educational Centers (CEU)—a significant PT administration policy. The CEU's influence on voting was modeled as a binary variable, indicating whether a zone's centroid was within a kilometer of a CEU, the average walking distance for accessing educational and cultural facilities in Brazil.</w:t>
      </w:r>
    </w:p>
    <w:p w14:paraId="3E3479C7" w14:textId="77777777" w:rsidR="00D44473" w:rsidRPr="00D44473" w:rsidRDefault="00D44473" w:rsidP="00D44473">
      <w:pPr>
        <w:spacing w:after="120" w:line="360" w:lineRule="auto"/>
        <w:rPr>
          <w:rFonts w:eastAsiaTheme="minorHAnsi"/>
          <w:lang w:val="en-US"/>
        </w:rPr>
      </w:pPr>
      <w:r w:rsidRPr="00D44473">
        <w:rPr>
          <w:rFonts w:eastAsiaTheme="minorHAnsi"/>
          <w:lang w:val="en-US"/>
        </w:rPr>
        <w:t xml:space="preserve">Additional data from </w:t>
      </w:r>
      <w:proofErr w:type="spellStart"/>
      <w:r w:rsidRPr="00D44473">
        <w:rPr>
          <w:rFonts w:eastAsiaTheme="minorHAnsi"/>
          <w:lang w:val="en-US"/>
        </w:rPr>
        <w:t>GeoSampa</w:t>
      </w:r>
      <w:proofErr w:type="spellEnd"/>
      <w:r w:rsidRPr="00D44473">
        <w:rPr>
          <w:rFonts w:eastAsiaTheme="minorHAnsi"/>
          <w:lang w:val="en-US"/>
        </w:rPr>
        <w:t xml:space="preserve"> informed our understanding of the transport infrastructure's impact on voting. Notably, we considered the distance from OD Zones to bus corridors of the BRT system and to the nearest train or subway station, acknowledging potential voter misattribution between municipal and state responsibilities.</w:t>
      </w:r>
    </w:p>
    <w:p w14:paraId="7E30A39A" w14:textId="77777777" w:rsidR="00D44473" w:rsidRPr="00D44473" w:rsidRDefault="00D44473" w:rsidP="00D44473">
      <w:pPr>
        <w:spacing w:after="120" w:line="360" w:lineRule="auto"/>
        <w:rPr>
          <w:rFonts w:eastAsiaTheme="minorHAnsi"/>
          <w:lang w:val="en-US"/>
        </w:rPr>
      </w:pPr>
      <w:r w:rsidRPr="00D44473">
        <w:rPr>
          <w:rFonts w:eastAsiaTheme="minorHAnsi"/>
          <w:lang w:val="en-US"/>
        </w:rPr>
        <w:t>To explore the phased policy implementation's effects, we distinguished between the elderly, students, and formal workers with Transport Vouchers, building variables to represent the proportion of each group within the OD Zone populations.</w:t>
      </w:r>
    </w:p>
    <w:p w14:paraId="796588A0" w14:textId="59DA2450" w:rsidR="00220E5C" w:rsidRPr="00D02FB3" w:rsidRDefault="006E5491" w:rsidP="00220E5C">
      <w:pPr>
        <w:pStyle w:val="Ttulo1"/>
        <w:rPr>
          <w:szCs w:val="28"/>
        </w:rPr>
      </w:pPr>
      <w:r w:rsidRPr="00D02FB3">
        <w:rPr>
          <w:szCs w:val="28"/>
        </w:rPr>
        <w:t xml:space="preserve">Does </w:t>
      </w:r>
      <w:r w:rsidR="007E2A6B" w:rsidRPr="00D02FB3">
        <w:rPr>
          <w:szCs w:val="28"/>
        </w:rPr>
        <w:t>SC Policy Pays Off?</w:t>
      </w:r>
    </w:p>
    <w:p w14:paraId="6AF1557D" w14:textId="77777777" w:rsidR="00D44473" w:rsidRPr="00D44473" w:rsidRDefault="00D44473" w:rsidP="00D44473">
      <w:pPr>
        <w:spacing w:after="120" w:line="360" w:lineRule="auto"/>
        <w:rPr>
          <w:rFonts w:eastAsiaTheme="minorHAnsi"/>
          <w:lang w:val="en-US"/>
        </w:rPr>
      </w:pPr>
      <w:r w:rsidRPr="00D44473">
        <w:rPr>
          <w:rFonts w:eastAsiaTheme="minorHAnsi"/>
          <w:lang w:val="en-US"/>
        </w:rPr>
        <w:t xml:space="preserve">Table 1 showcases the outcomes of five OLS regression models, which progressively incorporate control variables and interaction terms to assess the robustness and impact of the Smart Card variable on the incumbent's vote share. The initial model indicates a positive association between </w:t>
      </w:r>
      <w:r w:rsidRPr="00D44473">
        <w:rPr>
          <w:rFonts w:eastAsiaTheme="minorHAnsi"/>
          <w:lang w:val="en-US"/>
        </w:rPr>
        <w:lastRenderedPageBreak/>
        <w:t>the Smart Card policy and a 0.37 percentage point increase in the incumbent's vote share for each additional point in Smart Card coverage.</w:t>
      </w:r>
    </w:p>
    <w:p w14:paraId="137DDB34" w14:textId="77777777" w:rsidR="00D44473" w:rsidRDefault="00D44473" w:rsidP="00D44473">
      <w:pPr>
        <w:pStyle w:val="Legenda"/>
        <w:keepNext/>
      </w:pPr>
      <w:bookmarkStart w:id="0" w:name="_Ref150182206"/>
      <w:bookmarkStart w:id="1" w:name="_Ref150182200"/>
      <w:r>
        <w:t xml:space="preserve">Table </w:t>
      </w:r>
      <w:r>
        <w:fldChar w:fldCharType="begin"/>
      </w:r>
      <w:r>
        <w:instrText xml:space="preserve"> SEQ Table \* ARABIC </w:instrText>
      </w:r>
      <w:r>
        <w:fldChar w:fldCharType="separate"/>
      </w:r>
      <w:r>
        <w:rPr>
          <w:noProof/>
        </w:rPr>
        <w:t>1</w:t>
      </w:r>
      <w:r>
        <w:rPr>
          <w:noProof/>
        </w:rPr>
        <w:fldChar w:fldCharType="end"/>
      </w:r>
      <w:bookmarkEnd w:id="0"/>
      <w:r>
        <w:t>. OLS estimates of incumbent party voting difference (2004 - 2000)</w:t>
      </w:r>
      <w:bookmarkEnd w:id="1"/>
    </w:p>
    <w:tbl>
      <w:tblPr>
        <w:tblW w:w="9358" w:type="dxa"/>
        <w:tblInd w:w="147" w:type="dxa"/>
        <w:tblLayout w:type="fixed"/>
        <w:tblCellMar>
          <w:left w:w="0" w:type="dxa"/>
          <w:right w:w="0" w:type="dxa"/>
        </w:tblCellMar>
        <w:tblLook w:val="01E0" w:firstRow="1" w:lastRow="1" w:firstColumn="1" w:lastColumn="1" w:noHBand="0" w:noVBand="0"/>
      </w:tblPr>
      <w:tblGrid>
        <w:gridCol w:w="3681"/>
        <w:gridCol w:w="992"/>
        <w:gridCol w:w="1134"/>
        <w:gridCol w:w="1276"/>
        <w:gridCol w:w="1134"/>
        <w:gridCol w:w="1141"/>
      </w:tblGrid>
      <w:tr w:rsidR="00D44473" w:rsidRPr="00736D0B" w14:paraId="5E819753" w14:textId="77777777" w:rsidTr="009345F8">
        <w:trPr>
          <w:trHeight w:val="364"/>
        </w:trPr>
        <w:tc>
          <w:tcPr>
            <w:tcW w:w="3681" w:type="dxa"/>
            <w:tcBorders>
              <w:top w:val="single" w:sz="4" w:space="0" w:color="000000"/>
              <w:bottom w:val="single" w:sz="4" w:space="0" w:color="000000"/>
            </w:tcBorders>
          </w:tcPr>
          <w:p w14:paraId="5E4F1D53" w14:textId="77777777" w:rsidR="00D44473" w:rsidRPr="00736D0B" w:rsidRDefault="00D44473" w:rsidP="009345F8">
            <w:pPr>
              <w:pStyle w:val="Table"/>
              <w:rPr>
                <w:sz w:val="18"/>
                <w:szCs w:val="18"/>
              </w:rPr>
            </w:pPr>
          </w:p>
        </w:tc>
        <w:tc>
          <w:tcPr>
            <w:tcW w:w="992" w:type="dxa"/>
            <w:tcBorders>
              <w:top w:val="single" w:sz="4" w:space="0" w:color="000000"/>
              <w:bottom w:val="single" w:sz="4" w:space="0" w:color="000000"/>
            </w:tcBorders>
            <w:vAlign w:val="center"/>
          </w:tcPr>
          <w:p w14:paraId="1C24E547" w14:textId="77777777" w:rsidR="00D44473" w:rsidRPr="00736D0B" w:rsidRDefault="00D44473" w:rsidP="009345F8">
            <w:pPr>
              <w:pStyle w:val="Table"/>
              <w:rPr>
                <w:sz w:val="18"/>
                <w:szCs w:val="18"/>
              </w:rPr>
            </w:pPr>
            <w:r w:rsidRPr="00736D0B">
              <w:rPr>
                <w:sz w:val="18"/>
                <w:szCs w:val="18"/>
              </w:rPr>
              <w:t>(1)</w:t>
            </w:r>
          </w:p>
        </w:tc>
        <w:tc>
          <w:tcPr>
            <w:tcW w:w="1134" w:type="dxa"/>
            <w:tcBorders>
              <w:top w:val="single" w:sz="4" w:space="0" w:color="000000"/>
              <w:bottom w:val="single" w:sz="4" w:space="0" w:color="000000"/>
            </w:tcBorders>
            <w:vAlign w:val="center"/>
          </w:tcPr>
          <w:p w14:paraId="4E7C8C64" w14:textId="77777777" w:rsidR="00D44473" w:rsidRPr="00736D0B" w:rsidRDefault="00D44473" w:rsidP="009345F8">
            <w:pPr>
              <w:pStyle w:val="Table"/>
              <w:rPr>
                <w:sz w:val="18"/>
                <w:szCs w:val="18"/>
              </w:rPr>
            </w:pPr>
            <w:r w:rsidRPr="00736D0B">
              <w:rPr>
                <w:sz w:val="18"/>
                <w:szCs w:val="18"/>
              </w:rPr>
              <w:t>(2)</w:t>
            </w:r>
          </w:p>
        </w:tc>
        <w:tc>
          <w:tcPr>
            <w:tcW w:w="1276" w:type="dxa"/>
            <w:tcBorders>
              <w:top w:val="single" w:sz="4" w:space="0" w:color="000000"/>
              <w:bottom w:val="single" w:sz="4" w:space="0" w:color="000000"/>
            </w:tcBorders>
            <w:vAlign w:val="center"/>
          </w:tcPr>
          <w:p w14:paraId="1B22A9A1" w14:textId="77777777" w:rsidR="00D44473" w:rsidRPr="00736D0B" w:rsidRDefault="00D44473" w:rsidP="009345F8">
            <w:pPr>
              <w:pStyle w:val="Table"/>
              <w:rPr>
                <w:sz w:val="18"/>
                <w:szCs w:val="18"/>
              </w:rPr>
            </w:pPr>
            <w:r w:rsidRPr="00736D0B">
              <w:rPr>
                <w:sz w:val="18"/>
                <w:szCs w:val="18"/>
              </w:rPr>
              <w:t>(3)</w:t>
            </w:r>
          </w:p>
        </w:tc>
        <w:tc>
          <w:tcPr>
            <w:tcW w:w="1134" w:type="dxa"/>
            <w:tcBorders>
              <w:top w:val="single" w:sz="4" w:space="0" w:color="000000"/>
              <w:bottom w:val="single" w:sz="4" w:space="0" w:color="000000"/>
            </w:tcBorders>
            <w:vAlign w:val="center"/>
          </w:tcPr>
          <w:p w14:paraId="1BD23C0A" w14:textId="77777777" w:rsidR="00D44473" w:rsidRPr="00736D0B" w:rsidRDefault="00D44473" w:rsidP="009345F8">
            <w:pPr>
              <w:pStyle w:val="Table"/>
              <w:rPr>
                <w:sz w:val="18"/>
                <w:szCs w:val="18"/>
              </w:rPr>
            </w:pPr>
            <w:r w:rsidRPr="00736D0B">
              <w:rPr>
                <w:sz w:val="18"/>
                <w:szCs w:val="18"/>
              </w:rPr>
              <w:t>(4)</w:t>
            </w:r>
          </w:p>
        </w:tc>
        <w:tc>
          <w:tcPr>
            <w:tcW w:w="1141" w:type="dxa"/>
            <w:tcBorders>
              <w:top w:val="single" w:sz="4" w:space="0" w:color="000000"/>
              <w:bottom w:val="single" w:sz="4" w:space="0" w:color="000000"/>
            </w:tcBorders>
            <w:vAlign w:val="center"/>
          </w:tcPr>
          <w:p w14:paraId="6B560819" w14:textId="77777777" w:rsidR="00D44473" w:rsidRPr="00736D0B" w:rsidRDefault="00D44473" w:rsidP="009345F8">
            <w:pPr>
              <w:pStyle w:val="Table"/>
              <w:rPr>
                <w:sz w:val="18"/>
                <w:szCs w:val="18"/>
              </w:rPr>
            </w:pPr>
            <w:r w:rsidRPr="00736D0B">
              <w:rPr>
                <w:sz w:val="18"/>
                <w:szCs w:val="18"/>
              </w:rPr>
              <w:t>(5)</w:t>
            </w:r>
          </w:p>
        </w:tc>
      </w:tr>
      <w:tr w:rsidR="00D44473" w:rsidRPr="00736D0B" w14:paraId="74D10D14" w14:textId="77777777" w:rsidTr="009345F8">
        <w:trPr>
          <w:trHeight w:val="328"/>
        </w:trPr>
        <w:tc>
          <w:tcPr>
            <w:tcW w:w="3681" w:type="dxa"/>
            <w:tcBorders>
              <w:top w:val="single" w:sz="4" w:space="0" w:color="000000"/>
            </w:tcBorders>
            <w:vAlign w:val="center"/>
          </w:tcPr>
          <w:p w14:paraId="2C9728E4" w14:textId="77777777" w:rsidR="00D44473" w:rsidRPr="00736D0B" w:rsidRDefault="00D44473" w:rsidP="009345F8">
            <w:pPr>
              <w:pStyle w:val="Table"/>
              <w:rPr>
                <w:sz w:val="18"/>
                <w:szCs w:val="18"/>
              </w:rPr>
            </w:pPr>
            <w:r w:rsidRPr="00736D0B">
              <w:rPr>
                <w:sz w:val="18"/>
                <w:szCs w:val="18"/>
              </w:rPr>
              <w:t>Smart Card Users</w:t>
            </w:r>
            <w:r>
              <w:rPr>
                <w:sz w:val="18"/>
                <w:szCs w:val="18"/>
              </w:rPr>
              <w:t xml:space="preserve"> Coefficient</w:t>
            </w:r>
          </w:p>
        </w:tc>
        <w:tc>
          <w:tcPr>
            <w:tcW w:w="992" w:type="dxa"/>
            <w:tcBorders>
              <w:top w:val="single" w:sz="4" w:space="0" w:color="000000"/>
            </w:tcBorders>
            <w:vAlign w:val="center"/>
          </w:tcPr>
          <w:p w14:paraId="3E086F39" w14:textId="77777777" w:rsidR="00D44473" w:rsidRPr="00736D0B" w:rsidRDefault="00D44473" w:rsidP="009345F8">
            <w:pPr>
              <w:pStyle w:val="Table"/>
              <w:jc w:val="right"/>
              <w:rPr>
                <w:sz w:val="18"/>
                <w:szCs w:val="18"/>
              </w:rPr>
            </w:pPr>
            <w:r w:rsidRPr="00736D0B">
              <w:rPr>
                <w:sz w:val="18"/>
                <w:szCs w:val="18"/>
              </w:rPr>
              <w:t>0.370</w:t>
            </w:r>
            <w:r>
              <w:rPr>
                <w:sz w:val="18"/>
                <w:szCs w:val="18"/>
              </w:rPr>
              <w:t>***</w:t>
            </w:r>
            <w:r w:rsidRPr="00736D0B">
              <w:rPr>
                <w:sz w:val="18"/>
                <w:szCs w:val="18"/>
              </w:rPr>
              <w:t xml:space="preserve"> </w:t>
            </w:r>
          </w:p>
        </w:tc>
        <w:tc>
          <w:tcPr>
            <w:tcW w:w="1134" w:type="dxa"/>
            <w:tcBorders>
              <w:top w:val="single" w:sz="4" w:space="0" w:color="000000"/>
            </w:tcBorders>
            <w:vAlign w:val="center"/>
          </w:tcPr>
          <w:p w14:paraId="649FA09E" w14:textId="77777777" w:rsidR="00D44473" w:rsidRPr="00736D0B" w:rsidRDefault="00D44473" w:rsidP="009345F8">
            <w:pPr>
              <w:pStyle w:val="Table"/>
              <w:jc w:val="right"/>
              <w:rPr>
                <w:sz w:val="18"/>
                <w:szCs w:val="18"/>
              </w:rPr>
            </w:pPr>
            <w:r w:rsidRPr="00736D0B">
              <w:rPr>
                <w:sz w:val="18"/>
                <w:szCs w:val="18"/>
              </w:rPr>
              <w:t>0.233</w:t>
            </w:r>
            <w:r>
              <w:rPr>
                <w:sz w:val="18"/>
                <w:szCs w:val="18"/>
              </w:rPr>
              <w:t>***</w:t>
            </w:r>
          </w:p>
        </w:tc>
        <w:tc>
          <w:tcPr>
            <w:tcW w:w="1276" w:type="dxa"/>
            <w:tcBorders>
              <w:top w:val="single" w:sz="4" w:space="0" w:color="000000"/>
            </w:tcBorders>
            <w:vAlign w:val="center"/>
          </w:tcPr>
          <w:p w14:paraId="5AE1AF1B" w14:textId="77777777" w:rsidR="00D44473" w:rsidRPr="00736D0B" w:rsidRDefault="00D44473" w:rsidP="009345F8">
            <w:pPr>
              <w:pStyle w:val="Table"/>
              <w:jc w:val="right"/>
              <w:rPr>
                <w:sz w:val="18"/>
                <w:szCs w:val="18"/>
              </w:rPr>
            </w:pPr>
            <w:r w:rsidRPr="00736D0B">
              <w:rPr>
                <w:sz w:val="18"/>
                <w:szCs w:val="18"/>
              </w:rPr>
              <w:t>0.213</w:t>
            </w:r>
            <w:r>
              <w:rPr>
                <w:sz w:val="18"/>
                <w:szCs w:val="18"/>
              </w:rPr>
              <w:t>***</w:t>
            </w:r>
            <w:r w:rsidRPr="00736D0B">
              <w:rPr>
                <w:sz w:val="18"/>
                <w:szCs w:val="18"/>
              </w:rPr>
              <w:t xml:space="preserve"> </w:t>
            </w:r>
          </w:p>
        </w:tc>
        <w:tc>
          <w:tcPr>
            <w:tcW w:w="1134" w:type="dxa"/>
            <w:tcBorders>
              <w:top w:val="single" w:sz="4" w:space="0" w:color="000000"/>
            </w:tcBorders>
            <w:vAlign w:val="center"/>
          </w:tcPr>
          <w:p w14:paraId="1F077341" w14:textId="77777777" w:rsidR="00D44473" w:rsidRPr="00736D0B" w:rsidRDefault="00D44473" w:rsidP="009345F8">
            <w:pPr>
              <w:pStyle w:val="Table"/>
              <w:jc w:val="right"/>
              <w:rPr>
                <w:sz w:val="18"/>
                <w:szCs w:val="18"/>
              </w:rPr>
            </w:pPr>
            <w:r w:rsidRPr="00736D0B">
              <w:rPr>
                <w:sz w:val="18"/>
                <w:szCs w:val="18"/>
              </w:rPr>
              <w:t>2.635</w:t>
            </w:r>
            <w:r>
              <w:rPr>
                <w:sz w:val="18"/>
                <w:szCs w:val="18"/>
              </w:rPr>
              <w:t>**</w:t>
            </w:r>
            <w:r w:rsidRPr="00736D0B">
              <w:rPr>
                <w:sz w:val="18"/>
                <w:szCs w:val="18"/>
              </w:rPr>
              <w:t xml:space="preserve"> </w:t>
            </w:r>
          </w:p>
        </w:tc>
        <w:tc>
          <w:tcPr>
            <w:tcW w:w="1141" w:type="dxa"/>
            <w:tcBorders>
              <w:top w:val="single" w:sz="4" w:space="0" w:color="000000"/>
            </w:tcBorders>
            <w:vAlign w:val="center"/>
          </w:tcPr>
          <w:p w14:paraId="7BDD5349" w14:textId="77777777" w:rsidR="00D44473" w:rsidRPr="00736D0B" w:rsidRDefault="00D44473" w:rsidP="009345F8">
            <w:pPr>
              <w:pStyle w:val="Table"/>
              <w:jc w:val="right"/>
              <w:rPr>
                <w:sz w:val="18"/>
                <w:szCs w:val="18"/>
              </w:rPr>
            </w:pPr>
            <w:r w:rsidRPr="00736D0B">
              <w:rPr>
                <w:sz w:val="18"/>
                <w:szCs w:val="18"/>
              </w:rPr>
              <w:t>2.108</w:t>
            </w:r>
            <w:r>
              <w:rPr>
                <w:sz w:val="18"/>
                <w:szCs w:val="18"/>
              </w:rPr>
              <w:t>*</w:t>
            </w:r>
            <w:r w:rsidRPr="00736D0B">
              <w:rPr>
                <w:sz w:val="18"/>
                <w:szCs w:val="18"/>
              </w:rPr>
              <w:t xml:space="preserve"> </w:t>
            </w:r>
          </w:p>
        </w:tc>
      </w:tr>
      <w:tr w:rsidR="00D44473" w:rsidRPr="00736D0B" w14:paraId="13B24E91" w14:textId="77777777" w:rsidTr="009345F8">
        <w:trPr>
          <w:trHeight w:val="293"/>
        </w:trPr>
        <w:tc>
          <w:tcPr>
            <w:tcW w:w="3681" w:type="dxa"/>
            <w:vAlign w:val="center"/>
          </w:tcPr>
          <w:p w14:paraId="12EFB852" w14:textId="77777777" w:rsidR="00D44473" w:rsidRPr="00736D0B" w:rsidRDefault="00D44473" w:rsidP="009345F8">
            <w:pPr>
              <w:pStyle w:val="Table"/>
              <w:rPr>
                <w:sz w:val="18"/>
                <w:szCs w:val="18"/>
              </w:rPr>
            </w:pPr>
          </w:p>
        </w:tc>
        <w:tc>
          <w:tcPr>
            <w:tcW w:w="992" w:type="dxa"/>
            <w:vAlign w:val="center"/>
          </w:tcPr>
          <w:p w14:paraId="117EE59A" w14:textId="77777777" w:rsidR="00D44473" w:rsidRPr="00581BF7" w:rsidRDefault="00D44473" w:rsidP="009345F8">
            <w:pPr>
              <w:pStyle w:val="Table"/>
              <w:jc w:val="right"/>
              <w:rPr>
                <w:b/>
                <w:bCs/>
                <w:sz w:val="18"/>
                <w:szCs w:val="18"/>
              </w:rPr>
            </w:pPr>
            <w:r w:rsidRPr="00736D0B">
              <w:rPr>
                <w:sz w:val="18"/>
                <w:szCs w:val="18"/>
              </w:rPr>
              <w:t>[0.06</w:t>
            </w:r>
            <w:r>
              <w:rPr>
                <w:sz w:val="18"/>
                <w:szCs w:val="18"/>
              </w:rPr>
              <w:t>5</w:t>
            </w:r>
            <w:r w:rsidRPr="00736D0B">
              <w:rPr>
                <w:sz w:val="18"/>
                <w:szCs w:val="18"/>
              </w:rPr>
              <w:t>]</w:t>
            </w:r>
          </w:p>
        </w:tc>
        <w:tc>
          <w:tcPr>
            <w:tcW w:w="1134" w:type="dxa"/>
            <w:vAlign w:val="center"/>
          </w:tcPr>
          <w:p w14:paraId="4C3B072E" w14:textId="77777777" w:rsidR="00D44473" w:rsidRPr="003D1781" w:rsidRDefault="00D44473" w:rsidP="009345F8">
            <w:pPr>
              <w:pStyle w:val="Table"/>
              <w:jc w:val="right"/>
              <w:rPr>
                <w:sz w:val="18"/>
                <w:szCs w:val="18"/>
              </w:rPr>
            </w:pPr>
            <w:r w:rsidRPr="00736D0B">
              <w:rPr>
                <w:sz w:val="18"/>
                <w:szCs w:val="18"/>
              </w:rPr>
              <w:t xml:space="preserve"> [0.063]</w:t>
            </w:r>
          </w:p>
        </w:tc>
        <w:tc>
          <w:tcPr>
            <w:tcW w:w="1276" w:type="dxa"/>
            <w:vAlign w:val="center"/>
          </w:tcPr>
          <w:p w14:paraId="0F8F5F6F" w14:textId="77777777" w:rsidR="00D44473" w:rsidRPr="003D1781" w:rsidRDefault="00D44473" w:rsidP="009345F8">
            <w:pPr>
              <w:pStyle w:val="Table"/>
              <w:jc w:val="right"/>
              <w:rPr>
                <w:sz w:val="18"/>
                <w:szCs w:val="18"/>
              </w:rPr>
            </w:pPr>
            <w:r w:rsidRPr="00736D0B">
              <w:rPr>
                <w:sz w:val="18"/>
                <w:szCs w:val="18"/>
              </w:rPr>
              <w:t xml:space="preserve"> [0.061]</w:t>
            </w:r>
          </w:p>
        </w:tc>
        <w:tc>
          <w:tcPr>
            <w:tcW w:w="1134" w:type="dxa"/>
            <w:vAlign w:val="center"/>
          </w:tcPr>
          <w:p w14:paraId="0A4CD223" w14:textId="77777777" w:rsidR="00D44473" w:rsidRPr="003D1781" w:rsidRDefault="00D44473" w:rsidP="009345F8">
            <w:pPr>
              <w:pStyle w:val="Table"/>
              <w:jc w:val="right"/>
              <w:rPr>
                <w:sz w:val="18"/>
                <w:szCs w:val="18"/>
              </w:rPr>
            </w:pPr>
            <w:r w:rsidRPr="00736D0B">
              <w:rPr>
                <w:sz w:val="18"/>
                <w:szCs w:val="18"/>
              </w:rPr>
              <w:t xml:space="preserve"> [1.034]</w:t>
            </w:r>
          </w:p>
        </w:tc>
        <w:tc>
          <w:tcPr>
            <w:tcW w:w="1141" w:type="dxa"/>
            <w:vAlign w:val="center"/>
          </w:tcPr>
          <w:p w14:paraId="40262DA8" w14:textId="77777777" w:rsidR="00D44473" w:rsidRPr="003D1781" w:rsidRDefault="00D44473" w:rsidP="009345F8">
            <w:pPr>
              <w:pStyle w:val="Table"/>
              <w:jc w:val="right"/>
              <w:rPr>
                <w:sz w:val="18"/>
                <w:szCs w:val="18"/>
              </w:rPr>
            </w:pPr>
            <w:r w:rsidRPr="00736D0B">
              <w:rPr>
                <w:sz w:val="18"/>
                <w:szCs w:val="18"/>
              </w:rPr>
              <w:t xml:space="preserve"> [1.264]</w:t>
            </w:r>
          </w:p>
        </w:tc>
      </w:tr>
      <w:tr w:rsidR="00D44473" w:rsidRPr="00736D0B" w14:paraId="6E82D276" w14:textId="77777777" w:rsidTr="009345F8">
        <w:trPr>
          <w:trHeight w:val="293"/>
        </w:trPr>
        <w:tc>
          <w:tcPr>
            <w:tcW w:w="3681" w:type="dxa"/>
            <w:vAlign w:val="center"/>
          </w:tcPr>
          <w:p w14:paraId="3A7CBD8F" w14:textId="77777777" w:rsidR="00D44473" w:rsidRDefault="00D44473" w:rsidP="009345F8">
            <w:pPr>
              <w:pStyle w:val="Table"/>
              <w:rPr>
                <w:sz w:val="18"/>
                <w:szCs w:val="18"/>
              </w:rPr>
            </w:pPr>
            <w:r>
              <w:rPr>
                <w:sz w:val="18"/>
                <w:szCs w:val="18"/>
              </w:rPr>
              <w:t>Impact on vote share change</w:t>
            </w:r>
          </w:p>
        </w:tc>
        <w:tc>
          <w:tcPr>
            <w:tcW w:w="992" w:type="dxa"/>
          </w:tcPr>
          <w:p w14:paraId="5E80E938" w14:textId="77777777" w:rsidR="00D44473" w:rsidRPr="003D1781" w:rsidRDefault="00D44473" w:rsidP="009345F8">
            <w:pPr>
              <w:pStyle w:val="Table"/>
              <w:jc w:val="right"/>
              <w:rPr>
                <w:sz w:val="18"/>
                <w:szCs w:val="18"/>
              </w:rPr>
            </w:pPr>
            <w:r w:rsidRPr="003D1781">
              <w:rPr>
                <w:sz w:val="18"/>
                <w:szCs w:val="18"/>
              </w:rPr>
              <w:t>1.85%</w:t>
            </w:r>
          </w:p>
        </w:tc>
        <w:tc>
          <w:tcPr>
            <w:tcW w:w="1134" w:type="dxa"/>
          </w:tcPr>
          <w:p w14:paraId="127FF41F" w14:textId="77777777" w:rsidR="00D44473" w:rsidRPr="003D1781" w:rsidRDefault="00D44473" w:rsidP="009345F8">
            <w:pPr>
              <w:pStyle w:val="Table"/>
              <w:jc w:val="right"/>
              <w:rPr>
                <w:sz w:val="18"/>
                <w:szCs w:val="18"/>
              </w:rPr>
            </w:pPr>
            <w:r w:rsidRPr="003D1781">
              <w:rPr>
                <w:sz w:val="18"/>
                <w:szCs w:val="18"/>
              </w:rPr>
              <w:t>1.17%</w:t>
            </w:r>
          </w:p>
        </w:tc>
        <w:tc>
          <w:tcPr>
            <w:tcW w:w="1276" w:type="dxa"/>
          </w:tcPr>
          <w:p w14:paraId="51C4F685" w14:textId="77777777" w:rsidR="00D44473" w:rsidRPr="003D1781" w:rsidRDefault="00D44473" w:rsidP="009345F8">
            <w:pPr>
              <w:pStyle w:val="Table"/>
              <w:jc w:val="right"/>
              <w:rPr>
                <w:sz w:val="18"/>
                <w:szCs w:val="18"/>
              </w:rPr>
            </w:pPr>
            <w:r w:rsidRPr="003D1781">
              <w:rPr>
                <w:sz w:val="18"/>
                <w:szCs w:val="18"/>
              </w:rPr>
              <w:t>1.07%</w:t>
            </w:r>
          </w:p>
        </w:tc>
        <w:tc>
          <w:tcPr>
            <w:tcW w:w="1134" w:type="dxa"/>
          </w:tcPr>
          <w:p w14:paraId="0C321B12" w14:textId="77777777" w:rsidR="00D44473" w:rsidRPr="003D1781" w:rsidRDefault="00D44473" w:rsidP="009345F8">
            <w:pPr>
              <w:pStyle w:val="Table"/>
              <w:jc w:val="right"/>
              <w:rPr>
                <w:sz w:val="18"/>
                <w:szCs w:val="18"/>
              </w:rPr>
            </w:pPr>
            <w:r w:rsidRPr="003D1781">
              <w:rPr>
                <w:sz w:val="18"/>
                <w:szCs w:val="18"/>
              </w:rPr>
              <w:t>0.50%</w:t>
            </w:r>
          </w:p>
        </w:tc>
        <w:tc>
          <w:tcPr>
            <w:tcW w:w="1141" w:type="dxa"/>
          </w:tcPr>
          <w:p w14:paraId="79453157" w14:textId="77777777" w:rsidR="00D44473" w:rsidRPr="003D1781" w:rsidRDefault="00D44473" w:rsidP="009345F8">
            <w:pPr>
              <w:pStyle w:val="Table"/>
              <w:jc w:val="right"/>
              <w:rPr>
                <w:sz w:val="18"/>
                <w:szCs w:val="18"/>
              </w:rPr>
            </w:pPr>
            <w:r w:rsidRPr="003D1781">
              <w:rPr>
                <w:sz w:val="18"/>
                <w:szCs w:val="18"/>
              </w:rPr>
              <w:t>0.45%</w:t>
            </w:r>
          </w:p>
        </w:tc>
      </w:tr>
      <w:tr w:rsidR="00D44473" w:rsidRPr="00736D0B" w14:paraId="1B6382FC" w14:textId="77777777" w:rsidTr="009345F8">
        <w:trPr>
          <w:trHeight w:val="293"/>
        </w:trPr>
        <w:tc>
          <w:tcPr>
            <w:tcW w:w="3681" w:type="dxa"/>
            <w:tcBorders>
              <w:bottom w:val="single" w:sz="4" w:space="0" w:color="auto"/>
            </w:tcBorders>
            <w:vAlign w:val="center"/>
          </w:tcPr>
          <w:p w14:paraId="2BD0DC73" w14:textId="77777777" w:rsidR="00D44473" w:rsidRPr="00736D0B" w:rsidRDefault="00D44473" w:rsidP="009345F8">
            <w:pPr>
              <w:pStyle w:val="Table"/>
              <w:rPr>
                <w:sz w:val="18"/>
                <w:szCs w:val="18"/>
              </w:rPr>
            </w:pPr>
            <w:r>
              <w:rPr>
                <w:sz w:val="18"/>
                <w:szCs w:val="18"/>
              </w:rPr>
              <w:t>Relative Impact on vote share change</w:t>
            </w:r>
          </w:p>
        </w:tc>
        <w:tc>
          <w:tcPr>
            <w:tcW w:w="992" w:type="dxa"/>
            <w:tcBorders>
              <w:bottom w:val="single" w:sz="4" w:space="0" w:color="auto"/>
            </w:tcBorders>
          </w:tcPr>
          <w:p w14:paraId="06A5EAB1" w14:textId="77777777" w:rsidR="00D44473" w:rsidRPr="003D1781" w:rsidRDefault="00D44473" w:rsidP="009345F8">
            <w:pPr>
              <w:pStyle w:val="Table"/>
              <w:jc w:val="right"/>
              <w:rPr>
                <w:sz w:val="18"/>
                <w:szCs w:val="18"/>
              </w:rPr>
            </w:pPr>
            <w:r w:rsidRPr="003D1781">
              <w:rPr>
                <w:sz w:val="18"/>
                <w:szCs w:val="18"/>
              </w:rPr>
              <w:t>84%</w:t>
            </w:r>
          </w:p>
        </w:tc>
        <w:tc>
          <w:tcPr>
            <w:tcW w:w="1134" w:type="dxa"/>
            <w:tcBorders>
              <w:bottom w:val="single" w:sz="4" w:space="0" w:color="auto"/>
            </w:tcBorders>
          </w:tcPr>
          <w:p w14:paraId="262943A5" w14:textId="77777777" w:rsidR="00D44473" w:rsidRPr="003D1781" w:rsidRDefault="00D44473" w:rsidP="009345F8">
            <w:pPr>
              <w:pStyle w:val="Table"/>
              <w:jc w:val="right"/>
              <w:rPr>
                <w:sz w:val="18"/>
                <w:szCs w:val="18"/>
              </w:rPr>
            </w:pPr>
            <w:r w:rsidRPr="003D1781">
              <w:rPr>
                <w:sz w:val="18"/>
                <w:szCs w:val="18"/>
              </w:rPr>
              <w:t>53%</w:t>
            </w:r>
          </w:p>
        </w:tc>
        <w:tc>
          <w:tcPr>
            <w:tcW w:w="1276" w:type="dxa"/>
            <w:tcBorders>
              <w:bottom w:val="single" w:sz="4" w:space="0" w:color="auto"/>
            </w:tcBorders>
          </w:tcPr>
          <w:p w14:paraId="1814E563" w14:textId="77777777" w:rsidR="00D44473" w:rsidRPr="003D1781" w:rsidRDefault="00D44473" w:rsidP="009345F8">
            <w:pPr>
              <w:pStyle w:val="Table"/>
              <w:jc w:val="right"/>
              <w:rPr>
                <w:sz w:val="18"/>
                <w:szCs w:val="18"/>
              </w:rPr>
            </w:pPr>
            <w:r w:rsidRPr="003D1781">
              <w:rPr>
                <w:sz w:val="18"/>
                <w:szCs w:val="18"/>
              </w:rPr>
              <w:t>48%</w:t>
            </w:r>
          </w:p>
        </w:tc>
        <w:tc>
          <w:tcPr>
            <w:tcW w:w="1134" w:type="dxa"/>
            <w:tcBorders>
              <w:bottom w:val="single" w:sz="4" w:space="0" w:color="auto"/>
            </w:tcBorders>
          </w:tcPr>
          <w:p w14:paraId="74B0D5A3" w14:textId="77777777" w:rsidR="00D44473" w:rsidRPr="003D1781" w:rsidRDefault="00D44473" w:rsidP="009345F8">
            <w:pPr>
              <w:pStyle w:val="Table"/>
              <w:jc w:val="right"/>
              <w:rPr>
                <w:sz w:val="18"/>
                <w:szCs w:val="18"/>
              </w:rPr>
            </w:pPr>
            <w:r w:rsidRPr="003D1781">
              <w:rPr>
                <w:sz w:val="18"/>
                <w:szCs w:val="18"/>
              </w:rPr>
              <w:t>23%</w:t>
            </w:r>
          </w:p>
        </w:tc>
        <w:tc>
          <w:tcPr>
            <w:tcW w:w="1141" w:type="dxa"/>
            <w:tcBorders>
              <w:bottom w:val="single" w:sz="4" w:space="0" w:color="auto"/>
            </w:tcBorders>
          </w:tcPr>
          <w:p w14:paraId="3F00C3C7" w14:textId="77777777" w:rsidR="00D44473" w:rsidRPr="003D1781" w:rsidRDefault="00D44473" w:rsidP="009345F8">
            <w:pPr>
              <w:pStyle w:val="Table"/>
              <w:jc w:val="right"/>
              <w:rPr>
                <w:sz w:val="18"/>
                <w:szCs w:val="18"/>
              </w:rPr>
            </w:pPr>
            <w:r w:rsidRPr="003D1781">
              <w:rPr>
                <w:sz w:val="18"/>
                <w:szCs w:val="18"/>
              </w:rPr>
              <w:t>20%</w:t>
            </w:r>
          </w:p>
        </w:tc>
      </w:tr>
      <w:tr w:rsidR="00D44473" w:rsidRPr="00736D0B" w14:paraId="420AB3D4" w14:textId="77777777" w:rsidTr="009345F8">
        <w:trPr>
          <w:trHeight w:val="293"/>
        </w:trPr>
        <w:tc>
          <w:tcPr>
            <w:tcW w:w="3681" w:type="dxa"/>
            <w:tcBorders>
              <w:top w:val="single" w:sz="4" w:space="0" w:color="auto"/>
            </w:tcBorders>
            <w:vAlign w:val="center"/>
          </w:tcPr>
          <w:p w14:paraId="53A4C148" w14:textId="77777777" w:rsidR="00D44473" w:rsidRPr="003D1781" w:rsidRDefault="00D44473" w:rsidP="009345F8">
            <w:pPr>
              <w:pStyle w:val="Table"/>
              <w:rPr>
                <w:b/>
                <w:bCs/>
                <w:sz w:val="18"/>
                <w:szCs w:val="18"/>
              </w:rPr>
            </w:pPr>
            <w:r w:rsidRPr="003D1781">
              <w:rPr>
                <w:b/>
                <w:bCs/>
                <w:sz w:val="18"/>
                <w:szCs w:val="18"/>
              </w:rPr>
              <w:t>Controls</w:t>
            </w:r>
          </w:p>
        </w:tc>
        <w:tc>
          <w:tcPr>
            <w:tcW w:w="992" w:type="dxa"/>
            <w:tcBorders>
              <w:top w:val="single" w:sz="4" w:space="0" w:color="auto"/>
            </w:tcBorders>
          </w:tcPr>
          <w:p w14:paraId="7297C8C9" w14:textId="77777777" w:rsidR="00D44473" w:rsidRPr="00901F2B" w:rsidRDefault="00D44473" w:rsidP="009345F8">
            <w:pPr>
              <w:pStyle w:val="Table"/>
              <w:jc w:val="center"/>
            </w:pPr>
          </w:p>
        </w:tc>
        <w:tc>
          <w:tcPr>
            <w:tcW w:w="1134" w:type="dxa"/>
            <w:tcBorders>
              <w:top w:val="single" w:sz="4" w:space="0" w:color="auto"/>
            </w:tcBorders>
          </w:tcPr>
          <w:p w14:paraId="43FEBADC" w14:textId="77777777" w:rsidR="00D44473" w:rsidRPr="00901F2B" w:rsidRDefault="00D44473" w:rsidP="009345F8">
            <w:pPr>
              <w:pStyle w:val="Table"/>
              <w:jc w:val="center"/>
            </w:pPr>
          </w:p>
        </w:tc>
        <w:tc>
          <w:tcPr>
            <w:tcW w:w="1276" w:type="dxa"/>
            <w:tcBorders>
              <w:top w:val="single" w:sz="4" w:space="0" w:color="auto"/>
            </w:tcBorders>
          </w:tcPr>
          <w:p w14:paraId="1E535CDF" w14:textId="77777777" w:rsidR="00D44473" w:rsidRPr="00901F2B" w:rsidRDefault="00D44473" w:rsidP="009345F8">
            <w:pPr>
              <w:pStyle w:val="Table"/>
              <w:jc w:val="center"/>
            </w:pPr>
          </w:p>
        </w:tc>
        <w:tc>
          <w:tcPr>
            <w:tcW w:w="1134" w:type="dxa"/>
            <w:tcBorders>
              <w:top w:val="single" w:sz="4" w:space="0" w:color="auto"/>
            </w:tcBorders>
          </w:tcPr>
          <w:p w14:paraId="7F1E8D68" w14:textId="77777777" w:rsidR="00D44473" w:rsidRPr="00901F2B" w:rsidRDefault="00D44473" w:rsidP="009345F8">
            <w:pPr>
              <w:pStyle w:val="Table"/>
              <w:jc w:val="center"/>
            </w:pPr>
          </w:p>
        </w:tc>
        <w:tc>
          <w:tcPr>
            <w:tcW w:w="1141" w:type="dxa"/>
            <w:tcBorders>
              <w:top w:val="single" w:sz="4" w:space="0" w:color="auto"/>
            </w:tcBorders>
          </w:tcPr>
          <w:p w14:paraId="5223CA0A" w14:textId="77777777" w:rsidR="00D44473" w:rsidRPr="00901F2B" w:rsidRDefault="00D44473" w:rsidP="009345F8">
            <w:pPr>
              <w:pStyle w:val="Table"/>
              <w:jc w:val="center"/>
            </w:pPr>
          </w:p>
        </w:tc>
      </w:tr>
      <w:tr w:rsidR="00D44473" w:rsidRPr="00736D0B" w14:paraId="49ECFF2D" w14:textId="77777777" w:rsidTr="009345F8">
        <w:trPr>
          <w:trHeight w:val="293"/>
        </w:trPr>
        <w:tc>
          <w:tcPr>
            <w:tcW w:w="3681" w:type="dxa"/>
            <w:vAlign w:val="center"/>
          </w:tcPr>
          <w:p w14:paraId="2FA1AFD2" w14:textId="77777777" w:rsidR="00D44473" w:rsidRPr="00736D0B" w:rsidRDefault="00D44473" w:rsidP="009345F8">
            <w:pPr>
              <w:pStyle w:val="Table"/>
              <w:rPr>
                <w:sz w:val="18"/>
                <w:szCs w:val="18"/>
              </w:rPr>
            </w:pPr>
            <w:r w:rsidRPr="00736D0B">
              <w:rPr>
                <w:sz w:val="18"/>
                <w:szCs w:val="18"/>
              </w:rPr>
              <w:t>Vote share Labor Party (2000)</w:t>
            </w:r>
          </w:p>
        </w:tc>
        <w:tc>
          <w:tcPr>
            <w:tcW w:w="992" w:type="dxa"/>
            <w:vAlign w:val="center"/>
          </w:tcPr>
          <w:p w14:paraId="68E2E307" w14:textId="77777777" w:rsidR="00D44473" w:rsidRPr="00736D0B" w:rsidRDefault="00D44473" w:rsidP="009345F8">
            <w:pPr>
              <w:pStyle w:val="Table"/>
              <w:jc w:val="right"/>
              <w:rPr>
                <w:sz w:val="18"/>
                <w:szCs w:val="18"/>
              </w:rPr>
            </w:pPr>
            <w:r>
              <w:rPr>
                <w:sz w:val="18"/>
                <w:szCs w:val="18"/>
              </w:rPr>
              <w:t>Yes</w:t>
            </w:r>
          </w:p>
        </w:tc>
        <w:tc>
          <w:tcPr>
            <w:tcW w:w="1134" w:type="dxa"/>
            <w:vAlign w:val="center"/>
          </w:tcPr>
          <w:p w14:paraId="632C7848" w14:textId="77777777" w:rsidR="00D44473" w:rsidRPr="00736D0B" w:rsidRDefault="00D44473" w:rsidP="009345F8">
            <w:pPr>
              <w:pStyle w:val="Table"/>
              <w:jc w:val="right"/>
              <w:rPr>
                <w:sz w:val="18"/>
                <w:szCs w:val="18"/>
              </w:rPr>
            </w:pPr>
            <w:r>
              <w:rPr>
                <w:sz w:val="18"/>
                <w:szCs w:val="18"/>
              </w:rPr>
              <w:t>Yes</w:t>
            </w:r>
          </w:p>
        </w:tc>
        <w:tc>
          <w:tcPr>
            <w:tcW w:w="1276" w:type="dxa"/>
            <w:vAlign w:val="center"/>
          </w:tcPr>
          <w:p w14:paraId="3C0F3BD9" w14:textId="77777777" w:rsidR="00D44473" w:rsidRPr="00736D0B" w:rsidRDefault="00D44473" w:rsidP="009345F8">
            <w:pPr>
              <w:pStyle w:val="Table"/>
              <w:jc w:val="right"/>
              <w:rPr>
                <w:sz w:val="18"/>
                <w:szCs w:val="18"/>
              </w:rPr>
            </w:pPr>
            <w:r>
              <w:rPr>
                <w:sz w:val="18"/>
                <w:szCs w:val="18"/>
              </w:rPr>
              <w:t>Yes</w:t>
            </w:r>
          </w:p>
        </w:tc>
        <w:tc>
          <w:tcPr>
            <w:tcW w:w="1134" w:type="dxa"/>
            <w:vAlign w:val="center"/>
          </w:tcPr>
          <w:p w14:paraId="2F77B792" w14:textId="77777777" w:rsidR="00D44473" w:rsidRPr="00736D0B" w:rsidRDefault="00D44473" w:rsidP="009345F8">
            <w:pPr>
              <w:pStyle w:val="Table"/>
              <w:jc w:val="right"/>
              <w:rPr>
                <w:sz w:val="18"/>
                <w:szCs w:val="18"/>
              </w:rPr>
            </w:pPr>
            <w:r>
              <w:rPr>
                <w:sz w:val="18"/>
                <w:szCs w:val="18"/>
              </w:rPr>
              <w:t>Yes</w:t>
            </w:r>
          </w:p>
        </w:tc>
        <w:tc>
          <w:tcPr>
            <w:tcW w:w="1141" w:type="dxa"/>
            <w:vAlign w:val="center"/>
          </w:tcPr>
          <w:p w14:paraId="1ECA174F" w14:textId="77777777" w:rsidR="00D44473" w:rsidRPr="00736D0B" w:rsidRDefault="00D44473" w:rsidP="009345F8">
            <w:pPr>
              <w:pStyle w:val="Table"/>
              <w:jc w:val="right"/>
              <w:rPr>
                <w:sz w:val="18"/>
                <w:szCs w:val="18"/>
              </w:rPr>
            </w:pPr>
            <w:r>
              <w:rPr>
                <w:sz w:val="18"/>
                <w:szCs w:val="18"/>
              </w:rPr>
              <w:t>Yes</w:t>
            </w:r>
          </w:p>
        </w:tc>
      </w:tr>
      <w:tr w:rsidR="00D44473" w:rsidRPr="00736D0B" w14:paraId="0ED7416B" w14:textId="77777777" w:rsidTr="009345F8">
        <w:trPr>
          <w:trHeight w:val="293"/>
        </w:trPr>
        <w:tc>
          <w:tcPr>
            <w:tcW w:w="3681" w:type="dxa"/>
            <w:vAlign w:val="center"/>
          </w:tcPr>
          <w:p w14:paraId="24063425" w14:textId="77777777" w:rsidR="00D44473" w:rsidRPr="00736D0B" w:rsidRDefault="00D44473" w:rsidP="009345F8">
            <w:pPr>
              <w:pStyle w:val="Table"/>
              <w:rPr>
                <w:sz w:val="18"/>
                <w:szCs w:val="18"/>
              </w:rPr>
            </w:pPr>
            <w:r w:rsidRPr="00736D0B">
              <w:rPr>
                <w:sz w:val="18"/>
                <w:szCs w:val="18"/>
              </w:rPr>
              <w:t>Income</w:t>
            </w:r>
            <w:r>
              <w:rPr>
                <w:sz w:val="18"/>
                <w:szCs w:val="18"/>
              </w:rPr>
              <w:t>, Rail and Transportation Voucher</w:t>
            </w:r>
          </w:p>
        </w:tc>
        <w:tc>
          <w:tcPr>
            <w:tcW w:w="992" w:type="dxa"/>
            <w:vAlign w:val="center"/>
          </w:tcPr>
          <w:p w14:paraId="1D0B3E45" w14:textId="77777777" w:rsidR="00D44473" w:rsidRPr="00736D0B" w:rsidRDefault="00D44473" w:rsidP="009345F8">
            <w:pPr>
              <w:pStyle w:val="Table"/>
              <w:jc w:val="right"/>
              <w:rPr>
                <w:sz w:val="18"/>
                <w:szCs w:val="18"/>
              </w:rPr>
            </w:pPr>
            <w:r>
              <w:rPr>
                <w:sz w:val="18"/>
                <w:szCs w:val="18"/>
              </w:rPr>
              <w:t>No</w:t>
            </w:r>
          </w:p>
        </w:tc>
        <w:tc>
          <w:tcPr>
            <w:tcW w:w="1134" w:type="dxa"/>
            <w:vAlign w:val="center"/>
          </w:tcPr>
          <w:p w14:paraId="536093D7" w14:textId="77777777" w:rsidR="00D44473" w:rsidRPr="00736D0B" w:rsidRDefault="00D44473" w:rsidP="009345F8">
            <w:pPr>
              <w:pStyle w:val="Table"/>
              <w:jc w:val="right"/>
              <w:rPr>
                <w:sz w:val="18"/>
                <w:szCs w:val="18"/>
              </w:rPr>
            </w:pPr>
            <w:r>
              <w:rPr>
                <w:sz w:val="18"/>
                <w:szCs w:val="18"/>
              </w:rPr>
              <w:t>Yes</w:t>
            </w:r>
          </w:p>
        </w:tc>
        <w:tc>
          <w:tcPr>
            <w:tcW w:w="1276" w:type="dxa"/>
            <w:vAlign w:val="center"/>
          </w:tcPr>
          <w:p w14:paraId="3B14707A" w14:textId="77777777" w:rsidR="00D44473" w:rsidRPr="00736D0B" w:rsidRDefault="00D44473" w:rsidP="009345F8">
            <w:pPr>
              <w:pStyle w:val="Table"/>
              <w:jc w:val="right"/>
              <w:rPr>
                <w:sz w:val="18"/>
                <w:szCs w:val="18"/>
              </w:rPr>
            </w:pPr>
            <w:r>
              <w:rPr>
                <w:sz w:val="18"/>
                <w:szCs w:val="18"/>
              </w:rPr>
              <w:t>Yes</w:t>
            </w:r>
          </w:p>
        </w:tc>
        <w:tc>
          <w:tcPr>
            <w:tcW w:w="1134" w:type="dxa"/>
            <w:vAlign w:val="center"/>
          </w:tcPr>
          <w:p w14:paraId="1A2BDC34" w14:textId="77777777" w:rsidR="00D44473" w:rsidRPr="00736D0B" w:rsidRDefault="00D44473" w:rsidP="009345F8">
            <w:pPr>
              <w:pStyle w:val="Table"/>
              <w:jc w:val="right"/>
              <w:rPr>
                <w:sz w:val="18"/>
                <w:szCs w:val="18"/>
              </w:rPr>
            </w:pPr>
            <w:r>
              <w:rPr>
                <w:sz w:val="18"/>
                <w:szCs w:val="18"/>
              </w:rPr>
              <w:t>Yes</w:t>
            </w:r>
          </w:p>
        </w:tc>
        <w:tc>
          <w:tcPr>
            <w:tcW w:w="1141" w:type="dxa"/>
            <w:vAlign w:val="center"/>
          </w:tcPr>
          <w:p w14:paraId="1FAB6F3D" w14:textId="77777777" w:rsidR="00D44473" w:rsidRPr="00736D0B" w:rsidRDefault="00D44473" w:rsidP="009345F8">
            <w:pPr>
              <w:pStyle w:val="Table"/>
              <w:jc w:val="right"/>
              <w:rPr>
                <w:sz w:val="18"/>
                <w:szCs w:val="18"/>
              </w:rPr>
            </w:pPr>
            <w:r>
              <w:rPr>
                <w:sz w:val="18"/>
                <w:szCs w:val="18"/>
              </w:rPr>
              <w:t>Yes</w:t>
            </w:r>
          </w:p>
        </w:tc>
      </w:tr>
      <w:tr w:rsidR="00D44473" w:rsidRPr="00736D0B" w14:paraId="0D7D29C6" w14:textId="77777777" w:rsidTr="009345F8">
        <w:trPr>
          <w:trHeight w:val="293"/>
        </w:trPr>
        <w:tc>
          <w:tcPr>
            <w:tcW w:w="3681" w:type="dxa"/>
            <w:vAlign w:val="center"/>
          </w:tcPr>
          <w:p w14:paraId="72F55992" w14:textId="77777777" w:rsidR="00D44473" w:rsidRPr="00736D0B" w:rsidRDefault="00D44473" w:rsidP="009345F8">
            <w:pPr>
              <w:pStyle w:val="Table"/>
              <w:rPr>
                <w:sz w:val="18"/>
                <w:szCs w:val="18"/>
              </w:rPr>
            </w:pPr>
            <w:r>
              <w:rPr>
                <w:sz w:val="18"/>
                <w:szCs w:val="18"/>
              </w:rPr>
              <w:t>BRT, Students and CEU</w:t>
            </w:r>
          </w:p>
        </w:tc>
        <w:tc>
          <w:tcPr>
            <w:tcW w:w="992" w:type="dxa"/>
            <w:vAlign w:val="center"/>
          </w:tcPr>
          <w:p w14:paraId="497A1C9E" w14:textId="77777777" w:rsidR="00D44473" w:rsidRPr="00736D0B" w:rsidRDefault="00D44473" w:rsidP="009345F8">
            <w:pPr>
              <w:pStyle w:val="Table"/>
              <w:jc w:val="right"/>
              <w:rPr>
                <w:sz w:val="18"/>
                <w:szCs w:val="18"/>
              </w:rPr>
            </w:pPr>
            <w:r>
              <w:rPr>
                <w:sz w:val="18"/>
                <w:szCs w:val="18"/>
              </w:rPr>
              <w:t>No</w:t>
            </w:r>
          </w:p>
        </w:tc>
        <w:tc>
          <w:tcPr>
            <w:tcW w:w="1134" w:type="dxa"/>
            <w:vAlign w:val="center"/>
          </w:tcPr>
          <w:p w14:paraId="6CA8A67F" w14:textId="77777777" w:rsidR="00D44473" w:rsidRPr="00736D0B" w:rsidRDefault="00D44473" w:rsidP="009345F8">
            <w:pPr>
              <w:pStyle w:val="Table"/>
              <w:jc w:val="right"/>
              <w:rPr>
                <w:sz w:val="18"/>
                <w:szCs w:val="18"/>
              </w:rPr>
            </w:pPr>
            <w:r>
              <w:rPr>
                <w:sz w:val="18"/>
                <w:szCs w:val="18"/>
              </w:rPr>
              <w:t>No</w:t>
            </w:r>
          </w:p>
        </w:tc>
        <w:tc>
          <w:tcPr>
            <w:tcW w:w="1276" w:type="dxa"/>
            <w:vAlign w:val="center"/>
          </w:tcPr>
          <w:p w14:paraId="1D0852D2" w14:textId="77777777" w:rsidR="00D44473" w:rsidRPr="00736D0B" w:rsidRDefault="00D44473" w:rsidP="009345F8">
            <w:pPr>
              <w:pStyle w:val="Table"/>
              <w:jc w:val="right"/>
              <w:rPr>
                <w:sz w:val="18"/>
                <w:szCs w:val="18"/>
              </w:rPr>
            </w:pPr>
            <w:r>
              <w:rPr>
                <w:sz w:val="18"/>
                <w:szCs w:val="18"/>
              </w:rPr>
              <w:t>Yes</w:t>
            </w:r>
          </w:p>
        </w:tc>
        <w:tc>
          <w:tcPr>
            <w:tcW w:w="1134" w:type="dxa"/>
            <w:vAlign w:val="center"/>
          </w:tcPr>
          <w:p w14:paraId="635DFF5B" w14:textId="77777777" w:rsidR="00D44473" w:rsidRPr="00736D0B" w:rsidRDefault="00D44473" w:rsidP="009345F8">
            <w:pPr>
              <w:pStyle w:val="Table"/>
              <w:jc w:val="right"/>
              <w:rPr>
                <w:sz w:val="18"/>
                <w:szCs w:val="18"/>
              </w:rPr>
            </w:pPr>
            <w:r>
              <w:rPr>
                <w:sz w:val="18"/>
                <w:szCs w:val="18"/>
              </w:rPr>
              <w:t>Yes</w:t>
            </w:r>
          </w:p>
        </w:tc>
        <w:tc>
          <w:tcPr>
            <w:tcW w:w="1141" w:type="dxa"/>
            <w:vAlign w:val="center"/>
          </w:tcPr>
          <w:p w14:paraId="281A2153" w14:textId="77777777" w:rsidR="00D44473" w:rsidRPr="00736D0B" w:rsidRDefault="00D44473" w:rsidP="009345F8">
            <w:pPr>
              <w:pStyle w:val="Table"/>
              <w:jc w:val="right"/>
              <w:rPr>
                <w:sz w:val="18"/>
                <w:szCs w:val="18"/>
              </w:rPr>
            </w:pPr>
            <w:r>
              <w:rPr>
                <w:sz w:val="18"/>
                <w:szCs w:val="18"/>
              </w:rPr>
              <w:t>Yes</w:t>
            </w:r>
          </w:p>
        </w:tc>
      </w:tr>
      <w:tr w:rsidR="00D44473" w:rsidRPr="00736D0B" w14:paraId="713DF23B" w14:textId="77777777" w:rsidTr="009345F8">
        <w:trPr>
          <w:trHeight w:val="293"/>
        </w:trPr>
        <w:tc>
          <w:tcPr>
            <w:tcW w:w="3681" w:type="dxa"/>
            <w:vAlign w:val="center"/>
          </w:tcPr>
          <w:p w14:paraId="15B84263" w14:textId="77777777" w:rsidR="00D44473" w:rsidRPr="00736D0B" w:rsidRDefault="00D44473" w:rsidP="009345F8">
            <w:pPr>
              <w:pStyle w:val="Table"/>
              <w:rPr>
                <w:sz w:val="18"/>
                <w:szCs w:val="18"/>
              </w:rPr>
            </w:pPr>
            <w:r>
              <w:rPr>
                <w:sz w:val="18"/>
                <w:szCs w:val="18"/>
              </w:rPr>
              <w:t>Interactions with Income, BRT, Students and CEU</w:t>
            </w:r>
          </w:p>
        </w:tc>
        <w:tc>
          <w:tcPr>
            <w:tcW w:w="992" w:type="dxa"/>
            <w:vAlign w:val="center"/>
          </w:tcPr>
          <w:p w14:paraId="58D77EF2" w14:textId="77777777" w:rsidR="00D44473" w:rsidRPr="00736D0B" w:rsidRDefault="00D44473" w:rsidP="009345F8">
            <w:pPr>
              <w:pStyle w:val="Table"/>
              <w:jc w:val="right"/>
              <w:rPr>
                <w:sz w:val="18"/>
                <w:szCs w:val="18"/>
              </w:rPr>
            </w:pPr>
            <w:r>
              <w:rPr>
                <w:sz w:val="18"/>
                <w:szCs w:val="18"/>
              </w:rPr>
              <w:t>No</w:t>
            </w:r>
          </w:p>
        </w:tc>
        <w:tc>
          <w:tcPr>
            <w:tcW w:w="1134" w:type="dxa"/>
            <w:vAlign w:val="center"/>
          </w:tcPr>
          <w:p w14:paraId="5E2DDF7B" w14:textId="77777777" w:rsidR="00D44473" w:rsidRPr="00736D0B" w:rsidRDefault="00D44473" w:rsidP="009345F8">
            <w:pPr>
              <w:pStyle w:val="Table"/>
              <w:jc w:val="right"/>
              <w:rPr>
                <w:sz w:val="18"/>
                <w:szCs w:val="18"/>
              </w:rPr>
            </w:pPr>
            <w:r>
              <w:rPr>
                <w:sz w:val="18"/>
                <w:szCs w:val="18"/>
              </w:rPr>
              <w:t>No</w:t>
            </w:r>
          </w:p>
        </w:tc>
        <w:tc>
          <w:tcPr>
            <w:tcW w:w="1276" w:type="dxa"/>
            <w:vAlign w:val="center"/>
          </w:tcPr>
          <w:p w14:paraId="20E35C29" w14:textId="77777777" w:rsidR="00D44473" w:rsidRPr="00736D0B" w:rsidRDefault="00D44473" w:rsidP="009345F8">
            <w:pPr>
              <w:pStyle w:val="Table"/>
              <w:jc w:val="right"/>
              <w:rPr>
                <w:sz w:val="18"/>
                <w:szCs w:val="18"/>
              </w:rPr>
            </w:pPr>
            <w:r>
              <w:rPr>
                <w:sz w:val="18"/>
                <w:szCs w:val="18"/>
              </w:rPr>
              <w:t>No</w:t>
            </w:r>
          </w:p>
        </w:tc>
        <w:tc>
          <w:tcPr>
            <w:tcW w:w="1134" w:type="dxa"/>
            <w:vAlign w:val="center"/>
          </w:tcPr>
          <w:p w14:paraId="4D5348A4" w14:textId="77777777" w:rsidR="00D44473" w:rsidRPr="00736D0B" w:rsidRDefault="00D44473" w:rsidP="009345F8">
            <w:pPr>
              <w:pStyle w:val="Table"/>
              <w:jc w:val="right"/>
              <w:rPr>
                <w:sz w:val="18"/>
                <w:szCs w:val="18"/>
              </w:rPr>
            </w:pPr>
            <w:r>
              <w:rPr>
                <w:sz w:val="18"/>
                <w:szCs w:val="18"/>
              </w:rPr>
              <w:t>Yes</w:t>
            </w:r>
          </w:p>
        </w:tc>
        <w:tc>
          <w:tcPr>
            <w:tcW w:w="1141" w:type="dxa"/>
            <w:vAlign w:val="center"/>
          </w:tcPr>
          <w:p w14:paraId="0F169AD1" w14:textId="77777777" w:rsidR="00D44473" w:rsidRPr="00736D0B" w:rsidRDefault="00D44473" w:rsidP="009345F8">
            <w:pPr>
              <w:pStyle w:val="Table"/>
              <w:jc w:val="right"/>
              <w:rPr>
                <w:sz w:val="18"/>
                <w:szCs w:val="18"/>
              </w:rPr>
            </w:pPr>
            <w:r>
              <w:rPr>
                <w:sz w:val="18"/>
                <w:szCs w:val="18"/>
              </w:rPr>
              <w:t>Yes</w:t>
            </w:r>
          </w:p>
        </w:tc>
      </w:tr>
      <w:tr w:rsidR="00D44473" w:rsidRPr="00736D0B" w14:paraId="09AEA063" w14:textId="77777777" w:rsidTr="009345F8">
        <w:trPr>
          <w:trHeight w:val="293"/>
        </w:trPr>
        <w:tc>
          <w:tcPr>
            <w:tcW w:w="3681" w:type="dxa"/>
            <w:tcBorders>
              <w:bottom w:val="single" w:sz="4" w:space="0" w:color="auto"/>
            </w:tcBorders>
            <w:vAlign w:val="center"/>
          </w:tcPr>
          <w:p w14:paraId="7082A503" w14:textId="77777777" w:rsidR="00D44473" w:rsidRPr="00736D0B" w:rsidRDefault="00D44473" w:rsidP="009345F8">
            <w:pPr>
              <w:pStyle w:val="Table"/>
              <w:rPr>
                <w:sz w:val="18"/>
                <w:szCs w:val="18"/>
              </w:rPr>
            </w:pPr>
            <w:r>
              <w:rPr>
                <w:sz w:val="18"/>
                <w:szCs w:val="18"/>
              </w:rPr>
              <w:t>Interactions with Rail and Transportation Voucher</w:t>
            </w:r>
          </w:p>
        </w:tc>
        <w:tc>
          <w:tcPr>
            <w:tcW w:w="992" w:type="dxa"/>
            <w:tcBorders>
              <w:bottom w:val="single" w:sz="4" w:space="0" w:color="auto"/>
            </w:tcBorders>
            <w:vAlign w:val="center"/>
          </w:tcPr>
          <w:p w14:paraId="5F014D5D" w14:textId="77777777" w:rsidR="00D44473" w:rsidRPr="00736D0B" w:rsidRDefault="00D44473" w:rsidP="009345F8">
            <w:pPr>
              <w:pStyle w:val="Table"/>
              <w:jc w:val="right"/>
              <w:rPr>
                <w:sz w:val="18"/>
                <w:szCs w:val="18"/>
              </w:rPr>
            </w:pPr>
            <w:r>
              <w:rPr>
                <w:sz w:val="18"/>
                <w:szCs w:val="18"/>
              </w:rPr>
              <w:t>No</w:t>
            </w:r>
          </w:p>
        </w:tc>
        <w:tc>
          <w:tcPr>
            <w:tcW w:w="1134" w:type="dxa"/>
            <w:tcBorders>
              <w:bottom w:val="single" w:sz="4" w:space="0" w:color="auto"/>
            </w:tcBorders>
            <w:vAlign w:val="center"/>
          </w:tcPr>
          <w:p w14:paraId="5001CA91" w14:textId="77777777" w:rsidR="00D44473" w:rsidRPr="00736D0B" w:rsidRDefault="00D44473" w:rsidP="009345F8">
            <w:pPr>
              <w:pStyle w:val="Table"/>
              <w:jc w:val="right"/>
              <w:rPr>
                <w:sz w:val="18"/>
                <w:szCs w:val="18"/>
              </w:rPr>
            </w:pPr>
            <w:r>
              <w:rPr>
                <w:sz w:val="18"/>
                <w:szCs w:val="18"/>
              </w:rPr>
              <w:t>No</w:t>
            </w:r>
          </w:p>
        </w:tc>
        <w:tc>
          <w:tcPr>
            <w:tcW w:w="1276" w:type="dxa"/>
            <w:tcBorders>
              <w:bottom w:val="single" w:sz="4" w:space="0" w:color="auto"/>
            </w:tcBorders>
            <w:vAlign w:val="center"/>
          </w:tcPr>
          <w:p w14:paraId="6FC4F816" w14:textId="77777777" w:rsidR="00D44473" w:rsidRPr="00736D0B" w:rsidRDefault="00D44473" w:rsidP="009345F8">
            <w:pPr>
              <w:pStyle w:val="Table"/>
              <w:jc w:val="right"/>
              <w:rPr>
                <w:sz w:val="18"/>
                <w:szCs w:val="18"/>
              </w:rPr>
            </w:pPr>
            <w:r>
              <w:rPr>
                <w:sz w:val="18"/>
                <w:szCs w:val="18"/>
              </w:rPr>
              <w:t>No</w:t>
            </w:r>
          </w:p>
        </w:tc>
        <w:tc>
          <w:tcPr>
            <w:tcW w:w="1134" w:type="dxa"/>
            <w:tcBorders>
              <w:bottom w:val="single" w:sz="4" w:space="0" w:color="auto"/>
            </w:tcBorders>
            <w:vAlign w:val="center"/>
          </w:tcPr>
          <w:p w14:paraId="726E54E8" w14:textId="77777777" w:rsidR="00D44473" w:rsidRPr="00736D0B" w:rsidRDefault="00D44473" w:rsidP="009345F8">
            <w:pPr>
              <w:pStyle w:val="Table"/>
              <w:jc w:val="right"/>
              <w:rPr>
                <w:sz w:val="18"/>
                <w:szCs w:val="18"/>
              </w:rPr>
            </w:pPr>
            <w:r>
              <w:rPr>
                <w:sz w:val="18"/>
                <w:szCs w:val="18"/>
              </w:rPr>
              <w:t>No</w:t>
            </w:r>
          </w:p>
        </w:tc>
        <w:tc>
          <w:tcPr>
            <w:tcW w:w="1141" w:type="dxa"/>
            <w:tcBorders>
              <w:bottom w:val="single" w:sz="4" w:space="0" w:color="auto"/>
            </w:tcBorders>
            <w:vAlign w:val="center"/>
          </w:tcPr>
          <w:p w14:paraId="0DBC3E4C" w14:textId="77777777" w:rsidR="00D44473" w:rsidRPr="00736D0B" w:rsidRDefault="00D44473" w:rsidP="009345F8">
            <w:pPr>
              <w:pStyle w:val="Table"/>
              <w:jc w:val="right"/>
              <w:rPr>
                <w:sz w:val="18"/>
                <w:szCs w:val="18"/>
              </w:rPr>
            </w:pPr>
            <w:r>
              <w:rPr>
                <w:sz w:val="18"/>
                <w:szCs w:val="18"/>
              </w:rPr>
              <w:t>Yes</w:t>
            </w:r>
          </w:p>
        </w:tc>
      </w:tr>
      <w:tr w:rsidR="00D44473" w:rsidRPr="00736D0B" w14:paraId="7F6E92D3" w14:textId="77777777" w:rsidTr="009345F8">
        <w:trPr>
          <w:trHeight w:val="293"/>
        </w:trPr>
        <w:tc>
          <w:tcPr>
            <w:tcW w:w="3681" w:type="dxa"/>
            <w:tcBorders>
              <w:top w:val="single" w:sz="4" w:space="0" w:color="auto"/>
            </w:tcBorders>
            <w:vAlign w:val="center"/>
          </w:tcPr>
          <w:p w14:paraId="0B4BA0FA" w14:textId="77777777" w:rsidR="00D44473" w:rsidRPr="00736D0B" w:rsidRDefault="00D44473" w:rsidP="009345F8">
            <w:pPr>
              <w:pStyle w:val="Table"/>
              <w:rPr>
                <w:sz w:val="18"/>
                <w:szCs w:val="18"/>
              </w:rPr>
            </w:pPr>
            <w:r w:rsidRPr="00736D0B">
              <w:rPr>
                <w:sz w:val="18"/>
                <w:szCs w:val="18"/>
              </w:rPr>
              <w:t>Observations</w:t>
            </w:r>
          </w:p>
        </w:tc>
        <w:tc>
          <w:tcPr>
            <w:tcW w:w="992" w:type="dxa"/>
            <w:tcBorders>
              <w:top w:val="single" w:sz="4" w:space="0" w:color="auto"/>
            </w:tcBorders>
            <w:vAlign w:val="center"/>
          </w:tcPr>
          <w:p w14:paraId="6F6B5455" w14:textId="77777777" w:rsidR="00D44473" w:rsidRPr="00736D0B" w:rsidRDefault="00D44473" w:rsidP="009345F8">
            <w:pPr>
              <w:pStyle w:val="Table"/>
              <w:jc w:val="right"/>
              <w:rPr>
                <w:sz w:val="18"/>
                <w:szCs w:val="18"/>
              </w:rPr>
            </w:pPr>
            <w:r w:rsidRPr="00736D0B">
              <w:rPr>
                <w:sz w:val="18"/>
                <w:szCs w:val="18"/>
              </w:rPr>
              <w:t>614</w:t>
            </w:r>
          </w:p>
        </w:tc>
        <w:tc>
          <w:tcPr>
            <w:tcW w:w="1134" w:type="dxa"/>
            <w:tcBorders>
              <w:top w:val="single" w:sz="4" w:space="0" w:color="auto"/>
            </w:tcBorders>
            <w:vAlign w:val="center"/>
          </w:tcPr>
          <w:p w14:paraId="038F45F5" w14:textId="77777777" w:rsidR="00D44473" w:rsidRPr="00736D0B" w:rsidRDefault="00D44473" w:rsidP="009345F8">
            <w:pPr>
              <w:pStyle w:val="Table"/>
              <w:jc w:val="right"/>
              <w:rPr>
                <w:sz w:val="18"/>
                <w:szCs w:val="18"/>
              </w:rPr>
            </w:pPr>
            <w:r w:rsidRPr="00736D0B">
              <w:rPr>
                <w:sz w:val="18"/>
                <w:szCs w:val="18"/>
              </w:rPr>
              <w:t>614</w:t>
            </w:r>
          </w:p>
        </w:tc>
        <w:tc>
          <w:tcPr>
            <w:tcW w:w="1276" w:type="dxa"/>
            <w:tcBorders>
              <w:top w:val="single" w:sz="4" w:space="0" w:color="auto"/>
            </w:tcBorders>
            <w:vAlign w:val="center"/>
          </w:tcPr>
          <w:p w14:paraId="2A7B6BE5" w14:textId="77777777" w:rsidR="00D44473" w:rsidRPr="00736D0B" w:rsidRDefault="00D44473" w:rsidP="009345F8">
            <w:pPr>
              <w:pStyle w:val="Table"/>
              <w:jc w:val="right"/>
              <w:rPr>
                <w:sz w:val="18"/>
                <w:szCs w:val="18"/>
              </w:rPr>
            </w:pPr>
            <w:r w:rsidRPr="00736D0B">
              <w:rPr>
                <w:sz w:val="18"/>
                <w:szCs w:val="18"/>
              </w:rPr>
              <w:t>614</w:t>
            </w:r>
          </w:p>
        </w:tc>
        <w:tc>
          <w:tcPr>
            <w:tcW w:w="1134" w:type="dxa"/>
            <w:tcBorders>
              <w:top w:val="single" w:sz="4" w:space="0" w:color="auto"/>
            </w:tcBorders>
            <w:vAlign w:val="center"/>
          </w:tcPr>
          <w:p w14:paraId="5BE70A41" w14:textId="77777777" w:rsidR="00D44473" w:rsidRPr="00736D0B" w:rsidRDefault="00D44473" w:rsidP="009345F8">
            <w:pPr>
              <w:pStyle w:val="Table"/>
              <w:jc w:val="right"/>
              <w:rPr>
                <w:sz w:val="18"/>
                <w:szCs w:val="18"/>
              </w:rPr>
            </w:pPr>
            <w:r w:rsidRPr="00736D0B">
              <w:rPr>
                <w:sz w:val="18"/>
                <w:szCs w:val="18"/>
              </w:rPr>
              <w:t>614</w:t>
            </w:r>
          </w:p>
        </w:tc>
        <w:tc>
          <w:tcPr>
            <w:tcW w:w="1141" w:type="dxa"/>
            <w:tcBorders>
              <w:top w:val="single" w:sz="4" w:space="0" w:color="auto"/>
            </w:tcBorders>
            <w:vAlign w:val="center"/>
          </w:tcPr>
          <w:p w14:paraId="49814631" w14:textId="77777777" w:rsidR="00D44473" w:rsidRPr="00736D0B" w:rsidRDefault="00D44473" w:rsidP="009345F8">
            <w:pPr>
              <w:pStyle w:val="Table"/>
              <w:jc w:val="right"/>
              <w:rPr>
                <w:sz w:val="18"/>
                <w:szCs w:val="18"/>
              </w:rPr>
            </w:pPr>
            <w:r w:rsidRPr="00736D0B">
              <w:rPr>
                <w:sz w:val="18"/>
                <w:szCs w:val="18"/>
              </w:rPr>
              <w:t>614</w:t>
            </w:r>
          </w:p>
        </w:tc>
      </w:tr>
      <w:tr w:rsidR="00D44473" w:rsidRPr="00736D0B" w14:paraId="2C34A2EB" w14:textId="77777777" w:rsidTr="009345F8">
        <w:trPr>
          <w:trHeight w:val="293"/>
        </w:trPr>
        <w:tc>
          <w:tcPr>
            <w:tcW w:w="3681" w:type="dxa"/>
            <w:vAlign w:val="center"/>
          </w:tcPr>
          <w:p w14:paraId="50039E5D" w14:textId="77777777" w:rsidR="00D44473" w:rsidRPr="00736D0B" w:rsidRDefault="00D44473" w:rsidP="009345F8">
            <w:pPr>
              <w:pStyle w:val="Table"/>
              <w:rPr>
                <w:sz w:val="18"/>
                <w:szCs w:val="18"/>
              </w:rPr>
            </w:pPr>
            <w:r w:rsidRPr="00736D0B">
              <w:rPr>
                <w:sz w:val="18"/>
                <w:szCs w:val="18"/>
              </w:rPr>
              <w:t>Adjusted R-squared</w:t>
            </w:r>
          </w:p>
        </w:tc>
        <w:tc>
          <w:tcPr>
            <w:tcW w:w="992" w:type="dxa"/>
            <w:vAlign w:val="center"/>
          </w:tcPr>
          <w:p w14:paraId="35DF3D69" w14:textId="77777777" w:rsidR="00D44473" w:rsidRPr="00736D0B" w:rsidRDefault="00D44473" w:rsidP="009345F8">
            <w:pPr>
              <w:pStyle w:val="Table"/>
              <w:jc w:val="right"/>
              <w:rPr>
                <w:sz w:val="18"/>
                <w:szCs w:val="18"/>
              </w:rPr>
            </w:pPr>
            <w:r w:rsidRPr="00736D0B">
              <w:rPr>
                <w:sz w:val="18"/>
                <w:szCs w:val="18"/>
              </w:rPr>
              <w:t>0.278</w:t>
            </w:r>
          </w:p>
        </w:tc>
        <w:tc>
          <w:tcPr>
            <w:tcW w:w="1134" w:type="dxa"/>
            <w:vAlign w:val="center"/>
          </w:tcPr>
          <w:p w14:paraId="5043C700" w14:textId="77777777" w:rsidR="00D44473" w:rsidRPr="00736D0B" w:rsidRDefault="00D44473" w:rsidP="009345F8">
            <w:pPr>
              <w:pStyle w:val="Table"/>
              <w:jc w:val="right"/>
              <w:rPr>
                <w:sz w:val="18"/>
                <w:szCs w:val="18"/>
              </w:rPr>
            </w:pPr>
            <w:r w:rsidRPr="00736D0B">
              <w:rPr>
                <w:sz w:val="18"/>
                <w:szCs w:val="18"/>
              </w:rPr>
              <w:t>0.347</w:t>
            </w:r>
          </w:p>
        </w:tc>
        <w:tc>
          <w:tcPr>
            <w:tcW w:w="1276" w:type="dxa"/>
            <w:vAlign w:val="center"/>
          </w:tcPr>
          <w:p w14:paraId="53362D61" w14:textId="77777777" w:rsidR="00D44473" w:rsidRPr="00736D0B" w:rsidRDefault="00D44473" w:rsidP="009345F8">
            <w:pPr>
              <w:pStyle w:val="Table"/>
              <w:jc w:val="right"/>
              <w:rPr>
                <w:sz w:val="18"/>
                <w:szCs w:val="18"/>
              </w:rPr>
            </w:pPr>
            <w:r w:rsidRPr="00736D0B">
              <w:rPr>
                <w:sz w:val="18"/>
                <w:szCs w:val="18"/>
              </w:rPr>
              <w:t>0.367</w:t>
            </w:r>
          </w:p>
        </w:tc>
        <w:tc>
          <w:tcPr>
            <w:tcW w:w="1134" w:type="dxa"/>
            <w:vAlign w:val="center"/>
          </w:tcPr>
          <w:p w14:paraId="6077CF08" w14:textId="77777777" w:rsidR="00D44473" w:rsidRPr="00736D0B" w:rsidRDefault="00D44473" w:rsidP="009345F8">
            <w:pPr>
              <w:pStyle w:val="Table"/>
              <w:jc w:val="right"/>
              <w:rPr>
                <w:sz w:val="18"/>
                <w:szCs w:val="18"/>
              </w:rPr>
            </w:pPr>
            <w:r w:rsidRPr="00736D0B">
              <w:rPr>
                <w:sz w:val="18"/>
                <w:szCs w:val="18"/>
              </w:rPr>
              <w:t>0.406</w:t>
            </w:r>
          </w:p>
        </w:tc>
        <w:tc>
          <w:tcPr>
            <w:tcW w:w="1141" w:type="dxa"/>
            <w:vAlign w:val="center"/>
          </w:tcPr>
          <w:p w14:paraId="6F4E5C37" w14:textId="77777777" w:rsidR="00D44473" w:rsidRPr="00736D0B" w:rsidRDefault="00D44473" w:rsidP="009345F8">
            <w:pPr>
              <w:pStyle w:val="Table"/>
              <w:jc w:val="right"/>
              <w:rPr>
                <w:sz w:val="18"/>
                <w:szCs w:val="18"/>
              </w:rPr>
            </w:pPr>
            <w:r w:rsidRPr="00736D0B">
              <w:rPr>
                <w:sz w:val="18"/>
                <w:szCs w:val="18"/>
              </w:rPr>
              <w:t>0.406</w:t>
            </w:r>
          </w:p>
        </w:tc>
      </w:tr>
      <w:tr w:rsidR="00D44473" w:rsidRPr="00736D0B" w14:paraId="484E218C" w14:textId="77777777" w:rsidTr="009345F8">
        <w:trPr>
          <w:trHeight w:val="328"/>
        </w:trPr>
        <w:tc>
          <w:tcPr>
            <w:tcW w:w="3681" w:type="dxa"/>
            <w:vAlign w:val="center"/>
          </w:tcPr>
          <w:p w14:paraId="7A5ACB70" w14:textId="77777777" w:rsidR="00D44473" w:rsidRPr="00736D0B" w:rsidRDefault="00D44473" w:rsidP="009345F8">
            <w:pPr>
              <w:pStyle w:val="Table"/>
              <w:rPr>
                <w:sz w:val="18"/>
                <w:szCs w:val="18"/>
              </w:rPr>
            </w:pPr>
            <w:r w:rsidRPr="00736D0B">
              <w:rPr>
                <w:sz w:val="18"/>
                <w:szCs w:val="18"/>
              </w:rPr>
              <w:t>Interaction terms F-test statistic</w:t>
            </w:r>
            <w:r>
              <w:rPr>
                <w:sz w:val="18"/>
                <w:szCs w:val="18"/>
              </w:rPr>
              <w:t>¹</w:t>
            </w:r>
          </w:p>
        </w:tc>
        <w:tc>
          <w:tcPr>
            <w:tcW w:w="992" w:type="dxa"/>
            <w:vAlign w:val="center"/>
          </w:tcPr>
          <w:p w14:paraId="083B7F20" w14:textId="77777777" w:rsidR="00D44473" w:rsidRPr="00736D0B" w:rsidRDefault="00D44473" w:rsidP="009345F8">
            <w:pPr>
              <w:pStyle w:val="Table"/>
              <w:jc w:val="right"/>
              <w:rPr>
                <w:sz w:val="18"/>
                <w:szCs w:val="18"/>
              </w:rPr>
            </w:pPr>
          </w:p>
        </w:tc>
        <w:tc>
          <w:tcPr>
            <w:tcW w:w="1134" w:type="dxa"/>
            <w:vAlign w:val="center"/>
          </w:tcPr>
          <w:p w14:paraId="6D88B6C7" w14:textId="77777777" w:rsidR="00D44473" w:rsidRPr="00736D0B" w:rsidRDefault="00D44473" w:rsidP="009345F8">
            <w:pPr>
              <w:pStyle w:val="Table"/>
              <w:jc w:val="right"/>
              <w:rPr>
                <w:sz w:val="18"/>
                <w:szCs w:val="18"/>
              </w:rPr>
            </w:pPr>
          </w:p>
        </w:tc>
        <w:tc>
          <w:tcPr>
            <w:tcW w:w="1276" w:type="dxa"/>
            <w:vAlign w:val="center"/>
          </w:tcPr>
          <w:p w14:paraId="30D8ED6D" w14:textId="77777777" w:rsidR="00D44473" w:rsidRPr="00736D0B" w:rsidRDefault="00D44473" w:rsidP="009345F8">
            <w:pPr>
              <w:pStyle w:val="Table"/>
              <w:jc w:val="right"/>
              <w:rPr>
                <w:sz w:val="18"/>
                <w:szCs w:val="18"/>
              </w:rPr>
            </w:pPr>
          </w:p>
        </w:tc>
        <w:tc>
          <w:tcPr>
            <w:tcW w:w="1134" w:type="dxa"/>
            <w:vAlign w:val="center"/>
          </w:tcPr>
          <w:p w14:paraId="0D192F44" w14:textId="77777777" w:rsidR="00D44473" w:rsidRPr="00736D0B" w:rsidRDefault="00D44473" w:rsidP="009345F8">
            <w:pPr>
              <w:pStyle w:val="Table"/>
              <w:jc w:val="right"/>
              <w:rPr>
                <w:sz w:val="18"/>
                <w:szCs w:val="18"/>
              </w:rPr>
            </w:pPr>
            <w:r w:rsidRPr="00736D0B">
              <w:rPr>
                <w:sz w:val="18"/>
                <w:szCs w:val="18"/>
              </w:rPr>
              <w:t>12.59</w:t>
            </w:r>
            <w:r>
              <w:rPr>
                <w:sz w:val="18"/>
                <w:szCs w:val="18"/>
              </w:rPr>
              <w:t>***</w:t>
            </w:r>
          </w:p>
        </w:tc>
        <w:tc>
          <w:tcPr>
            <w:tcW w:w="1141" w:type="dxa"/>
            <w:vAlign w:val="center"/>
          </w:tcPr>
          <w:p w14:paraId="1A36EDD1" w14:textId="77777777" w:rsidR="00D44473" w:rsidRPr="00736D0B" w:rsidRDefault="00D44473" w:rsidP="009345F8">
            <w:pPr>
              <w:pStyle w:val="Table"/>
              <w:jc w:val="right"/>
              <w:rPr>
                <w:sz w:val="18"/>
                <w:szCs w:val="18"/>
              </w:rPr>
            </w:pPr>
            <w:r w:rsidRPr="00736D0B">
              <w:rPr>
                <w:sz w:val="18"/>
                <w:szCs w:val="18"/>
              </w:rPr>
              <w:t>9.15</w:t>
            </w:r>
            <w:r>
              <w:rPr>
                <w:sz w:val="18"/>
                <w:szCs w:val="18"/>
              </w:rPr>
              <w:t>***</w:t>
            </w:r>
          </w:p>
        </w:tc>
      </w:tr>
      <w:tr w:rsidR="00D44473" w:rsidRPr="00736D0B" w14:paraId="6D6DAAFE" w14:textId="77777777" w:rsidTr="009345F8">
        <w:trPr>
          <w:trHeight w:val="293"/>
        </w:trPr>
        <w:tc>
          <w:tcPr>
            <w:tcW w:w="3681" w:type="dxa"/>
            <w:vAlign w:val="center"/>
          </w:tcPr>
          <w:p w14:paraId="7869E1A8" w14:textId="77777777" w:rsidR="00D44473" w:rsidRPr="00736D0B" w:rsidRDefault="00D44473" w:rsidP="009345F8">
            <w:pPr>
              <w:pStyle w:val="Table"/>
              <w:rPr>
                <w:sz w:val="18"/>
                <w:szCs w:val="18"/>
              </w:rPr>
            </w:pPr>
            <w:r w:rsidRPr="00736D0B">
              <w:rPr>
                <w:sz w:val="18"/>
                <w:szCs w:val="18"/>
              </w:rPr>
              <w:t>Degrees of freedom F-test</w:t>
            </w:r>
          </w:p>
        </w:tc>
        <w:tc>
          <w:tcPr>
            <w:tcW w:w="992" w:type="dxa"/>
            <w:vAlign w:val="center"/>
          </w:tcPr>
          <w:p w14:paraId="1102D628" w14:textId="77777777" w:rsidR="00D44473" w:rsidRPr="00736D0B" w:rsidRDefault="00D44473" w:rsidP="009345F8">
            <w:pPr>
              <w:pStyle w:val="Table"/>
              <w:jc w:val="right"/>
              <w:rPr>
                <w:sz w:val="18"/>
                <w:szCs w:val="18"/>
              </w:rPr>
            </w:pPr>
          </w:p>
        </w:tc>
        <w:tc>
          <w:tcPr>
            <w:tcW w:w="1134" w:type="dxa"/>
            <w:vAlign w:val="center"/>
          </w:tcPr>
          <w:p w14:paraId="34DE7434" w14:textId="77777777" w:rsidR="00D44473" w:rsidRPr="00736D0B" w:rsidRDefault="00D44473" w:rsidP="009345F8">
            <w:pPr>
              <w:pStyle w:val="Table"/>
              <w:jc w:val="right"/>
              <w:rPr>
                <w:sz w:val="18"/>
                <w:szCs w:val="18"/>
              </w:rPr>
            </w:pPr>
          </w:p>
        </w:tc>
        <w:tc>
          <w:tcPr>
            <w:tcW w:w="1276" w:type="dxa"/>
            <w:vAlign w:val="center"/>
          </w:tcPr>
          <w:p w14:paraId="551CC728" w14:textId="77777777" w:rsidR="00D44473" w:rsidRPr="00736D0B" w:rsidRDefault="00D44473" w:rsidP="009345F8">
            <w:pPr>
              <w:pStyle w:val="Table"/>
              <w:jc w:val="right"/>
              <w:rPr>
                <w:sz w:val="18"/>
                <w:szCs w:val="18"/>
              </w:rPr>
            </w:pPr>
          </w:p>
        </w:tc>
        <w:tc>
          <w:tcPr>
            <w:tcW w:w="1134" w:type="dxa"/>
            <w:vAlign w:val="center"/>
          </w:tcPr>
          <w:p w14:paraId="4C112252" w14:textId="77777777" w:rsidR="00D44473" w:rsidRPr="00736D0B" w:rsidRDefault="00D44473" w:rsidP="009345F8">
            <w:pPr>
              <w:pStyle w:val="Table"/>
              <w:jc w:val="right"/>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5; 601)</w:t>
            </w:r>
          </w:p>
        </w:tc>
        <w:tc>
          <w:tcPr>
            <w:tcW w:w="1141" w:type="dxa"/>
            <w:vAlign w:val="center"/>
          </w:tcPr>
          <w:p w14:paraId="485E86FE" w14:textId="77777777" w:rsidR="00D44473" w:rsidRPr="00736D0B" w:rsidRDefault="00D44473" w:rsidP="009345F8">
            <w:pPr>
              <w:pStyle w:val="Table"/>
              <w:jc w:val="right"/>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7; 599)</w:t>
            </w:r>
          </w:p>
        </w:tc>
      </w:tr>
      <w:tr w:rsidR="00D44473" w:rsidRPr="00736D0B" w14:paraId="4D995938" w14:textId="77777777" w:rsidTr="009345F8">
        <w:trPr>
          <w:trHeight w:val="293"/>
        </w:trPr>
        <w:tc>
          <w:tcPr>
            <w:tcW w:w="3681" w:type="dxa"/>
            <w:vAlign w:val="center"/>
          </w:tcPr>
          <w:p w14:paraId="2345C19E" w14:textId="77777777" w:rsidR="00D44473" w:rsidRPr="00736D0B" w:rsidRDefault="00D44473" w:rsidP="009345F8">
            <w:pPr>
              <w:pStyle w:val="Table"/>
              <w:rPr>
                <w:sz w:val="18"/>
                <w:szCs w:val="18"/>
              </w:rPr>
            </w:pPr>
            <w:r w:rsidRPr="00736D0B">
              <w:rPr>
                <w:sz w:val="18"/>
                <w:szCs w:val="18"/>
              </w:rPr>
              <w:t>Full model F-test statistic</w:t>
            </w:r>
            <w:r>
              <w:rPr>
                <w:sz w:val="18"/>
                <w:szCs w:val="18"/>
              </w:rPr>
              <w:t>²</w:t>
            </w:r>
          </w:p>
        </w:tc>
        <w:tc>
          <w:tcPr>
            <w:tcW w:w="992" w:type="dxa"/>
            <w:vAlign w:val="center"/>
          </w:tcPr>
          <w:p w14:paraId="4621A13E" w14:textId="77777777" w:rsidR="00D44473" w:rsidRPr="00736D0B" w:rsidRDefault="00D44473" w:rsidP="009345F8">
            <w:pPr>
              <w:pStyle w:val="Table"/>
              <w:jc w:val="right"/>
              <w:rPr>
                <w:sz w:val="18"/>
                <w:szCs w:val="18"/>
              </w:rPr>
            </w:pPr>
          </w:p>
        </w:tc>
        <w:tc>
          <w:tcPr>
            <w:tcW w:w="1134" w:type="dxa"/>
            <w:vAlign w:val="center"/>
          </w:tcPr>
          <w:p w14:paraId="13338F02" w14:textId="77777777" w:rsidR="00D44473" w:rsidRPr="00736D0B" w:rsidRDefault="00D44473" w:rsidP="009345F8">
            <w:pPr>
              <w:pStyle w:val="Table"/>
              <w:jc w:val="right"/>
              <w:rPr>
                <w:sz w:val="18"/>
                <w:szCs w:val="18"/>
              </w:rPr>
            </w:pPr>
          </w:p>
        </w:tc>
        <w:tc>
          <w:tcPr>
            <w:tcW w:w="1276" w:type="dxa"/>
            <w:vAlign w:val="center"/>
          </w:tcPr>
          <w:p w14:paraId="3C01FE24" w14:textId="77777777" w:rsidR="00D44473" w:rsidRPr="00736D0B" w:rsidRDefault="00D44473" w:rsidP="009345F8">
            <w:pPr>
              <w:pStyle w:val="Table"/>
              <w:jc w:val="right"/>
              <w:rPr>
                <w:sz w:val="18"/>
                <w:szCs w:val="18"/>
              </w:rPr>
            </w:pPr>
          </w:p>
        </w:tc>
        <w:tc>
          <w:tcPr>
            <w:tcW w:w="1134" w:type="dxa"/>
            <w:vAlign w:val="center"/>
          </w:tcPr>
          <w:p w14:paraId="337F90AF" w14:textId="77777777" w:rsidR="00D44473" w:rsidRPr="00736D0B" w:rsidRDefault="00D44473" w:rsidP="009345F8">
            <w:pPr>
              <w:pStyle w:val="Table"/>
              <w:jc w:val="right"/>
              <w:rPr>
                <w:sz w:val="18"/>
                <w:szCs w:val="18"/>
              </w:rPr>
            </w:pPr>
            <w:r w:rsidRPr="00736D0B">
              <w:rPr>
                <w:sz w:val="18"/>
                <w:szCs w:val="18"/>
              </w:rPr>
              <w:t>35.97</w:t>
            </w:r>
            <w:r>
              <w:rPr>
                <w:sz w:val="18"/>
                <w:szCs w:val="18"/>
              </w:rPr>
              <w:t>***</w:t>
            </w:r>
          </w:p>
        </w:tc>
        <w:tc>
          <w:tcPr>
            <w:tcW w:w="1141" w:type="dxa"/>
            <w:vAlign w:val="center"/>
          </w:tcPr>
          <w:p w14:paraId="3FDE48BD" w14:textId="77777777" w:rsidR="00D44473" w:rsidRPr="00736D0B" w:rsidRDefault="00D44473" w:rsidP="009345F8">
            <w:pPr>
              <w:pStyle w:val="Table"/>
              <w:jc w:val="right"/>
              <w:rPr>
                <w:sz w:val="18"/>
                <w:szCs w:val="18"/>
              </w:rPr>
            </w:pPr>
            <w:r w:rsidRPr="00736D0B">
              <w:rPr>
                <w:sz w:val="18"/>
                <w:szCs w:val="18"/>
              </w:rPr>
              <w:t>30.87</w:t>
            </w:r>
            <w:r>
              <w:rPr>
                <w:sz w:val="18"/>
                <w:szCs w:val="18"/>
              </w:rPr>
              <w:t>***</w:t>
            </w:r>
          </w:p>
        </w:tc>
      </w:tr>
      <w:tr w:rsidR="00D44473" w:rsidRPr="00736D0B" w14:paraId="41732A10" w14:textId="77777777" w:rsidTr="009345F8">
        <w:trPr>
          <w:trHeight w:val="329"/>
        </w:trPr>
        <w:tc>
          <w:tcPr>
            <w:tcW w:w="3681" w:type="dxa"/>
            <w:tcBorders>
              <w:bottom w:val="single" w:sz="6" w:space="0" w:color="000000"/>
            </w:tcBorders>
            <w:vAlign w:val="center"/>
          </w:tcPr>
          <w:p w14:paraId="0F009C07" w14:textId="1B6CECBA" w:rsidR="00D44473" w:rsidRPr="00736D0B" w:rsidRDefault="00D44473" w:rsidP="009345F8">
            <w:pPr>
              <w:pStyle w:val="Table"/>
              <w:rPr>
                <w:sz w:val="18"/>
                <w:szCs w:val="18"/>
              </w:rPr>
            </w:pPr>
            <w:r w:rsidRPr="00736D0B">
              <w:rPr>
                <w:sz w:val="18"/>
                <w:szCs w:val="18"/>
              </w:rPr>
              <w:t xml:space="preserve">Degrees of freedom </w:t>
            </w:r>
            <w:r w:rsidR="006A7FFB">
              <w:rPr>
                <w:sz w:val="18"/>
                <w:szCs w:val="18"/>
              </w:rPr>
              <w:t xml:space="preserve">full model </w:t>
            </w:r>
            <w:r w:rsidRPr="00736D0B">
              <w:rPr>
                <w:sz w:val="18"/>
                <w:szCs w:val="18"/>
              </w:rPr>
              <w:t>F-test</w:t>
            </w:r>
          </w:p>
        </w:tc>
        <w:tc>
          <w:tcPr>
            <w:tcW w:w="992" w:type="dxa"/>
            <w:tcBorders>
              <w:bottom w:val="single" w:sz="6" w:space="0" w:color="000000"/>
            </w:tcBorders>
            <w:vAlign w:val="center"/>
          </w:tcPr>
          <w:p w14:paraId="256E747D" w14:textId="77777777" w:rsidR="00D44473" w:rsidRPr="00736D0B" w:rsidRDefault="00D44473" w:rsidP="009345F8">
            <w:pPr>
              <w:pStyle w:val="Table"/>
              <w:jc w:val="right"/>
              <w:rPr>
                <w:sz w:val="18"/>
                <w:szCs w:val="18"/>
              </w:rPr>
            </w:pPr>
          </w:p>
        </w:tc>
        <w:tc>
          <w:tcPr>
            <w:tcW w:w="1134" w:type="dxa"/>
            <w:tcBorders>
              <w:bottom w:val="single" w:sz="6" w:space="0" w:color="000000"/>
            </w:tcBorders>
            <w:vAlign w:val="center"/>
          </w:tcPr>
          <w:p w14:paraId="19779EE1" w14:textId="77777777" w:rsidR="00D44473" w:rsidRPr="00736D0B" w:rsidRDefault="00D44473" w:rsidP="009345F8">
            <w:pPr>
              <w:pStyle w:val="Table"/>
              <w:jc w:val="right"/>
              <w:rPr>
                <w:sz w:val="18"/>
                <w:szCs w:val="18"/>
              </w:rPr>
            </w:pPr>
          </w:p>
        </w:tc>
        <w:tc>
          <w:tcPr>
            <w:tcW w:w="1276" w:type="dxa"/>
            <w:tcBorders>
              <w:bottom w:val="single" w:sz="6" w:space="0" w:color="000000"/>
            </w:tcBorders>
            <w:vAlign w:val="center"/>
          </w:tcPr>
          <w:p w14:paraId="1D16CB72" w14:textId="77777777" w:rsidR="00D44473" w:rsidRPr="00736D0B" w:rsidRDefault="00D44473" w:rsidP="009345F8">
            <w:pPr>
              <w:pStyle w:val="Table"/>
              <w:jc w:val="right"/>
              <w:rPr>
                <w:sz w:val="18"/>
                <w:szCs w:val="18"/>
              </w:rPr>
            </w:pPr>
          </w:p>
        </w:tc>
        <w:tc>
          <w:tcPr>
            <w:tcW w:w="1134" w:type="dxa"/>
            <w:tcBorders>
              <w:bottom w:val="single" w:sz="6" w:space="0" w:color="000000"/>
            </w:tcBorders>
            <w:vAlign w:val="center"/>
          </w:tcPr>
          <w:p w14:paraId="0E87A69D" w14:textId="77777777" w:rsidR="00D44473" w:rsidRPr="00736D0B" w:rsidRDefault="00D44473" w:rsidP="009345F8">
            <w:pPr>
              <w:pStyle w:val="Table"/>
              <w:jc w:val="right"/>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12; 601)</w:t>
            </w:r>
          </w:p>
        </w:tc>
        <w:tc>
          <w:tcPr>
            <w:tcW w:w="1141" w:type="dxa"/>
            <w:tcBorders>
              <w:bottom w:val="single" w:sz="6" w:space="0" w:color="000000"/>
            </w:tcBorders>
            <w:vAlign w:val="center"/>
          </w:tcPr>
          <w:p w14:paraId="050F927B" w14:textId="77777777" w:rsidR="00D44473" w:rsidRPr="00736D0B" w:rsidRDefault="00D44473" w:rsidP="009345F8">
            <w:pPr>
              <w:pStyle w:val="Table"/>
              <w:jc w:val="right"/>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14; 599)</w:t>
            </w:r>
          </w:p>
        </w:tc>
      </w:tr>
    </w:tbl>
    <w:p w14:paraId="7A21762F" w14:textId="77777777" w:rsidR="00D44473" w:rsidRPr="00D44473" w:rsidRDefault="00D44473" w:rsidP="00D44473">
      <w:pPr>
        <w:rPr>
          <w:b/>
          <w:bCs/>
          <w:i/>
          <w:iCs/>
          <w:sz w:val="20"/>
          <w:szCs w:val="20"/>
        </w:rPr>
      </w:pPr>
      <w:r w:rsidRPr="00D44473">
        <w:rPr>
          <w:b/>
          <w:bCs/>
          <w:i/>
          <w:iCs/>
          <w:sz w:val="20"/>
          <w:szCs w:val="20"/>
        </w:rPr>
        <w:t>Robust Standard Errors in Brackets. ***, **, * denote significancy at the 1%, 5%, and 10% levels respectively.</w:t>
      </w:r>
    </w:p>
    <w:p w14:paraId="70BFE920" w14:textId="77777777" w:rsidR="00D44473" w:rsidRPr="00D44473" w:rsidRDefault="00D44473" w:rsidP="00D44473">
      <w:pPr>
        <w:rPr>
          <w:b/>
          <w:bCs/>
          <w:i/>
          <w:iCs/>
          <w:sz w:val="20"/>
          <w:szCs w:val="20"/>
        </w:rPr>
      </w:pPr>
      <w:r w:rsidRPr="00D44473">
        <w:rPr>
          <w:b/>
          <w:bCs/>
          <w:i/>
          <w:iCs/>
          <w:sz w:val="20"/>
          <w:szCs w:val="20"/>
        </w:rPr>
        <w:t>¹F-statistic refers to a restricted model that only excludes the interaction terms.</w:t>
      </w:r>
    </w:p>
    <w:p w14:paraId="0D5F5ACD" w14:textId="77777777" w:rsidR="00D44473" w:rsidRPr="00D44473" w:rsidRDefault="00D44473" w:rsidP="00D44473">
      <w:pPr>
        <w:rPr>
          <w:b/>
          <w:bCs/>
          <w:i/>
          <w:iCs/>
          <w:sz w:val="20"/>
          <w:szCs w:val="20"/>
        </w:rPr>
      </w:pPr>
      <w:r w:rsidRPr="00D44473">
        <w:rPr>
          <w:b/>
          <w:bCs/>
          <w:i/>
          <w:iCs/>
          <w:sz w:val="20"/>
          <w:szCs w:val="20"/>
        </w:rPr>
        <w:t xml:space="preserve">²F-statistic is the conventional F-test.  </w:t>
      </w:r>
    </w:p>
    <w:p w14:paraId="1E2B2CC9" w14:textId="77777777" w:rsidR="00D44473" w:rsidRPr="00FF1BD2" w:rsidRDefault="00D44473" w:rsidP="00D44473">
      <w:pPr>
        <w:rPr>
          <w:b/>
          <w:bCs/>
          <w:i/>
          <w:iCs/>
        </w:rPr>
      </w:pPr>
      <w:r w:rsidRPr="00D44473">
        <w:rPr>
          <w:b/>
          <w:bCs/>
          <w:i/>
          <w:iCs/>
          <w:sz w:val="20"/>
          <w:szCs w:val="20"/>
        </w:rPr>
        <w:t>Source: Own Estimation based on data from TSE, São Paulo Metro (OD Survey, 1997), Centro de Estudos da Metrópole, IBGE (2000 Census) and Geo Sampa</w:t>
      </w:r>
      <w:r w:rsidRPr="00FF1BD2">
        <w:rPr>
          <w:b/>
          <w:bCs/>
          <w:i/>
          <w:iCs/>
        </w:rPr>
        <w:t>.</w:t>
      </w:r>
    </w:p>
    <w:p w14:paraId="392EB02F" w14:textId="77777777" w:rsidR="006E5491" w:rsidRDefault="006E5491" w:rsidP="003A550A">
      <w:pPr>
        <w:spacing w:after="120" w:line="360" w:lineRule="auto"/>
        <w:rPr>
          <w:rFonts w:eastAsiaTheme="minorHAnsi"/>
        </w:rPr>
      </w:pPr>
    </w:p>
    <w:p w14:paraId="7194390A" w14:textId="77777777" w:rsidR="005F5C18" w:rsidRPr="005F5C18" w:rsidRDefault="005F5C18" w:rsidP="005F5C18">
      <w:pPr>
        <w:spacing w:after="120" w:line="360" w:lineRule="auto"/>
        <w:rPr>
          <w:rFonts w:eastAsiaTheme="minorHAnsi"/>
          <w:lang w:val="en-US"/>
        </w:rPr>
      </w:pPr>
      <w:r w:rsidRPr="005F5C18">
        <w:rPr>
          <w:rFonts w:eastAsiaTheme="minorHAnsi"/>
          <w:lang w:val="en-US"/>
        </w:rPr>
        <w:t>Moving forward, we refine the model to account for variables outside the mayor's policy actions that might still correlate with Smart Card distribution or voting patterns. When we adjust for average income, formal worker demographics, and proximity to the nearest rail station, the Smart Card's influence on votes lessens but remains significant, affirming its positive electoral impact.</w:t>
      </w:r>
    </w:p>
    <w:p w14:paraId="5E5D355C" w14:textId="77777777" w:rsidR="005F5C18" w:rsidRPr="005F5C18" w:rsidRDefault="005F5C18" w:rsidP="005F5C18">
      <w:pPr>
        <w:spacing w:after="120" w:line="360" w:lineRule="auto"/>
        <w:rPr>
          <w:rFonts w:eastAsiaTheme="minorHAnsi"/>
          <w:lang w:val="en-US"/>
        </w:rPr>
      </w:pPr>
      <w:r w:rsidRPr="005F5C18">
        <w:rPr>
          <w:rFonts w:eastAsiaTheme="minorHAnsi"/>
          <w:lang w:val="en-US"/>
        </w:rPr>
        <w:t>The subsequent models incorporate policy-related variables reflecting deliberate mayoral strategies, such as the expansion of Bus Rapid Transit systems and the allocation of Smart Cards to students, as well as the presence of CEU facilities. The inclusion of these variables slightly reduces the Smart Card policy's coefficient, suggesting that while other policies play a role, the Smart Card initiative itself remains a significant electoral factor.</w:t>
      </w:r>
    </w:p>
    <w:p w14:paraId="38D4E6A9" w14:textId="77777777" w:rsidR="005F5C18" w:rsidRPr="005F5C18" w:rsidRDefault="005F5C18" w:rsidP="005F5C18">
      <w:pPr>
        <w:spacing w:after="120" w:line="360" w:lineRule="auto"/>
        <w:rPr>
          <w:rFonts w:eastAsiaTheme="minorHAnsi"/>
          <w:lang w:val="en-US"/>
        </w:rPr>
      </w:pPr>
      <w:r w:rsidRPr="005F5C18">
        <w:rPr>
          <w:rFonts w:eastAsiaTheme="minorHAnsi"/>
          <w:lang w:val="en-US"/>
        </w:rPr>
        <w:lastRenderedPageBreak/>
        <w:t>Our most complex models introduce interaction terms to explore potential heterogeneous effects across voter groups and mayoral policies. Interestingly, the marginal effects of the Smart Card policy hold up even when accounting for variations in income and the early distribution of cards to students. Although the magnitude of the policy's effect diminishes with the introduction of more nuanced variables, it still presents as a meaningful contributor to electoral outcomes.</w:t>
      </w:r>
    </w:p>
    <w:p w14:paraId="5AA1ABDF" w14:textId="38972894" w:rsidR="005F5C18" w:rsidRPr="005F5C18" w:rsidRDefault="005F5C18" w:rsidP="005F5C18">
      <w:pPr>
        <w:spacing w:after="120" w:line="360" w:lineRule="auto"/>
        <w:rPr>
          <w:rFonts w:eastAsiaTheme="minorHAnsi"/>
          <w:lang w:val="en-US"/>
        </w:rPr>
      </w:pPr>
      <w:r w:rsidRPr="005F5C18">
        <w:rPr>
          <w:rFonts w:eastAsiaTheme="minorHAnsi"/>
          <w:lang w:val="en-US"/>
        </w:rPr>
        <w:t>An F-test confirms that the interaction terms collectively contribute to the model, reinforcing the validity of our findings. Ultimately, despite the expected decrease in the policy's marginal impact as the model grows in complexity, the persistent significance and substance of the effect from Smart Card distribution to voting behavior underscore its importance as an electoral asset.</w:t>
      </w:r>
      <w:r>
        <w:rPr>
          <w:rFonts w:eastAsiaTheme="minorHAnsi"/>
          <w:lang w:val="en-US"/>
        </w:rPr>
        <w:t xml:space="preserve"> We can attribute to SC policy at least 20% of the change in incumbent’s vote share from 2000 to 2004.</w:t>
      </w:r>
    </w:p>
    <w:p w14:paraId="5E5ECDD9" w14:textId="77777777" w:rsidR="00874F6E" w:rsidRPr="00874F6E" w:rsidRDefault="00874F6E" w:rsidP="00874F6E">
      <w:pPr>
        <w:spacing w:after="120" w:line="360" w:lineRule="auto"/>
        <w:rPr>
          <w:rFonts w:eastAsiaTheme="minorHAnsi"/>
          <w:sz w:val="28"/>
          <w:szCs w:val="28"/>
          <w:lang w:val="en-US"/>
        </w:rPr>
      </w:pPr>
      <w:r w:rsidRPr="00874F6E">
        <w:rPr>
          <w:rFonts w:eastAsiaTheme="minorHAnsi"/>
          <w:b/>
          <w:bCs/>
          <w:sz w:val="28"/>
          <w:szCs w:val="28"/>
          <w:lang w:val="en-US"/>
        </w:rPr>
        <w:t>Robustness Checks: Addressing Endogeneity Concerns</w:t>
      </w:r>
    </w:p>
    <w:p w14:paraId="760BD4E5" w14:textId="77777777" w:rsidR="00874F6E" w:rsidRPr="00874F6E" w:rsidRDefault="00874F6E" w:rsidP="00874F6E">
      <w:pPr>
        <w:spacing w:after="120" w:line="360" w:lineRule="auto"/>
        <w:rPr>
          <w:rFonts w:eastAsiaTheme="minorHAnsi"/>
          <w:lang w:val="en-US"/>
        </w:rPr>
      </w:pPr>
      <w:r w:rsidRPr="00874F6E">
        <w:rPr>
          <w:rFonts w:eastAsiaTheme="minorHAnsi"/>
          <w:lang w:val="en-US"/>
        </w:rPr>
        <w:t>Our robustness analysis confronts potential endogeneity that may arise from regional political leanings, especially the Labor Party’s historical patterns in São Paulo, where poorer outskirt areas—characterized by intense bus transfers—could inadvertently amplify the Smart Card policy's perceived impact. To disentangle the policy effect from this "periphery effect," and address socioeconomic and voting behavior variations, we employ a matching approach.</w:t>
      </w:r>
    </w:p>
    <w:p w14:paraId="3EF357F1" w14:textId="77777777" w:rsidR="00874F6E" w:rsidRPr="00874F6E" w:rsidRDefault="00874F6E" w:rsidP="00874F6E">
      <w:pPr>
        <w:spacing w:after="120" w:line="360" w:lineRule="auto"/>
        <w:rPr>
          <w:rFonts w:eastAsiaTheme="minorHAnsi"/>
          <w:lang w:val="en-US"/>
        </w:rPr>
      </w:pPr>
      <w:r w:rsidRPr="00874F6E">
        <w:rPr>
          <w:rFonts w:eastAsiaTheme="minorHAnsi"/>
          <w:lang w:val="en-US"/>
        </w:rPr>
        <w:t xml:space="preserve">We use a binary treatment based on whether zones are above (treated) or below (non-treated) the median Smart Card implementation level. Propensity </w:t>
      </w:r>
      <w:proofErr w:type="gramStart"/>
      <w:r w:rsidRPr="00874F6E">
        <w:rPr>
          <w:rFonts w:eastAsiaTheme="minorHAnsi"/>
          <w:lang w:val="en-US"/>
        </w:rPr>
        <w:t>score</w:t>
      </w:r>
      <w:proofErr w:type="gramEnd"/>
      <w:r w:rsidRPr="00874F6E">
        <w:rPr>
          <w:rFonts w:eastAsiaTheme="minorHAnsi"/>
          <w:lang w:val="en-US"/>
        </w:rPr>
        <w:t xml:space="preserve"> matching pairs treated zones with their nearest non-treated counterparts, excluding zones without close matches. This matching narrows our focus to middle and outer zones, enhancing the internal validity of the sample by reducing income-related influences.</w:t>
      </w:r>
    </w:p>
    <w:p w14:paraId="1881910B" w14:textId="16BA6D95" w:rsidR="00874F6E" w:rsidRPr="00874F6E" w:rsidRDefault="00874F6E" w:rsidP="00874F6E">
      <w:pPr>
        <w:spacing w:after="120" w:line="360" w:lineRule="auto"/>
        <w:rPr>
          <w:rFonts w:eastAsiaTheme="minorHAnsi"/>
          <w:lang w:val="en-US"/>
        </w:rPr>
      </w:pPr>
      <w:r w:rsidRPr="00874F6E">
        <w:rPr>
          <w:rFonts w:eastAsiaTheme="minorHAnsi"/>
          <w:lang w:val="en-US"/>
        </w:rPr>
        <w:t>Figure 2 illustrates the pre-matching imbalance between treated and non-treated zones, which is notably rectified post-matching, affirming a more comparable set of zones.</w:t>
      </w:r>
      <w:r>
        <w:rPr>
          <w:rFonts w:eastAsiaTheme="minorHAnsi"/>
          <w:lang w:val="en-US"/>
        </w:rPr>
        <w:t xml:space="preserve"> Furthermore, the matching process naturally eliminates zones in the central business districts that might confound the results.</w:t>
      </w:r>
    </w:p>
    <w:p w14:paraId="1EDD9FC7" w14:textId="77777777" w:rsidR="00A12349" w:rsidRDefault="00A12349" w:rsidP="00A12349">
      <w:pPr>
        <w:pStyle w:val="Legenda"/>
        <w:jc w:val="center"/>
      </w:pPr>
      <w:bookmarkStart w:id="2" w:name="_Ref150181856"/>
      <w:r>
        <w:t xml:space="preserve">Figure </w:t>
      </w:r>
      <w:r>
        <w:fldChar w:fldCharType="begin"/>
      </w:r>
      <w:r>
        <w:instrText xml:space="preserve"> SEQ Figure \* ARABIC </w:instrText>
      </w:r>
      <w:r>
        <w:fldChar w:fldCharType="separate"/>
      </w:r>
      <w:r>
        <w:rPr>
          <w:noProof/>
        </w:rPr>
        <w:t>2</w:t>
      </w:r>
      <w:r>
        <w:rPr>
          <w:noProof/>
        </w:rPr>
        <w:fldChar w:fldCharType="end"/>
      </w:r>
      <w:bookmarkEnd w:id="2"/>
      <w:r>
        <w:t>. Matching Covariate Balance</w:t>
      </w:r>
    </w:p>
    <w:p w14:paraId="4C458D69" w14:textId="25B91E0A" w:rsidR="00964141" w:rsidRDefault="00964141" w:rsidP="00964141">
      <w:pPr>
        <w:spacing w:after="120" w:line="360" w:lineRule="auto"/>
        <w:rPr>
          <w:rFonts w:eastAsiaTheme="minorHAnsi"/>
          <w:lang w:val="en-US"/>
        </w:rPr>
      </w:pPr>
      <w:r>
        <w:rPr>
          <w:noProof/>
        </w:rPr>
        <w:lastRenderedPageBreak/>
        <w:drawing>
          <wp:inline distT="0" distB="0" distL="0" distR="0" wp14:anchorId="49C22F49" wp14:editId="399CF290">
            <wp:extent cx="4320000" cy="2980286"/>
            <wp:effectExtent l="0" t="0" r="0" b="4445"/>
            <wp:docPr id="1359687063" name="Picture 135968706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graph with red and blue dots&#10;&#10;Description automatically generated"/>
                    <pic:cNvPicPr/>
                  </pic:nvPicPr>
                  <pic:blipFill>
                    <a:blip r:embed="rId7" cstate="print"/>
                    <a:stretch>
                      <a:fillRect/>
                    </a:stretch>
                  </pic:blipFill>
                  <pic:spPr>
                    <a:xfrm>
                      <a:off x="0" y="0"/>
                      <a:ext cx="4320000" cy="2980286"/>
                    </a:xfrm>
                    <a:prstGeom prst="rect">
                      <a:avLst/>
                    </a:prstGeom>
                  </pic:spPr>
                </pic:pic>
              </a:graphicData>
            </a:graphic>
          </wp:inline>
        </w:drawing>
      </w:r>
    </w:p>
    <w:p w14:paraId="1518A5B0" w14:textId="77777777" w:rsidR="00600623" w:rsidRDefault="00600623" w:rsidP="00600623">
      <w:pPr>
        <w:spacing w:after="120" w:line="360" w:lineRule="auto"/>
        <w:rPr>
          <w:rFonts w:eastAsiaTheme="minorHAnsi"/>
          <w:lang w:val="en-US"/>
        </w:rPr>
      </w:pPr>
      <w:r w:rsidRPr="00600623">
        <w:rPr>
          <w:rFonts w:eastAsiaTheme="minorHAnsi"/>
          <w:lang w:val="en-US"/>
        </w:rPr>
        <w:t xml:space="preserve">Table 2 replicates the regression models of Table 1 but with the matched sample. It reveals that while the estimates for the full and matched samples are consistent, the matched sample yields a slightly diminished effect size, particularly in the initial specification without control variables. This expected reduction bolsters our confidence in the matching process. </w:t>
      </w:r>
    </w:p>
    <w:p w14:paraId="27F30F7B" w14:textId="378EE29E" w:rsidR="00600623" w:rsidRPr="00600623" w:rsidRDefault="00600623" w:rsidP="00600623">
      <w:pPr>
        <w:spacing w:after="120" w:line="360" w:lineRule="auto"/>
        <w:rPr>
          <w:rFonts w:eastAsiaTheme="minorHAnsi"/>
          <w:lang w:val="en-US"/>
        </w:rPr>
      </w:pPr>
      <w:r w:rsidRPr="00600623">
        <w:rPr>
          <w:rFonts w:eastAsiaTheme="minorHAnsi"/>
          <w:lang w:val="en-US"/>
        </w:rPr>
        <w:t xml:space="preserve">In specifications (4) and (5), the matched sample </w:t>
      </w:r>
      <w:r w:rsidRPr="00600623">
        <w:rPr>
          <w:rFonts w:eastAsiaTheme="minorHAnsi"/>
          <w:lang w:val="en-US"/>
        </w:rPr>
        <w:t>exhibits</w:t>
      </w:r>
      <w:r w:rsidRPr="00600623">
        <w:rPr>
          <w:rFonts w:eastAsiaTheme="minorHAnsi"/>
          <w:lang w:val="en-US"/>
        </w:rPr>
        <w:t xml:space="preserve"> a stronger Smart Card policy impact on votes, with conditional impacts reaching up to 0.8 percentage points</w:t>
      </w:r>
      <w:r>
        <w:rPr>
          <w:rFonts w:eastAsiaTheme="minorHAnsi"/>
          <w:lang w:val="en-US"/>
        </w:rPr>
        <w:t xml:space="preserve">. However, the SC variable is not significant at usual levels. </w:t>
      </w:r>
      <w:r w:rsidR="00EB4953">
        <w:rPr>
          <w:rFonts w:eastAsiaTheme="minorHAnsi"/>
          <w:lang w:val="en-US"/>
        </w:rPr>
        <w:t>As expected, the reduction of the sample size reduces precision of the estimates, but the magnitude is quite consistent.</w:t>
      </w:r>
    </w:p>
    <w:p w14:paraId="32A5AF89" w14:textId="19B1495D" w:rsidR="00600623" w:rsidRPr="00600623" w:rsidRDefault="00EB4953" w:rsidP="00600623">
      <w:pPr>
        <w:spacing w:after="120" w:line="360" w:lineRule="auto"/>
        <w:rPr>
          <w:rFonts w:eastAsiaTheme="minorHAnsi"/>
          <w:lang w:val="en-US"/>
        </w:rPr>
      </w:pPr>
      <w:r>
        <w:rPr>
          <w:rFonts w:eastAsiaTheme="minorHAnsi"/>
          <w:lang w:val="en-US"/>
        </w:rPr>
        <w:t>The</w:t>
      </w:r>
      <w:r w:rsidR="00600623" w:rsidRPr="00600623">
        <w:rPr>
          <w:rFonts w:eastAsiaTheme="minorHAnsi"/>
          <w:lang w:val="en-US"/>
        </w:rPr>
        <w:t xml:space="preserve"> consistency across both samples supports the credibility of our exogeneity assumption. The robustness checks substantiate our hypothesis: voters rewarded the incumbent mayor for the Smart Card Policy implementation, with politically meaningful magnitudes of impact.</w:t>
      </w:r>
    </w:p>
    <w:p w14:paraId="38768226" w14:textId="77777777" w:rsidR="009E5198" w:rsidRDefault="009E5198" w:rsidP="009E5198">
      <w:pPr>
        <w:pStyle w:val="Legenda"/>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FB0472">
        <w:t xml:space="preserve">OLS estimates of incumbent party voting difference (2004-2000) </w:t>
      </w:r>
      <w:r>
        <w:t>(</w:t>
      </w:r>
      <w:r w:rsidRPr="00FB0472">
        <w:t>matched sample</w:t>
      </w:r>
      <w:r>
        <w:t>)</w:t>
      </w:r>
    </w:p>
    <w:tbl>
      <w:tblPr>
        <w:tblW w:w="9358" w:type="dxa"/>
        <w:tblInd w:w="147" w:type="dxa"/>
        <w:tblLayout w:type="fixed"/>
        <w:tblCellMar>
          <w:left w:w="0" w:type="dxa"/>
          <w:right w:w="0" w:type="dxa"/>
        </w:tblCellMar>
        <w:tblLook w:val="01E0" w:firstRow="1" w:lastRow="1" w:firstColumn="1" w:lastColumn="1" w:noHBand="0" w:noVBand="0"/>
      </w:tblPr>
      <w:tblGrid>
        <w:gridCol w:w="3503"/>
        <w:gridCol w:w="178"/>
        <w:gridCol w:w="917"/>
        <w:gridCol w:w="75"/>
        <w:gridCol w:w="1074"/>
        <w:gridCol w:w="60"/>
        <w:gridCol w:w="1115"/>
        <w:gridCol w:w="161"/>
        <w:gridCol w:w="1056"/>
        <w:gridCol w:w="78"/>
        <w:gridCol w:w="1141"/>
      </w:tblGrid>
      <w:tr w:rsidR="009E5198" w:rsidRPr="00736D0B" w14:paraId="68DF331A" w14:textId="77777777" w:rsidTr="009345F8">
        <w:trPr>
          <w:trHeight w:val="364"/>
        </w:trPr>
        <w:tc>
          <w:tcPr>
            <w:tcW w:w="3681" w:type="dxa"/>
            <w:gridSpan w:val="2"/>
            <w:tcBorders>
              <w:top w:val="single" w:sz="4" w:space="0" w:color="000000"/>
              <w:bottom w:val="single" w:sz="4" w:space="0" w:color="000000"/>
            </w:tcBorders>
          </w:tcPr>
          <w:p w14:paraId="356BCC50" w14:textId="77777777" w:rsidR="009E5198" w:rsidRPr="00736D0B" w:rsidRDefault="009E5198" w:rsidP="009345F8">
            <w:pPr>
              <w:pStyle w:val="Table"/>
              <w:rPr>
                <w:sz w:val="18"/>
                <w:szCs w:val="18"/>
              </w:rPr>
            </w:pPr>
          </w:p>
        </w:tc>
        <w:tc>
          <w:tcPr>
            <w:tcW w:w="992" w:type="dxa"/>
            <w:gridSpan w:val="2"/>
            <w:tcBorders>
              <w:top w:val="single" w:sz="4" w:space="0" w:color="000000"/>
              <w:bottom w:val="single" w:sz="4" w:space="0" w:color="000000"/>
            </w:tcBorders>
            <w:vAlign w:val="center"/>
          </w:tcPr>
          <w:p w14:paraId="0389F11B" w14:textId="77777777" w:rsidR="009E5198" w:rsidRPr="00736D0B" w:rsidRDefault="009E5198" w:rsidP="009345F8">
            <w:pPr>
              <w:pStyle w:val="Table"/>
              <w:jc w:val="right"/>
              <w:rPr>
                <w:sz w:val="18"/>
                <w:szCs w:val="18"/>
              </w:rPr>
            </w:pPr>
            <w:r w:rsidRPr="00736D0B">
              <w:rPr>
                <w:sz w:val="18"/>
                <w:szCs w:val="18"/>
              </w:rPr>
              <w:t>(1)</w:t>
            </w:r>
          </w:p>
        </w:tc>
        <w:tc>
          <w:tcPr>
            <w:tcW w:w="1134" w:type="dxa"/>
            <w:gridSpan w:val="2"/>
            <w:tcBorders>
              <w:top w:val="single" w:sz="4" w:space="0" w:color="000000"/>
              <w:bottom w:val="single" w:sz="4" w:space="0" w:color="000000"/>
            </w:tcBorders>
            <w:vAlign w:val="center"/>
          </w:tcPr>
          <w:p w14:paraId="5DF35CB1" w14:textId="77777777" w:rsidR="009E5198" w:rsidRPr="00736D0B" w:rsidRDefault="009E5198" w:rsidP="009345F8">
            <w:pPr>
              <w:pStyle w:val="Table"/>
              <w:jc w:val="right"/>
              <w:rPr>
                <w:sz w:val="18"/>
                <w:szCs w:val="18"/>
              </w:rPr>
            </w:pPr>
            <w:r w:rsidRPr="00736D0B">
              <w:rPr>
                <w:sz w:val="18"/>
                <w:szCs w:val="18"/>
              </w:rPr>
              <w:t>(2)</w:t>
            </w:r>
          </w:p>
        </w:tc>
        <w:tc>
          <w:tcPr>
            <w:tcW w:w="1276" w:type="dxa"/>
            <w:gridSpan w:val="2"/>
            <w:tcBorders>
              <w:top w:val="single" w:sz="4" w:space="0" w:color="000000"/>
              <w:bottom w:val="single" w:sz="4" w:space="0" w:color="000000"/>
            </w:tcBorders>
            <w:vAlign w:val="center"/>
          </w:tcPr>
          <w:p w14:paraId="5C37E1DE" w14:textId="77777777" w:rsidR="009E5198" w:rsidRPr="00736D0B" w:rsidRDefault="009E5198" w:rsidP="009345F8">
            <w:pPr>
              <w:pStyle w:val="Table"/>
              <w:jc w:val="right"/>
              <w:rPr>
                <w:sz w:val="18"/>
                <w:szCs w:val="18"/>
              </w:rPr>
            </w:pPr>
            <w:r w:rsidRPr="00736D0B">
              <w:rPr>
                <w:sz w:val="18"/>
                <w:szCs w:val="18"/>
              </w:rPr>
              <w:t>(3)</w:t>
            </w:r>
          </w:p>
        </w:tc>
        <w:tc>
          <w:tcPr>
            <w:tcW w:w="1134" w:type="dxa"/>
            <w:gridSpan w:val="2"/>
            <w:tcBorders>
              <w:top w:val="single" w:sz="4" w:space="0" w:color="000000"/>
              <w:bottom w:val="single" w:sz="4" w:space="0" w:color="000000"/>
            </w:tcBorders>
            <w:vAlign w:val="center"/>
          </w:tcPr>
          <w:p w14:paraId="66E0ED3E" w14:textId="77777777" w:rsidR="009E5198" w:rsidRPr="00736D0B" w:rsidRDefault="009E5198" w:rsidP="009345F8">
            <w:pPr>
              <w:pStyle w:val="Table"/>
              <w:jc w:val="right"/>
              <w:rPr>
                <w:sz w:val="18"/>
                <w:szCs w:val="18"/>
              </w:rPr>
            </w:pPr>
            <w:r w:rsidRPr="00736D0B">
              <w:rPr>
                <w:sz w:val="18"/>
                <w:szCs w:val="18"/>
              </w:rPr>
              <w:t>(4)</w:t>
            </w:r>
          </w:p>
        </w:tc>
        <w:tc>
          <w:tcPr>
            <w:tcW w:w="1141" w:type="dxa"/>
            <w:tcBorders>
              <w:top w:val="single" w:sz="4" w:space="0" w:color="000000"/>
              <w:bottom w:val="single" w:sz="4" w:space="0" w:color="000000"/>
            </w:tcBorders>
            <w:vAlign w:val="center"/>
          </w:tcPr>
          <w:p w14:paraId="5DFA5D6E" w14:textId="77777777" w:rsidR="009E5198" w:rsidRPr="00736D0B" w:rsidRDefault="009E5198" w:rsidP="009345F8">
            <w:pPr>
              <w:pStyle w:val="Table"/>
              <w:jc w:val="right"/>
              <w:rPr>
                <w:sz w:val="18"/>
                <w:szCs w:val="18"/>
              </w:rPr>
            </w:pPr>
            <w:r w:rsidRPr="00736D0B">
              <w:rPr>
                <w:sz w:val="18"/>
                <w:szCs w:val="18"/>
              </w:rPr>
              <w:t>(5)</w:t>
            </w:r>
          </w:p>
        </w:tc>
      </w:tr>
      <w:tr w:rsidR="009E5198" w:rsidRPr="00736D0B" w14:paraId="7FD713C4" w14:textId="77777777" w:rsidTr="009345F8">
        <w:trPr>
          <w:trHeight w:val="328"/>
        </w:trPr>
        <w:tc>
          <w:tcPr>
            <w:tcW w:w="3681" w:type="dxa"/>
            <w:gridSpan w:val="2"/>
            <w:tcBorders>
              <w:top w:val="single" w:sz="4" w:space="0" w:color="000000"/>
            </w:tcBorders>
            <w:vAlign w:val="center"/>
          </w:tcPr>
          <w:p w14:paraId="55B86D19" w14:textId="77777777" w:rsidR="009E5198" w:rsidRPr="00736D0B" w:rsidRDefault="009E5198" w:rsidP="009345F8">
            <w:pPr>
              <w:pStyle w:val="Table"/>
              <w:rPr>
                <w:sz w:val="18"/>
                <w:szCs w:val="18"/>
              </w:rPr>
            </w:pPr>
            <w:r w:rsidRPr="00736D0B">
              <w:rPr>
                <w:sz w:val="18"/>
                <w:szCs w:val="18"/>
              </w:rPr>
              <w:t>Smart Card Users</w:t>
            </w:r>
            <w:r>
              <w:rPr>
                <w:sz w:val="18"/>
                <w:szCs w:val="18"/>
              </w:rPr>
              <w:t xml:space="preserve"> Coefficient</w:t>
            </w:r>
          </w:p>
        </w:tc>
        <w:tc>
          <w:tcPr>
            <w:tcW w:w="992" w:type="dxa"/>
            <w:gridSpan w:val="2"/>
            <w:tcBorders>
              <w:top w:val="single" w:sz="4" w:space="0" w:color="000000"/>
            </w:tcBorders>
            <w:vAlign w:val="center"/>
          </w:tcPr>
          <w:p w14:paraId="1F3E2D34" w14:textId="77777777" w:rsidR="009E5198" w:rsidRPr="00736D0B" w:rsidRDefault="009E5198" w:rsidP="009345F8">
            <w:pPr>
              <w:pStyle w:val="Table"/>
              <w:jc w:val="right"/>
              <w:rPr>
                <w:sz w:val="18"/>
                <w:szCs w:val="18"/>
              </w:rPr>
            </w:pPr>
            <w:r w:rsidRPr="00657BE6">
              <w:rPr>
                <w:sz w:val="18"/>
                <w:szCs w:val="18"/>
              </w:rPr>
              <w:t>0.316</w:t>
            </w:r>
            <w:r>
              <w:rPr>
                <w:sz w:val="18"/>
                <w:szCs w:val="18"/>
              </w:rPr>
              <w:t>***</w:t>
            </w:r>
            <w:r w:rsidRPr="00657BE6">
              <w:rPr>
                <w:sz w:val="18"/>
                <w:szCs w:val="18"/>
              </w:rPr>
              <w:t xml:space="preserve"> </w:t>
            </w:r>
          </w:p>
        </w:tc>
        <w:tc>
          <w:tcPr>
            <w:tcW w:w="1134" w:type="dxa"/>
            <w:gridSpan w:val="2"/>
            <w:tcBorders>
              <w:top w:val="single" w:sz="4" w:space="0" w:color="000000"/>
            </w:tcBorders>
            <w:vAlign w:val="center"/>
          </w:tcPr>
          <w:p w14:paraId="2F58E48E" w14:textId="77777777" w:rsidR="009E5198" w:rsidRPr="00736D0B" w:rsidRDefault="009E5198" w:rsidP="009345F8">
            <w:pPr>
              <w:pStyle w:val="Table"/>
              <w:jc w:val="right"/>
              <w:rPr>
                <w:sz w:val="18"/>
                <w:szCs w:val="18"/>
              </w:rPr>
            </w:pPr>
            <w:r w:rsidRPr="00657BE6">
              <w:rPr>
                <w:sz w:val="18"/>
                <w:szCs w:val="18"/>
              </w:rPr>
              <w:t>0.230</w:t>
            </w:r>
            <w:r>
              <w:rPr>
                <w:sz w:val="18"/>
                <w:szCs w:val="18"/>
              </w:rPr>
              <w:t>***</w:t>
            </w:r>
          </w:p>
        </w:tc>
        <w:tc>
          <w:tcPr>
            <w:tcW w:w="1276" w:type="dxa"/>
            <w:gridSpan w:val="2"/>
            <w:tcBorders>
              <w:top w:val="single" w:sz="4" w:space="0" w:color="000000"/>
            </w:tcBorders>
            <w:vAlign w:val="center"/>
          </w:tcPr>
          <w:p w14:paraId="0044EC10" w14:textId="77777777" w:rsidR="009E5198" w:rsidRPr="00736D0B" w:rsidRDefault="009E5198" w:rsidP="009345F8">
            <w:pPr>
              <w:pStyle w:val="Table"/>
              <w:jc w:val="right"/>
              <w:rPr>
                <w:sz w:val="18"/>
                <w:szCs w:val="18"/>
              </w:rPr>
            </w:pPr>
            <w:r w:rsidRPr="00657BE6">
              <w:rPr>
                <w:sz w:val="18"/>
                <w:szCs w:val="18"/>
              </w:rPr>
              <w:t>0.194</w:t>
            </w:r>
            <w:r>
              <w:rPr>
                <w:sz w:val="18"/>
                <w:szCs w:val="18"/>
              </w:rPr>
              <w:t>**</w:t>
            </w:r>
          </w:p>
        </w:tc>
        <w:tc>
          <w:tcPr>
            <w:tcW w:w="1134" w:type="dxa"/>
            <w:gridSpan w:val="2"/>
            <w:tcBorders>
              <w:top w:val="single" w:sz="4" w:space="0" w:color="000000"/>
            </w:tcBorders>
            <w:vAlign w:val="center"/>
          </w:tcPr>
          <w:p w14:paraId="6F20D86F" w14:textId="77777777" w:rsidR="009E5198" w:rsidRPr="00736D0B" w:rsidRDefault="009E5198" w:rsidP="009345F8">
            <w:pPr>
              <w:pStyle w:val="Table"/>
              <w:jc w:val="right"/>
              <w:rPr>
                <w:sz w:val="18"/>
                <w:szCs w:val="18"/>
              </w:rPr>
            </w:pPr>
            <w:r w:rsidRPr="00657BE6">
              <w:rPr>
                <w:sz w:val="18"/>
                <w:szCs w:val="18"/>
              </w:rPr>
              <w:t>0.395</w:t>
            </w:r>
          </w:p>
        </w:tc>
        <w:tc>
          <w:tcPr>
            <w:tcW w:w="1141" w:type="dxa"/>
            <w:tcBorders>
              <w:top w:val="single" w:sz="4" w:space="0" w:color="000000"/>
            </w:tcBorders>
            <w:vAlign w:val="center"/>
          </w:tcPr>
          <w:p w14:paraId="5A1C0420" w14:textId="77777777" w:rsidR="009E5198" w:rsidRPr="00736D0B" w:rsidRDefault="009E5198" w:rsidP="009345F8">
            <w:pPr>
              <w:pStyle w:val="Table"/>
              <w:jc w:val="right"/>
              <w:rPr>
                <w:sz w:val="18"/>
                <w:szCs w:val="18"/>
              </w:rPr>
            </w:pPr>
            <w:r w:rsidRPr="00657BE6">
              <w:rPr>
                <w:sz w:val="18"/>
                <w:szCs w:val="18"/>
              </w:rPr>
              <w:t>-0.659</w:t>
            </w:r>
          </w:p>
        </w:tc>
      </w:tr>
      <w:tr w:rsidR="009E5198" w:rsidRPr="003D1781" w14:paraId="2D43E37A" w14:textId="77777777" w:rsidTr="009345F8">
        <w:trPr>
          <w:trHeight w:val="293"/>
        </w:trPr>
        <w:tc>
          <w:tcPr>
            <w:tcW w:w="3681" w:type="dxa"/>
            <w:gridSpan w:val="2"/>
            <w:vAlign w:val="center"/>
          </w:tcPr>
          <w:p w14:paraId="791E45BA" w14:textId="77777777" w:rsidR="009E5198" w:rsidRPr="00736D0B" w:rsidRDefault="009E5198" w:rsidP="009345F8">
            <w:pPr>
              <w:pStyle w:val="Table"/>
              <w:rPr>
                <w:sz w:val="18"/>
                <w:szCs w:val="18"/>
              </w:rPr>
            </w:pPr>
            <w:r w:rsidRPr="00736D0B">
              <w:rPr>
                <w:sz w:val="18"/>
                <w:szCs w:val="18"/>
              </w:rPr>
              <w:t>Smart Card Users</w:t>
            </w:r>
            <w:r>
              <w:rPr>
                <w:sz w:val="18"/>
                <w:szCs w:val="18"/>
              </w:rPr>
              <w:t xml:space="preserve"> Coefficient</w:t>
            </w:r>
          </w:p>
        </w:tc>
        <w:tc>
          <w:tcPr>
            <w:tcW w:w="992" w:type="dxa"/>
            <w:gridSpan w:val="2"/>
            <w:vAlign w:val="center"/>
          </w:tcPr>
          <w:p w14:paraId="1965F6C5" w14:textId="77777777" w:rsidR="009E5198" w:rsidRPr="003D1781" w:rsidRDefault="009E5198" w:rsidP="009345F8">
            <w:pPr>
              <w:pStyle w:val="Table"/>
              <w:jc w:val="right"/>
              <w:rPr>
                <w:sz w:val="18"/>
                <w:szCs w:val="18"/>
              </w:rPr>
            </w:pPr>
            <w:r w:rsidRPr="00657BE6">
              <w:rPr>
                <w:sz w:val="18"/>
                <w:szCs w:val="18"/>
              </w:rPr>
              <w:t>[0.088]</w:t>
            </w:r>
          </w:p>
        </w:tc>
        <w:tc>
          <w:tcPr>
            <w:tcW w:w="1134" w:type="dxa"/>
            <w:gridSpan w:val="2"/>
            <w:vAlign w:val="center"/>
          </w:tcPr>
          <w:p w14:paraId="77B8A354" w14:textId="77777777" w:rsidR="009E5198" w:rsidRPr="003D1781" w:rsidRDefault="009E5198" w:rsidP="009345F8">
            <w:pPr>
              <w:pStyle w:val="Table"/>
              <w:jc w:val="right"/>
              <w:rPr>
                <w:sz w:val="18"/>
                <w:szCs w:val="18"/>
              </w:rPr>
            </w:pPr>
            <w:r w:rsidRPr="00657BE6">
              <w:rPr>
                <w:sz w:val="18"/>
                <w:szCs w:val="18"/>
              </w:rPr>
              <w:t>[0.079]</w:t>
            </w:r>
          </w:p>
        </w:tc>
        <w:tc>
          <w:tcPr>
            <w:tcW w:w="1276" w:type="dxa"/>
            <w:gridSpan w:val="2"/>
            <w:vAlign w:val="center"/>
          </w:tcPr>
          <w:p w14:paraId="015EBD76" w14:textId="77777777" w:rsidR="009E5198" w:rsidRPr="003D1781" w:rsidRDefault="009E5198" w:rsidP="009345F8">
            <w:pPr>
              <w:pStyle w:val="Table"/>
              <w:jc w:val="right"/>
              <w:rPr>
                <w:sz w:val="18"/>
                <w:szCs w:val="18"/>
              </w:rPr>
            </w:pPr>
            <w:r w:rsidRPr="00657BE6">
              <w:rPr>
                <w:sz w:val="18"/>
                <w:szCs w:val="18"/>
              </w:rPr>
              <w:t>[0.078]</w:t>
            </w:r>
          </w:p>
        </w:tc>
        <w:tc>
          <w:tcPr>
            <w:tcW w:w="1134" w:type="dxa"/>
            <w:gridSpan w:val="2"/>
            <w:vAlign w:val="center"/>
          </w:tcPr>
          <w:p w14:paraId="2A9719BB" w14:textId="77777777" w:rsidR="009E5198" w:rsidRPr="003D1781" w:rsidRDefault="009E5198" w:rsidP="009345F8">
            <w:pPr>
              <w:pStyle w:val="Table"/>
              <w:jc w:val="right"/>
              <w:rPr>
                <w:sz w:val="18"/>
                <w:szCs w:val="18"/>
              </w:rPr>
            </w:pPr>
            <w:r w:rsidRPr="00657BE6">
              <w:rPr>
                <w:sz w:val="18"/>
                <w:szCs w:val="18"/>
              </w:rPr>
              <w:t>[1.306]</w:t>
            </w:r>
          </w:p>
        </w:tc>
        <w:tc>
          <w:tcPr>
            <w:tcW w:w="1141" w:type="dxa"/>
            <w:vAlign w:val="center"/>
          </w:tcPr>
          <w:p w14:paraId="01C2E7D1" w14:textId="77777777" w:rsidR="009E5198" w:rsidRPr="003D1781" w:rsidRDefault="009E5198" w:rsidP="009345F8">
            <w:pPr>
              <w:pStyle w:val="Table"/>
              <w:jc w:val="right"/>
              <w:rPr>
                <w:sz w:val="18"/>
                <w:szCs w:val="18"/>
              </w:rPr>
            </w:pPr>
            <w:r w:rsidRPr="00657BE6">
              <w:rPr>
                <w:sz w:val="18"/>
                <w:szCs w:val="18"/>
              </w:rPr>
              <w:t>[1.713]</w:t>
            </w:r>
          </w:p>
        </w:tc>
      </w:tr>
      <w:tr w:rsidR="00600623" w:rsidRPr="003D1781" w14:paraId="01A1B0F5" w14:textId="77777777" w:rsidTr="009345F8">
        <w:trPr>
          <w:trHeight w:val="293"/>
        </w:trPr>
        <w:tc>
          <w:tcPr>
            <w:tcW w:w="3681" w:type="dxa"/>
            <w:gridSpan w:val="2"/>
            <w:vAlign w:val="center"/>
          </w:tcPr>
          <w:p w14:paraId="207A9767" w14:textId="77777777" w:rsidR="00600623" w:rsidRDefault="00600623" w:rsidP="00600623">
            <w:pPr>
              <w:pStyle w:val="Table"/>
              <w:rPr>
                <w:sz w:val="18"/>
                <w:szCs w:val="18"/>
              </w:rPr>
            </w:pPr>
            <w:r>
              <w:rPr>
                <w:sz w:val="18"/>
                <w:szCs w:val="18"/>
              </w:rPr>
              <w:t>Impact on vote share change</w:t>
            </w:r>
          </w:p>
        </w:tc>
        <w:tc>
          <w:tcPr>
            <w:tcW w:w="992" w:type="dxa"/>
            <w:gridSpan w:val="2"/>
          </w:tcPr>
          <w:p w14:paraId="1A0F159C" w14:textId="77777777" w:rsidR="00600623" w:rsidRPr="003D1781" w:rsidRDefault="00600623" w:rsidP="00600623">
            <w:pPr>
              <w:pStyle w:val="Table"/>
              <w:jc w:val="right"/>
              <w:rPr>
                <w:sz w:val="18"/>
                <w:szCs w:val="18"/>
              </w:rPr>
            </w:pPr>
            <w:r w:rsidRPr="003D1781">
              <w:rPr>
                <w:sz w:val="18"/>
                <w:szCs w:val="18"/>
              </w:rPr>
              <w:t>1.</w:t>
            </w:r>
            <w:r>
              <w:rPr>
                <w:sz w:val="18"/>
                <w:szCs w:val="18"/>
              </w:rPr>
              <w:t>58</w:t>
            </w:r>
            <w:r w:rsidRPr="003D1781">
              <w:rPr>
                <w:sz w:val="18"/>
                <w:szCs w:val="18"/>
              </w:rPr>
              <w:t>%</w:t>
            </w:r>
          </w:p>
        </w:tc>
        <w:tc>
          <w:tcPr>
            <w:tcW w:w="1134" w:type="dxa"/>
            <w:gridSpan w:val="2"/>
          </w:tcPr>
          <w:p w14:paraId="4FBCD2EE" w14:textId="77777777" w:rsidR="00600623" w:rsidRPr="003D1781" w:rsidRDefault="00600623" w:rsidP="00600623">
            <w:pPr>
              <w:pStyle w:val="Table"/>
              <w:jc w:val="right"/>
              <w:rPr>
                <w:sz w:val="18"/>
                <w:szCs w:val="18"/>
              </w:rPr>
            </w:pPr>
            <w:r w:rsidRPr="003D1781">
              <w:rPr>
                <w:sz w:val="18"/>
                <w:szCs w:val="18"/>
              </w:rPr>
              <w:t>1.1</w:t>
            </w:r>
            <w:r>
              <w:rPr>
                <w:sz w:val="18"/>
                <w:szCs w:val="18"/>
              </w:rPr>
              <w:t>5</w:t>
            </w:r>
            <w:r w:rsidRPr="003D1781">
              <w:rPr>
                <w:sz w:val="18"/>
                <w:szCs w:val="18"/>
              </w:rPr>
              <w:t>%</w:t>
            </w:r>
          </w:p>
        </w:tc>
        <w:tc>
          <w:tcPr>
            <w:tcW w:w="1276" w:type="dxa"/>
            <w:gridSpan w:val="2"/>
          </w:tcPr>
          <w:p w14:paraId="19F4E112" w14:textId="77777777" w:rsidR="00600623" w:rsidRDefault="00600623" w:rsidP="00600623">
            <w:pPr>
              <w:pStyle w:val="Table"/>
              <w:jc w:val="right"/>
              <w:rPr>
                <w:sz w:val="18"/>
                <w:szCs w:val="18"/>
              </w:rPr>
            </w:pPr>
            <w:r>
              <w:rPr>
                <w:sz w:val="18"/>
                <w:szCs w:val="18"/>
              </w:rPr>
              <w:t>0</w:t>
            </w:r>
            <w:r w:rsidRPr="003D1781">
              <w:rPr>
                <w:sz w:val="18"/>
                <w:szCs w:val="18"/>
              </w:rPr>
              <w:t>.</w:t>
            </w:r>
            <w:r>
              <w:rPr>
                <w:sz w:val="18"/>
                <w:szCs w:val="18"/>
              </w:rPr>
              <w:t>9</w:t>
            </w:r>
            <w:r w:rsidRPr="003D1781">
              <w:rPr>
                <w:sz w:val="18"/>
                <w:szCs w:val="18"/>
              </w:rPr>
              <w:t>7%</w:t>
            </w:r>
          </w:p>
        </w:tc>
        <w:tc>
          <w:tcPr>
            <w:tcW w:w="1134" w:type="dxa"/>
            <w:gridSpan w:val="2"/>
          </w:tcPr>
          <w:p w14:paraId="626B4136" w14:textId="75630C39" w:rsidR="00600623" w:rsidRPr="00600623" w:rsidRDefault="00600623" w:rsidP="00600623">
            <w:pPr>
              <w:pStyle w:val="Table"/>
              <w:jc w:val="right"/>
              <w:rPr>
                <w:sz w:val="18"/>
                <w:szCs w:val="18"/>
              </w:rPr>
            </w:pPr>
            <w:r w:rsidRPr="00600623">
              <w:rPr>
                <w:sz w:val="18"/>
                <w:szCs w:val="18"/>
              </w:rPr>
              <w:t>0</w:t>
            </w:r>
            <w:r>
              <w:rPr>
                <w:sz w:val="18"/>
                <w:szCs w:val="18"/>
              </w:rPr>
              <w:t>.</w:t>
            </w:r>
            <w:r w:rsidRPr="00600623">
              <w:rPr>
                <w:sz w:val="18"/>
                <w:szCs w:val="18"/>
              </w:rPr>
              <w:t>80%</w:t>
            </w:r>
          </w:p>
        </w:tc>
        <w:tc>
          <w:tcPr>
            <w:tcW w:w="1141" w:type="dxa"/>
          </w:tcPr>
          <w:p w14:paraId="47B18E02" w14:textId="1C647E76" w:rsidR="00600623" w:rsidRPr="00600623" w:rsidRDefault="00600623" w:rsidP="00600623">
            <w:pPr>
              <w:pStyle w:val="Table"/>
              <w:jc w:val="right"/>
              <w:rPr>
                <w:sz w:val="18"/>
                <w:szCs w:val="18"/>
              </w:rPr>
            </w:pPr>
            <w:r w:rsidRPr="00600623">
              <w:rPr>
                <w:sz w:val="18"/>
                <w:szCs w:val="18"/>
              </w:rPr>
              <w:t>0</w:t>
            </w:r>
            <w:r>
              <w:rPr>
                <w:sz w:val="18"/>
                <w:szCs w:val="18"/>
              </w:rPr>
              <w:t>.</w:t>
            </w:r>
            <w:r w:rsidRPr="00600623">
              <w:rPr>
                <w:sz w:val="18"/>
                <w:szCs w:val="18"/>
              </w:rPr>
              <w:t>75%</w:t>
            </w:r>
          </w:p>
        </w:tc>
      </w:tr>
      <w:tr w:rsidR="00600623" w:rsidRPr="003D1781" w14:paraId="2F81DC69" w14:textId="77777777" w:rsidTr="009345F8">
        <w:trPr>
          <w:trHeight w:val="293"/>
        </w:trPr>
        <w:tc>
          <w:tcPr>
            <w:tcW w:w="3681" w:type="dxa"/>
            <w:gridSpan w:val="2"/>
            <w:tcBorders>
              <w:bottom w:val="single" w:sz="4" w:space="0" w:color="auto"/>
            </w:tcBorders>
            <w:vAlign w:val="center"/>
          </w:tcPr>
          <w:p w14:paraId="330E4C65" w14:textId="77777777" w:rsidR="00600623" w:rsidRPr="00736D0B" w:rsidRDefault="00600623" w:rsidP="00600623">
            <w:pPr>
              <w:pStyle w:val="Table"/>
              <w:rPr>
                <w:sz w:val="18"/>
                <w:szCs w:val="18"/>
              </w:rPr>
            </w:pPr>
            <w:r>
              <w:rPr>
                <w:sz w:val="18"/>
                <w:szCs w:val="18"/>
              </w:rPr>
              <w:t>Relative Impact on vote share change</w:t>
            </w:r>
          </w:p>
        </w:tc>
        <w:tc>
          <w:tcPr>
            <w:tcW w:w="992" w:type="dxa"/>
            <w:gridSpan w:val="2"/>
            <w:tcBorders>
              <w:bottom w:val="single" w:sz="4" w:space="0" w:color="auto"/>
            </w:tcBorders>
          </w:tcPr>
          <w:p w14:paraId="46958AAB" w14:textId="77777777" w:rsidR="00600623" w:rsidRPr="00C1683A" w:rsidRDefault="00600623" w:rsidP="00600623">
            <w:pPr>
              <w:pStyle w:val="Table"/>
              <w:jc w:val="right"/>
              <w:rPr>
                <w:sz w:val="18"/>
                <w:szCs w:val="18"/>
              </w:rPr>
            </w:pPr>
            <w:r w:rsidRPr="00C1683A">
              <w:rPr>
                <w:sz w:val="18"/>
                <w:szCs w:val="18"/>
              </w:rPr>
              <w:t>72%</w:t>
            </w:r>
          </w:p>
        </w:tc>
        <w:tc>
          <w:tcPr>
            <w:tcW w:w="1134" w:type="dxa"/>
            <w:gridSpan w:val="2"/>
            <w:tcBorders>
              <w:bottom w:val="single" w:sz="4" w:space="0" w:color="auto"/>
            </w:tcBorders>
          </w:tcPr>
          <w:p w14:paraId="71F5AE81" w14:textId="77777777" w:rsidR="00600623" w:rsidRPr="00C1683A" w:rsidRDefault="00600623" w:rsidP="00600623">
            <w:pPr>
              <w:pStyle w:val="Table"/>
              <w:jc w:val="right"/>
              <w:rPr>
                <w:sz w:val="18"/>
                <w:szCs w:val="18"/>
              </w:rPr>
            </w:pPr>
            <w:r w:rsidRPr="00C1683A">
              <w:rPr>
                <w:sz w:val="18"/>
                <w:szCs w:val="18"/>
              </w:rPr>
              <w:t>52%</w:t>
            </w:r>
          </w:p>
        </w:tc>
        <w:tc>
          <w:tcPr>
            <w:tcW w:w="1276" w:type="dxa"/>
            <w:gridSpan w:val="2"/>
            <w:tcBorders>
              <w:bottom w:val="single" w:sz="4" w:space="0" w:color="auto"/>
            </w:tcBorders>
          </w:tcPr>
          <w:p w14:paraId="79346E11" w14:textId="77777777" w:rsidR="00600623" w:rsidRPr="00C1683A" w:rsidRDefault="00600623" w:rsidP="00600623">
            <w:pPr>
              <w:pStyle w:val="Table"/>
              <w:jc w:val="right"/>
              <w:rPr>
                <w:sz w:val="18"/>
                <w:szCs w:val="18"/>
              </w:rPr>
            </w:pPr>
            <w:r w:rsidRPr="00C1683A">
              <w:rPr>
                <w:sz w:val="18"/>
                <w:szCs w:val="18"/>
              </w:rPr>
              <w:t>44%</w:t>
            </w:r>
          </w:p>
        </w:tc>
        <w:tc>
          <w:tcPr>
            <w:tcW w:w="1134" w:type="dxa"/>
            <w:gridSpan w:val="2"/>
            <w:tcBorders>
              <w:bottom w:val="single" w:sz="4" w:space="0" w:color="auto"/>
            </w:tcBorders>
          </w:tcPr>
          <w:p w14:paraId="6B6F6EE5" w14:textId="161A2844" w:rsidR="00600623" w:rsidRPr="00600623" w:rsidRDefault="00600623" w:rsidP="00600623">
            <w:pPr>
              <w:pStyle w:val="Table"/>
              <w:jc w:val="right"/>
              <w:rPr>
                <w:sz w:val="18"/>
                <w:szCs w:val="18"/>
              </w:rPr>
            </w:pPr>
            <w:r w:rsidRPr="00600623">
              <w:rPr>
                <w:sz w:val="18"/>
                <w:szCs w:val="18"/>
              </w:rPr>
              <w:t>36%</w:t>
            </w:r>
          </w:p>
        </w:tc>
        <w:tc>
          <w:tcPr>
            <w:tcW w:w="1141" w:type="dxa"/>
            <w:tcBorders>
              <w:bottom w:val="single" w:sz="4" w:space="0" w:color="auto"/>
            </w:tcBorders>
          </w:tcPr>
          <w:p w14:paraId="2CFE369C" w14:textId="5B61E5F7" w:rsidR="00600623" w:rsidRPr="00600623" w:rsidRDefault="00600623" w:rsidP="00600623">
            <w:pPr>
              <w:pStyle w:val="Table"/>
              <w:jc w:val="right"/>
              <w:rPr>
                <w:sz w:val="18"/>
                <w:szCs w:val="18"/>
              </w:rPr>
            </w:pPr>
            <w:r w:rsidRPr="00600623">
              <w:rPr>
                <w:sz w:val="18"/>
                <w:szCs w:val="18"/>
              </w:rPr>
              <w:t>34%</w:t>
            </w:r>
          </w:p>
        </w:tc>
      </w:tr>
      <w:tr w:rsidR="009E5198" w:rsidRPr="00901F2B" w14:paraId="3B5CE70B" w14:textId="77777777" w:rsidTr="009345F8">
        <w:trPr>
          <w:trHeight w:val="293"/>
        </w:trPr>
        <w:tc>
          <w:tcPr>
            <w:tcW w:w="3681" w:type="dxa"/>
            <w:gridSpan w:val="2"/>
            <w:tcBorders>
              <w:top w:val="single" w:sz="4" w:space="0" w:color="auto"/>
            </w:tcBorders>
            <w:vAlign w:val="center"/>
          </w:tcPr>
          <w:p w14:paraId="23F1648A" w14:textId="77777777" w:rsidR="009E5198" w:rsidRPr="003D1781" w:rsidRDefault="009E5198" w:rsidP="009345F8">
            <w:pPr>
              <w:pStyle w:val="Table"/>
              <w:rPr>
                <w:b/>
                <w:bCs/>
                <w:sz w:val="18"/>
                <w:szCs w:val="18"/>
              </w:rPr>
            </w:pPr>
            <w:r w:rsidRPr="003D1781">
              <w:rPr>
                <w:b/>
                <w:bCs/>
                <w:sz w:val="18"/>
                <w:szCs w:val="18"/>
              </w:rPr>
              <w:t>Controls</w:t>
            </w:r>
          </w:p>
        </w:tc>
        <w:tc>
          <w:tcPr>
            <w:tcW w:w="992" w:type="dxa"/>
            <w:gridSpan w:val="2"/>
            <w:tcBorders>
              <w:top w:val="single" w:sz="4" w:space="0" w:color="auto"/>
            </w:tcBorders>
          </w:tcPr>
          <w:p w14:paraId="7EAAC50A" w14:textId="77777777" w:rsidR="009E5198" w:rsidRPr="00901F2B" w:rsidRDefault="009E5198" w:rsidP="009345F8">
            <w:pPr>
              <w:pStyle w:val="Table"/>
              <w:jc w:val="center"/>
            </w:pPr>
          </w:p>
        </w:tc>
        <w:tc>
          <w:tcPr>
            <w:tcW w:w="1134" w:type="dxa"/>
            <w:gridSpan w:val="2"/>
            <w:tcBorders>
              <w:top w:val="single" w:sz="4" w:space="0" w:color="auto"/>
            </w:tcBorders>
          </w:tcPr>
          <w:p w14:paraId="785618B3" w14:textId="77777777" w:rsidR="009E5198" w:rsidRPr="00901F2B" w:rsidRDefault="009E5198" w:rsidP="009345F8">
            <w:pPr>
              <w:pStyle w:val="Table"/>
              <w:jc w:val="center"/>
            </w:pPr>
          </w:p>
        </w:tc>
        <w:tc>
          <w:tcPr>
            <w:tcW w:w="1276" w:type="dxa"/>
            <w:gridSpan w:val="2"/>
            <w:tcBorders>
              <w:top w:val="single" w:sz="4" w:space="0" w:color="auto"/>
            </w:tcBorders>
          </w:tcPr>
          <w:p w14:paraId="19FE85D6" w14:textId="77777777" w:rsidR="009E5198" w:rsidRPr="00901F2B" w:rsidRDefault="009E5198" w:rsidP="009345F8">
            <w:pPr>
              <w:pStyle w:val="Table"/>
              <w:jc w:val="center"/>
            </w:pPr>
          </w:p>
        </w:tc>
        <w:tc>
          <w:tcPr>
            <w:tcW w:w="1134" w:type="dxa"/>
            <w:gridSpan w:val="2"/>
            <w:tcBorders>
              <w:top w:val="single" w:sz="4" w:space="0" w:color="auto"/>
            </w:tcBorders>
          </w:tcPr>
          <w:p w14:paraId="5461317E" w14:textId="77777777" w:rsidR="009E5198" w:rsidRPr="00901F2B" w:rsidRDefault="009E5198" w:rsidP="009345F8">
            <w:pPr>
              <w:pStyle w:val="Table"/>
              <w:jc w:val="center"/>
            </w:pPr>
          </w:p>
        </w:tc>
        <w:tc>
          <w:tcPr>
            <w:tcW w:w="1141" w:type="dxa"/>
            <w:tcBorders>
              <w:top w:val="single" w:sz="4" w:space="0" w:color="auto"/>
            </w:tcBorders>
          </w:tcPr>
          <w:p w14:paraId="2FB484F1" w14:textId="77777777" w:rsidR="009E5198" w:rsidRPr="00901F2B" w:rsidRDefault="009E5198" w:rsidP="009345F8">
            <w:pPr>
              <w:pStyle w:val="Table"/>
              <w:jc w:val="center"/>
            </w:pPr>
          </w:p>
        </w:tc>
      </w:tr>
      <w:tr w:rsidR="009E5198" w:rsidRPr="00736D0B" w14:paraId="2049E263" w14:textId="77777777" w:rsidTr="009345F8">
        <w:trPr>
          <w:trHeight w:val="293"/>
        </w:trPr>
        <w:tc>
          <w:tcPr>
            <w:tcW w:w="3681" w:type="dxa"/>
            <w:gridSpan w:val="2"/>
            <w:vAlign w:val="center"/>
          </w:tcPr>
          <w:p w14:paraId="7618747F" w14:textId="77777777" w:rsidR="009E5198" w:rsidRPr="00736D0B" w:rsidRDefault="009E5198" w:rsidP="009345F8">
            <w:pPr>
              <w:pStyle w:val="Table"/>
              <w:rPr>
                <w:sz w:val="18"/>
                <w:szCs w:val="18"/>
              </w:rPr>
            </w:pPr>
            <w:r w:rsidRPr="00736D0B">
              <w:rPr>
                <w:sz w:val="18"/>
                <w:szCs w:val="18"/>
              </w:rPr>
              <w:t>Vote share Labor Party (2000)</w:t>
            </w:r>
          </w:p>
        </w:tc>
        <w:tc>
          <w:tcPr>
            <w:tcW w:w="992" w:type="dxa"/>
            <w:gridSpan w:val="2"/>
            <w:vAlign w:val="center"/>
          </w:tcPr>
          <w:p w14:paraId="233A34BC" w14:textId="77777777" w:rsidR="009E5198" w:rsidRPr="00736D0B" w:rsidRDefault="009E5198" w:rsidP="009345F8">
            <w:pPr>
              <w:pStyle w:val="Table"/>
              <w:jc w:val="right"/>
              <w:rPr>
                <w:sz w:val="18"/>
                <w:szCs w:val="18"/>
              </w:rPr>
            </w:pPr>
            <w:r>
              <w:rPr>
                <w:sz w:val="18"/>
                <w:szCs w:val="18"/>
              </w:rPr>
              <w:t>Yes</w:t>
            </w:r>
          </w:p>
        </w:tc>
        <w:tc>
          <w:tcPr>
            <w:tcW w:w="1134" w:type="dxa"/>
            <w:gridSpan w:val="2"/>
            <w:vAlign w:val="center"/>
          </w:tcPr>
          <w:p w14:paraId="0B05C8DF" w14:textId="77777777" w:rsidR="009E5198" w:rsidRPr="00736D0B" w:rsidRDefault="009E5198" w:rsidP="009345F8">
            <w:pPr>
              <w:pStyle w:val="Table"/>
              <w:jc w:val="right"/>
              <w:rPr>
                <w:sz w:val="18"/>
                <w:szCs w:val="18"/>
              </w:rPr>
            </w:pPr>
            <w:r>
              <w:rPr>
                <w:sz w:val="18"/>
                <w:szCs w:val="18"/>
              </w:rPr>
              <w:t>Yes</w:t>
            </w:r>
          </w:p>
        </w:tc>
        <w:tc>
          <w:tcPr>
            <w:tcW w:w="1276" w:type="dxa"/>
            <w:gridSpan w:val="2"/>
            <w:vAlign w:val="center"/>
          </w:tcPr>
          <w:p w14:paraId="77F7CBCE" w14:textId="77777777" w:rsidR="009E5198" w:rsidRPr="00736D0B" w:rsidRDefault="009E5198" w:rsidP="009345F8">
            <w:pPr>
              <w:pStyle w:val="Table"/>
              <w:jc w:val="right"/>
              <w:rPr>
                <w:sz w:val="18"/>
                <w:szCs w:val="18"/>
              </w:rPr>
            </w:pPr>
            <w:r>
              <w:rPr>
                <w:sz w:val="18"/>
                <w:szCs w:val="18"/>
              </w:rPr>
              <w:t>Yes</w:t>
            </w:r>
          </w:p>
        </w:tc>
        <w:tc>
          <w:tcPr>
            <w:tcW w:w="1134" w:type="dxa"/>
            <w:gridSpan w:val="2"/>
            <w:vAlign w:val="center"/>
          </w:tcPr>
          <w:p w14:paraId="785291E6" w14:textId="77777777" w:rsidR="009E5198" w:rsidRPr="00736D0B" w:rsidRDefault="009E5198" w:rsidP="009345F8">
            <w:pPr>
              <w:pStyle w:val="Table"/>
              <w:jc w:val="right"/>
              <w:rPr>
                <w:sz w:val="18"/>
                <w:szCs w:val="18"/>
              </w:rPr>
            </w:pPr>
            <w:r>
              <w:rPr>
                <w:sz w:val="18"/>
                <w:szCs w:val="18"/>
              </w:rPr>
              <w:t>Yes</w:t>
            </w:r>
          </w:p>
        </w:tc>
        <w:tc>
          <w:tcPr>
            <w:tcW w:w="1141" w:type="dxa"/>
            <w:vAlign w:val="center"/>
          </w:tcPr>
          <w:p w14:paraId="12B40C55" w14:textId="77777777" w:rsidR="009E5198" w:rsidRPr="00736D0B" w:rsidRDefault="009E5198" w:rsidP="009345F8">
            <w:pPr>
              <w:pStyle w:val="Table"/>
              <w:jc w:val="right"/>
              <w:rPr>
                <w:sz w:val="18"/>
                <w:szCs w:val="18"/>
              </w:rPr>
            </w:pPr>
            <w:r>
              <w:rPr>
                <w:sz w:val="18"/>
                <w:szCs w:val="18"/>
              </w:rPr>
              <w:t>Yes</w:t>
            </w:r>
          </w:p>
        </w:tc>
      </w:tr>
      <w:tr w:rsidR="009E5198" w:rsidRPr="00736D0B" w14:paraId="3A8E9D44" w14:textId="77777777" w:rsidTr="009345F8">
        <w:trPr>
          <w:trHeight w:val="293"/>
        </w:trPr>
        <w:tc>
          <w:tcPr>
            <w:tcW w:w="3681" w:type="dxa"/>
            <w:gridSpan w:val="2"/>
            <w:vAlign w:val="center"/>
          </w:tcPr>
          <w:p w14:paraId="4D7EAAB5" w14:textId="77777777" w:rsidR="009E5198" w:rsidRPr="00736D0B" w:rsidRDefault="009E5198" w:rsidP="009345F8">
            <w:pPr>
              <w:pStyle w:val="Table"/>
              <w:rPr>
                <w:sz w:val="18"/>
                <w:szCs w:val="18"/>
              </w:rPr>
            </w:pPr>
            <w:r w:rsidRPr="00736D0B">
              <w:rPr>
                <w:sz w:val="18"/>
                <w:szCs w:val="18"/>
              </w:rPr>
              <w:t>Income</w:t>
            </w:r>
            <w:r>
              <w:rPr>
                <w:sz w:val="18"/>
                <w:szCs w:val="18"/>
              </w:rPr>
              <w:t>, Rail and Transportation Voucher</w:t>
            </w:r>
          </w:p>
        </w:tc>
        <w:tc>
          <w:tcPr>
            <w:tcW w:w="992" w:type="dxa"/>
            <w:gridSpan w:val="2"/>
            <w:vAlign w:val="center"/>
          </w:tcPr>
          <w:p w14:paraId="0F67CB2E" w14:textId="77777777" w:rsidR="009E5198" w:rsidRPr="00736D0B" w:rsidRDefault="009E5198" w:rsidP="009345F8">
            <w:pPr>
              <w:pStyle w:val="Table"/>
              <w:jc w:val="right"/>
              <w:rPr>
                <w:sz w:val="18"/>
                <w:szCs w:val="18"/>
              </w:rPr>
            </w:pPr>
            <w:r>
              <w:rPr>
                <w:sz w:val="18"/>
                <w:szCs w:val="18"/>
              </w:rPr>
              <w:t>No</w:t>
            </w:r>
          </w:p>
        </w:tc>
        <w:tc>
          <w:tcPr>
            <w:tcW w:w="1134" w:type="dxa"/>
            <w:gridSpan w:val="2"/>
            <w:vAlign w:val="center"/>
          </w:tcPr>
          <w:p w14:paraId="1BEA6CFE" w14:textId="77777777" w:rsidR="009E5198" w:rsidRPr="00736D0B" w:rsidRDefault="009E5198" w:rsidP="009345F8">
            <w:pPr>
              <w:pStyle w:val="Table"/>
              <w:jc w:val="right"/>
              <w:rPr>
                <w:sz w:val="18"/>
                <w:szCs w:val="18"/>
              </w:rPr>
            </w:pPr>
            <w:r>
              <w:rPr>
                <w:sz w:val="18"/>
                <w:szCs w:val="18"/>
              </w:rPr>
              <w:t>Yes</w:t>
            </w:r>
          </w:p>
        </w:tc>
        <w:tc>
          <w:tcPr>
            <w:tcW w:w="1276" w:type="dxa"/>
            <w:gridSpan w:val="2"/>
            <w:vAlign w:val="center"/>
          </w:tcPr>
          <w:p w14:paraId="0B64187B" w14:textId="77777777" w:rsidR="009E5198" w:rsidRPr="00736D0B" w:rsidRDefault="009E5198" w:rsidP="009345F8">
            <w:pPr>
              <w:pStyle w:val="Table"/>
              <w:jc w:val="right"/>
              <w:rPr>
                <w:sz w:val="18"/>
                <w:szCs w:val="18"/>
              </w:rPr>
            </w:pPr>
            <w:r>
              <w:rPr>
                <w:sz w:val="18"/>
                <w:szCs w:val="18"/>
              </w:rPr>
              <w:t>Yes</w:t>
            </w:r>
          </w:p>
        </w:tc>
        <w:tc>
          <w:tcPr>
            <w:tcW w:w="1134" w:type="dxa"/>
            <w:gridSpan w:val="2"/>
            <w:vAlign w:val="center"/>
          </w:tcPr>
          <w:p w14:paraId="1A0BCFBF" w14:textId="77777777" w:rsidR="009E5198" w:rsidRPr="00736D0B" w:rsidRDefault="009E5198" w:rsidP="009345F8">
            <w:pPr>
              <w:pStyle w:val="Table"/>
              <w:jc w:val="right"/>
              <w:rPr>
                <w:sz w:val="18"/>
                <w:szCs w:val="18"/>
              </w:rPr>
            </w:pPr>
            <w:r>
              <w:rPr>
                <w:sz w:val="18"/>
                <w:szCs w:val="18"/>
              </w:rPr>
              <w:t>Yes</w:t>
            </w:r>
          </w:p>
        </w:tc>
        <w:tc>
          <w:tcPr>
            <w:tcW w:w="1141" w:type="dxa"/>
            <w:vAlign w:val="center"/>
          </w:tcPr>
          <w:p w14:paraId="522D9A8B" w14:textId="77777777" w:rsidR="009E5198" w:rsidRPr="00736D0B" w:rsidRDefault="009E5198" w:rsidP="009345F8">
            <w:pPr>
              <w:pStyle w:val="Table"/>
              <w:jc w:val="right"/>
              <w:rPr>
                <w:sz w:val="18"/>
                <w:szCs w:val="18"/>
              </w:rPr>
            </w:pPr>
            <w:r>
              <w:rPr>
                <w:sz w:val="18"/>
                <w:szCs w:val="18"/>
              </w:rPr>
              <w:t>Yes</w:t>
            </w:r>
          </w:p>
        </w:tc>
      </w:tr>
      <w:tr w:rsidR="009E5198" w:rsidRPr="00736D0B" w14:paraId="169B2C9E" w14:textId="77777777" w:rsidTr="009345F8">
        <w:trPr>
          <w:trHeight w:val="293"/>
        </w:trPr>
        <w:tc>
          <w:tcPr>
            <w:tcW w:w="3681" w:type="dxa"/>
            <w:gridSpan w:val="2"/>
            <w:vAlign w:val="center"/>
          </w:tcPr>
          <w:p w14:paraId="0C33FA38" w14:textId="77777777" w:rsidR="009E5198" w:rsidRPr="00736D0B" w:rsidRDefault="009E5198" w:rsidP="009345F8">
            <w:pPr>
              <w:pStyle w:val="Table"/>
              <w:rPr>
                <w:sz w:val="18"/>
                <w:szCs w:val="18"/>
              </w:rPr>
            </w:pPr>
            <w:r>
              <w:rPr>
                <w:sz w:val="18"/>
                <w:szCs w:val="18"/>
              </w:rPr>
              <w:lastRenderedPageBreak/>
              <w:t>BRT, Students and CEU</w:t>
            </w:r>
          </w:p>
        </w:tc>
        <w:tc>
          <w:tcPr>
            <w:tcW w:w="992" w:type="dxa"/>
            <w:gridSpan w:val="2"/>
            <w:vAlign w:val="center"/>
          </w:tcPr>
          <w:p w14:paraId="4112F8E1" w14:textId="77777777" w:rsidR="009E5198" w:rsidRPr="00736D0B" w:rsidRDefault="009E5198" w:rsidP="009345F8">
            <w:pPr>
              <w:pStyle w:val="Table"/>
              <w:jc w:val="right"/>
              <w:rPr>
                <w:sz w:val="18"/>
                <w:szCs w:val="18"/>
              </w:rPr>
            </w:pPr>
            <w:r>
              <w:rPr>
                <w:sz w:val="18"/>
                <w:szCs w:val="18"/>
              </w:rPr>
              <w:t>No</w:t>
            </w:r>
          </w:p>
        </w:tc>
        <w:tc>
          <w:tcPr>
            <w:tcW w:w="1134" w:type="dxa"/>
            <w:gridSpan w:val="2"/>
            <w:vAlign w:val="center"/>
          </w:tcPr>
          <w:p w14:paraId="0FE2B4F8" w14:textId="77777777" w:rsidR="009E5198" w:rsidRPr="00736D0B" w:rsidRDefault="009E5198" w:rsidP="009345F8">
            <w:pPr>
              <w:pStyle w:val="Table"/>
              <w:jc w:val="right"/>
              <w:rPr>
                <w:sz w:val="18"/>
                <w:szCs w:val="18"/>
              </w:rPr>
            </w:pPr>
            <w:r>
              <w:rPr>
                <w:sz w:val="18"/>
                <w:szCs w:val="18"/>
              </w:rPr>
              <w:t>No</w:t>
            </w:r>
          </w:p>
        </w:tc>
        <w:tc>
          <w:tcPr>
            <w:tcW w:w="1276" w:type="dxa"/>
            <w:gridSpan w:val="2"/>
            <w:vAlign w:val="center"/>
          </w:tcPr>
          <w:p w14:paraId="074550C9" w14:textId="77777777" w:rsidR="009E5198" w:rsidRPr="00736D0B" w:rsidRDefault="009E5198" w:rsidP="009345F8">
            <w:pPr>
              <w:pStyle w:val="Table"/>
              <w:jc w:val="right"/>
              <w:rPr>
                <w:sz w:val="18"/>
                <w:szCs w:val="18"/>
              </w:rPr>
            </w:pPr>
            <w:r>
              <w:rPr>
                <w:sz w:val="18"/>
                <w:szCs w:val="18"/>
              </w:rPr>
              <w:t>Yes</w:t>
            </w:r>
          </w:p>
        </w:tc>
        <w:tc>
          <w:tcPr>
            <w:tcW w:w="1134" w:type="dxa"/>
            <w:gridSpan w:val="2"/>
            <w:vAlign w:val="center"/>
          </w:tcPr>
          <w:p w14:paraId="0938D576" w14:textId="77777777" w:rsidR="009E5198" w:rsidRPr="00736D0B" w:rsidRDefault="009E5198" w:rsidP="009345F8">
            <w:pPr>
              <w:pStyle w:val="Table"/>
              <w:jc w:val="right"/>
              <w:rPr>
                <w:sz w:val="18"/>
                <w:szCs w:val="18"/>
              </w:rPr>
            </w:pPr>
            <w:r>
              <w:rPr>
                <w:sz w:val="18"/>
                <w:szCs w:val="18"/>
              </w:rPr>
              <w:t>Yes</w:t>
            </w:r>
          </w:p>
        </w:tc>
        <w:tc>
          <w:tcPr>
            <w:tcW w:w="1141" w:type="dxa"/>
            <w:vAlign w:val="center"/>
          </w:tcPr>
          <w:p w14:paraId="6461CA4F" w14:textId="77777777" w:rsidR="009E5198" w:rsidRPr="00736D0B" w:rsidRDefault="009E5198" w:rsidP="009345F8">
            <w:pPr>
              <w:pStyle w:val="Table"/>
              <w:jc w:val="right"/>
              <w:rPr>
                <w:sz w:val="18"/>
                <w:szCs w:val="18"/>
              </w:rPr>
            </w:pPr>
            <w:r>
              <w:rPr>
                <w:sz w:val="18"/>
                <w:szCs w:val="18"/>
              </w:rPr>
              <w:t>Yes</w:t>
            </w:r>
          </w:p>
        </w:tc>
      </w:tr>
      <w:tr w:rsidR="009E5198" w:rsidRPr="00736D0B" w14:paraId="16E8EF27" w14:textId="77777777" w:rsidTr="009345F8">
        <w:trPr>
          <w:trHeight w:val="293"/>
        </w:trPr>
        <w:tc>
          <w:tcPr>
            <w:tcW w:w="3681" w:type="dxa"/>
            <w:gridSpan w:val="2"/>
            <w:vAlign w:val="center"/>
          </w:tcPr>
          <w:p w14:paraId="5A0B5CCC" w14:textId="77777777" w:rsidR="009E5198" w:rsidRPr="00736D0B" w:rsidRDefault="009E5198" w:rsidP="009345F8">
            <w:pPr>
              <w:pStyle w:val="Table"/>
              <w:rPr>
                <w:sz w:val="18"/>
                <w:szCs w:val="18"/>
              </w:rPr>
            </w:pPr>
            <w:r>
              <w:rPr>
                <w:sz w:val="18"/>
                <w:szCs w:val="18"/>
              </w:rPr>
              <w:t>Interactions with Income, BRT, Students and CEU</w:t>
            </w:r>
          </w:p>
        </w:tc>
        <w:tc>
          <w:tcPr>
            <w:tcW w:w="992" w:type="dxa"/>
            <w:gridSpan w:val="2"/>
            <w:vAlign w:val="center"/>
          </w:tcPr>
          <w:p w14:paraId="00F3EF2E" w14:textId="77777777" w:rsidR="009E5198" w:rsidRPr="00736D0B" w:rsidRDefault="009E5198" w:rsidP="009345F8">
            <w:pPr>
              <w:pStyle w:val="Table"/>
              <w:jc w:val="right"/>
              <w:rPr>
                <w:sz w:val="18"/>
                <w:szCs w:val="18"/>
              </w:rPr>
            </w:pPr>
            <w:r>
              <w:rPr>
                <w:sz w:val="18"/>
                <w:szCs w:val="18"/>
              </w:rPr>
              <w:t>No</w:t>
            </w:r>
          </w:p>
        </w:tc>
        <w:tc>
          <w:tcPr>
            <w:tcW w:w="1134" w:type="dxa"/>
            <w:gridSpan w:val="2"/>
            <w:vAlign w:val="center"/>
          </w:tcPr>
          <w:p w14:paraId="292B6EDC" w14:textId="77777777" w:rsidR="009E5198" w:rsidRPr="00736D0B" w:rsidRDefault="009E5198" w:rsidP="009345F8">
            <w:pPr>
              <w:pStyle w:val="Table"/>
              <w:jc w:val="right"/>
              <w:rPr>
                <w:sz w:val="18"/>
                <w:szCs w:val="18"/>
              </w:rPr>
            </w:pPr>
            <w:r>
              <w:rPr>
                <w:sz w:val="18"/>
                <w:szCs w:val="18"/>
              </w:rPr>
              <w:t>No</w:t>
            </w:r>
          </w:p>
        </w:tc>
        <w:tc>
          <w:tcPr>
            <w:tcW w:w="1276" w:type="dxa"/>
            <w:gridSpan w:val="2"/>
            <w:vAlign w:val="center"/>
          </w:tcPr>
          <w:p w14:paraId="0248BBC7" w14:textId="77777777" w:rsidR="009E5198" w:rsidRPr="00736D0B" w:rsidRDefault="009E5198" w:rsidP="009345F8">
            <w:pPr>
              <w:pStyle w:val="Table"/>
              <w:jc w:val="right"/>
              <w:rPr>
                <w:sz w:val="18"/>
                <w:szCs w:val="18"/>
              </w:rPr>
            </w:pPr>
            <w:r>
              <w:rPr>
                <w:sz w:val="18"/>
                <w:szCs w:val="18"/>
              </w:rPr>
              <w:t>No</w:t>
            </w:r>
          </w:p>
        </w:tc>
        <w:tc>
          <w:tcPr>
            <w:tcW w:w="1134" w:type="dxa"/>
            <w:gridSpan w:val="2"/>
            <w:vAlign w:val="center"/>
          </w:tcPr>
          <w:p w14:paraId="3B5875B5" w14:textId="77777777" w:rsidR="009E5198" w:rsidRPr="00736D0B" w:rsidRDefault="009E5198" w:rsidP="009345F8">
            <w:pPr>
              <w:pStyle w:val="Table"/>
              <w:jc w:val="right"/>
              <w:rPr>
                <w:sz w:val="18"/>
                <w:szCs w:val="18"/>
              </w:rPr>
            </w:pPr>
            <w:r>
              <w:rPr>
                <w:sz w:val="18"/>
                <w:szCs w:val="18"/>
              </w:rPr>
              <w:t>Yes</w:t>
            </w:r>
          </w:p>
        </w:tc>
        <w:tc>
          <w:tcPr>
            <w:tcW w:w="1141" w:type="dxa"/>
            <w:vAlign w:val="center"/>
          </w:tcPr>
          <w:p w14:paraId="4BA869A0" w14:textId="77777777" w:rsidR="009E5198" w:rsidRPr="00736D0B" w:rsidRDefault="009E5198" w:rsidP="009345F8">
            <w:pPr>
              <w:pStyle w:val="Table"/>
              <w:jc w:val="right"/>
              <w:rPr>
                <w:sz w:val="18"/>
                <w:szCs w:val="18"/>
              </w:rPr>
            </w:pPr>
            <w:r>
              <w:rPr>
                <w:sz w:val="18"/>
                <w:szCs w:val="18"/>
              </w:rPr>
              <w:t>Yes</w:t>
            </w:r>
          </w:p>
        </w:tc>
      </w:tr>
      <w:tr w:rsidR="009E5198" w:rsidRPr="00736D0B" w14:paraId="4095A4E9" w14:textId="77777777" w:rsidTr="009345F8">
        <w:trPr>
          <w:trHeight w:val="293"/>
        </w:trPr>
        <w:tc>
          <w:tcPr>
            <w:tcW w:w="3681" w:type="dxa"/>
            <w:gridSpan w:val="2"/>
            <w:tcBorders>
              <w:bottom w:val="single" w:sz="4" w:space="0" w:color="auto"/>
            </w:tcBorders>
            <w:vAlign w:val="center"/>
          </w:tcPr>
          <w:p w14:paraId="012B5E59" w14:textId="77777777" w:rsidR="009E5198" w:rsidRPr="00736D0B" w:rsidRDefault="009E5198" w:rsidP="009345F8">
            <w:pPr>
              <w:pStyle w:val="Table"/>
              <w:rPr>
                <w:sz w:val="18"/>
                <w:szCs w:val="18"/>
              </w:rPr>
            </w:pPr>
            <w:r>
              <w:rPr>
                <w:sz w:val="18"/>
                <w:szCs w:val="18"/>
              </w:rPr>
              <w:t>Interactions with Rail and Transportation Voucher</w:t>
            </w:r>
          </w:p>
        </w:tc>
        <w:tc>
          <w:tcPr>
            <w:tcW w:w="992" w:type="dxa"/>
            <w:gridSpan w:val="2"/>
            <w:tcBorders>
              <w:bottom w:val="single" w:sz="4" w:space="0" w:color="auto"/>
            </w:tcBorders>
            <w:vAlign w:val="center"/>
          </w:tcPr>
          <w:p w14:paraId="77CF3221" w14:textId="77777777" w:rsidR="009E5198" w:rsidRPr="00736D0B" w:rsidRDefault="009E5198" w:rsidP="009345F8">
            <w:pPr>
              <w:pStyle w:val="Table"/>
              <w:jc w:val="right"/>
              <w:rPr>
                <w:sz w:val="18"/>
                <w:szCs w:val="18"/>
              </w:rPr>
            </w:pPr>
            <w:r>
              <w:rPr>
                <w:sz w:val="18"/>
                <w:szCs w:val="18"/>
              </w:rPr>
              <w:t>No</w:t>
            </w:r>
          </w:p>
        </w:tc>
        <w:tc>
          <w:tcPr>
            <w:tcW w:w="1134" w:type="dxa"/>
            <w:gridSpan w:val="2"/>
            <w:tcBorders>
              <w:bottom w:val="single" w:sz="4" w:space="0" w:color="auto"/>
            </w:tcBorders>
            <w:vAlign w:val="center"/>
          </w:tcPr>
          <w:p w14:paraId="62C305DD" w14:textId="77777777" w:rsidR="009E5198" w:rsidRPr="00736D0B" w:rsidRDefault="009E5198" w:rsidP="009345F8">
            <w:pPr>
              <w:pStyle w:val="Table"/>
              <w:jc w:val="right"/>
              <w:rPr>
                <w:sz w:val="18"/>
                <w:szCs w:val="18"/>
              </w:rPr>
            </w:pPr>
            <w:r>
              <w:rPr>
                <w:sz w:val="18"/>
                <w:szCs w:val="18"/>
              </w:rPr>
              <w:t>No</w:t>
            </w:r>
          </w:p>
        </w:tc>
        <w:tc>
          <w:tcPr>
            <w:tcW w:w="1276" w:type="dxa"/>
            <w:gridSpan w:val="2"/>
            <w:tcBorders>
              <w:bottom w:val="single" w:sz="4" w:space="0" w:color="auto"/>
            </w:tcBorders>
            <w:vAlign w:val="center"/>
          </w:tcPr>
          <w:p w14:paraId="6EC4C7A0" w14:textId="77777777" w:rsidR="009E5198" w:rsidRPr="00736D0B" w:rsidRDefault="009E5198" w:rsidP="009345F8">
            <w:pPr>
              <w:pStyle w:val="Table"/>
              <w:jc w:val="right"/>
              <w:rPr>
                <w:sz w:val="18"/>
                <w:szCs w:val="18"/>
              </w:rPr>
            </w:pPr>
            <w:r>
              <w:rPr>
                <w:sz w:val="18"/>
                <w:szCs w:val="18"/>
              </w:rPr>
              <w:t>No</w:t>
            </w:r>
          </w:p>
        </w:tc>
        <w:tc>
          <w:tcPr>
            <w:tcW w:w="1134" w:type="dxa"/>
            <w:gridSpan w:val="2"/>
            <w:tcBorders>
              <w:bottom w:val="single" w:sz="4" w:space="0" w:color="auto"/>
            </w:tcBorders>
            <w:vAlign w:val="center"/>
          </w:tcPr>
          <w:p w14:paraId="0E2B24E3" w14:textId="77777777" w:rsidR="009E5198" w:rsidRPr="00736D0B" w:rsidRDefault="009E5198" w:rsidP="009345F8">
            <w:pPr>
              <w:pStyle w:val="Table"/>
              <w:jc w:val="right"/>
              <w:rPr>
                <w:sz w:val="18"/>
                <w:szCs w:val="18"/>
              </w:rPr>
            </w:pPr>
            <w:r>
              <w:rPr>
                <w:sz w:val="18"/>
                <w:szCs w:val="18"/>
              </w:rPr>
              <w:t>No</w:t>
            </w:r>
          </w:p>
        </w:tc>
        <w:tc>
          <w:tcPr>
            <w:tcW w:w="1141" w:type="dxa"/>
            <w:tcBorders>
              <w:bottom w:val="single" w:sz="4" w:space="0" w:color="auto"/>
            </w:tcBorders>
            <w:vAlign w:val="center"/>
          </w:tcPr>
          <w:p w14:paraId="2832D156" w14:textId="77777777" w:rsidR="009E5198" w:rsidRPr="00736D0B" w:rsidRDefault="009E5198" w:rsidP="009345F8">
            <w:pPr>
              <w:pStyle w:val="Table"/>
              <w:jc w:val="right"/>
              <w:rPr>
                <w:sz w:val="18"/>
                <w:szCs w:val="18"/>
              </w:rPr>
            </w:pPr>
            <w:r>
              <w:rPr>
                <w:sz w:val="18"/>
                <w:szCs w:val="18"/>
              </w:rPr>
              <w:t>Yes</w:t>
            </w:r>
          </w:p>
        </w:tc>
      </w:tr>
      <w:tr w:rsidR="009D57C0" w:rsidRPr="00657BE6" w14:paraId="4BB181DA" w14:textId="77777777" w:rsidTr="009345F8">
        <w:trPr>
          <w:trHeight w:val="296"/>
        </w:trPr>
        <w:tc>
          <w:tcPr>
            <w:tcW w:w="3503" w:type="dxa"/>
            <w:vAlign w:val="center"/>
          </w:tcPr>
          <w:p w14:paraId="67384E2B" w14:textId="77777777" w:rsidR="009D57C0" w:rsidRPr="00657BE6" w:rsidRDefault="009D57C0" w:rsidP="009345F8">
            <w:pPr>
              <w:pStyle w:val="Table"/>
              <w:rPr>
                <w:sz w:val="18"/>
                <w:szCs w:val="18"/>
              </w:rPr>
            </w:pPr>
            <w:r w:rsidRPr="00657BE6">
              <w:rPr>
                <w:sz w:val="18"/>
                <w:szCs w:val="18"/>
              </w:rPr>
              <w:t>Observations</w:t>
            </w:r>
          </w:p>
        </w:tc>
        <w:tc>
          <w:tcPr>
            <w:tcW w:w="1095" w:type="dxa"/>
            <w:gridSpan w:val="2"/>
            <w:vAlign w:val="center"/>
          </w:tcPr>
          <w:p w14:paraId="761BC2BA" w14:textId="77777777" w:rsidR="009D57C0" w:rsidRPr="00657BE6" w:rsidRDefault="009D57C0" w:rsidP="009345F8">
            <w:pPr>
              <w:pStyle w:val="Table"/>
              <w:jc w:val="right"/>
              <w:rPr>
                <w:sz w:val="18"/>
                <w:szCs w:val="18"/>
              </w:rPr>
            </w:pPr>
            <w:r w:rsidRPr="00657BE6">
              <w:rPr>
                <w:sz w:val="18"/>
                <w:szCs w:val="18"/>
              </w:rPr>
              <w:t>422</w:t>
            </w:r>
          </w:p>
        </w:tc>
        <w:tc>
          <w:tcPr>
            <w:tcW w:w="1149" w:type="dxa"/>
            <w:gridSpan w:val="2"/>
            <w:vAlign w:val="center"/>
          </w:tcPr>
          <w:p w14:paraId="220A441F" w14:textId="77777777" w:rsidR="009D57C0" w:rsidRPr="00657BE6" w:rsidRDefault="009D57C0" w:rsidP="009345F8">
            <w:pPr>
              <w:pStyle w:val="Table"/>
              <w:jc w:val="right"/>
              <w:rPr>
                <w:sz w:val="18"/>
                <w:szCs w:val="18"/>
              </w:rPr>
            </w:pPr>
            <w:r w:rsidRPr="00657BE6">
              <w:rPr>
                <w:sz w:val="18"/>
                <w:szCs w:val="18"/>
              </w:rPr>
              <w:t>422</w:t>
            </w:r>
          </w:p>
        </w:tc>
        <w:tc>
          <w:tcPr>
            <w:tcW w:w="1175" w:type="dxa"/>
            <w:gridSpan w:val="2"/>
            <w:vAlign w:val="center"/>
          </w:tcPr>
          <w:p w14:paraId="7EE4181F" w14:textId="77777777" w:rsidR="009D57C0" w:rsidRPr="00657BE6" w:rsidRDefault="009D57C0" w:rsidP="009345F8">
            <w:pPr>
              <w:pStyle w:val="Table"/>
              <w:jc w:val="right"/>
              <w:rPr>
                <w:sz w:val="18"/>
                <w:szCs w:val="18"/>
              </w:rPr>
            </w:pPr>
            <w:r w:rsidRPr="00657BE6">
              <w:rPr>
                <w:sz w:val="18"/>
                <w:szCs w:val="18"/>
              </w:rPr>
              <w:t>422</w:t>
            </w:r>
          </w:p>
        </w:tc>
        <w:tc>
          <w:tcPr>
            <w:tcW w:w="1217" w:type="dxa"/>
            <w:gridSpan w:val="2"/>
            <w:vAlign w:val="center"/>
          </w:tcPr>
          <w:p w14:paraId="0F7E6CAE" w14:textId="77777777" w:rsidR="009D57C0" w:rsidRPr="00657BE6" w:rsidRDefault="009D57C0" w:rsidP="009345F8">
            <w:pPr>
              <w:pStyle w:val="Table"/>
              <w:jc w:val="right"/>
              <w:rPr>
                <w:sz w:val="18"/>
                <w:szCs w:val="18"/>
              </w:rPr>
            </w:pPr>
            <w:r w:rsidRPr="00657BE6">
              <w:rPr>
                <w:sz w:val="18"/>
                <w:szCs w:val="18"/>
              </w:rPr>
              <w:t>422</w:t>
            </w:r>
          </w:p>
        </w:tc>
        <w:tc>
          <w:tcPr>
            <w:tcW w:w="1219" w:type="dxa"/>
            <w:gridSpan w:val="2"/>
            <w:vAlign w:val="center"/>
          </w:tcPr>
          <w:p w14:paraId="001BF5CE" w14:textId="77777777" w:rsidR="009D57C0" w:rsidRPr="00657BE6" w:rsidRDefault="009D57C0" w:rsidP="009345F8">
            <w:pPr>
              <w:pStyle w:val="Table"/>
              <w:jc w:val="right"/>
              <w:rPr>
                <w:sz w:val="18"/>
                <w:szCs w:val="18"/>
              </w:rPr>
            </w:pPr>
            <w:r w:rsidRPr="00657BE6">
              <w:rPr>
                <w:sz w:val="18"/>
                <w:szCs w:val="18"/>
              </w:rPr>
              <w:t>422</w:t>
            </w:r>
          </w:p>
        </w:tc>
      </w:tr>
      <w:tr w:rsidR="009D57C0" w:rsidRPr="00657BE6" w14:paraId="52B10E20" w14:textId="77777777" w:rsidTr="009D57C0">
        <w:trPr>
          <w:trHeight w:val="296"/>
        </w:trPr>
        <w:tc>
          <w:tcPr>
            <w:tcW w:w="3503" w:type="dxa"/>
            <w:vAlign w:val="center"/>
          </w:tcPr>
          <w:p w14:paraId="73CF73DE" w14:textId="77777777" w:rsidR="009D57C0" w:rsidRPr="00657BE6" w:rsidRDefault="009D57C0" w:rsidP="009345F8">
            <w:pPr>
              <w:pStyle w:val="Table"/>
              <w:rPr>
                <w:sz w:val="18"/>
                <w:szCs w:val="18"/>
              </w:rPr>
            </w:pPr>
            <w:r w:rsidRPr="00657BE6">
              <w:rPr>
                <w:sz w:val="18"/>
                <w:szCs w:val="18"/>
              </w:rPr>
              <w:t>Adjusted R-squared</w:t>
            </w:r>
          </w:p>
        </w:tc>
        <w:tc>
          <w:tcPr>
            <w:tcW w:w="1095" w:type="dxa"/>
            <w:gridSpan w:val="2"/>
            <w:vAlign w:val="center"/>
          </w:tcPr>
          <w:p w14:paraId="789CF48B" w14:textId="77777777" w:rsidR="009D57C0" w:rsidRPr="00657BE6" w:rsidRDefault="009D57C0" w:rsidP="009345F8">
            <w:pPr>
              <w:pStyle w:val="Table"/>
              <w:jc w:val="right"/>
              <w:rPr>
                <w:sz w:val="18"/>
                <w:szCs w:val="18"/>
              </w:rPr>
            </w:pPr>
            <w:r w:rsidRPr="00657BE6">
              <w:rPr>
                <w:sz w:val="18"/>
                <w:szCs w:val="18"/>
              </w:rPr>
              <w:t>0.251</w:t>
            </w:r>
          </w:p>
        </w:tc>
        <w:tc>
          <w:tcPr>
            <w:tcW w:w="1149" w:type="dxa"/>
            <w:gridSpan w:val="2"/>
            <w:vAlign w:val="center"/>
          </w:tcPr>
          <w:p w14:paraId="385E8417" w14:textId="77777777" w:rsidR="009D57C0" w:rsidRPr="00657BE6" w:rsidRDefault="009D57C0" w:rsidP="009345F8">
            <w:pPr>
              <w:pStyle w:val="Table"/>
              <w:jc w:val="right"/>
              <w:rPr>
                <w:sz w:val="18"/>
                <w:szCs w:val="18"/>
              </w:rPr>
            </w:pPr>
            <w:r w:rsidRPr="00657BE6">
              <w:rPr>
                <w:sz w:val="18"/>
                <w:szCs w:val="18"/>
              </w:rPr>
              <w:t>0.386</w:t>
            </w:r>
          </w:p>
        </w:tc>
        <w:tc>
          <w:tcPr>
            <w:tcW w:w="1175" w:type="dxa"/>
            <w:gridSpan w:val="2"/>
            <w:vAlign w:val="center"/>
          </w:tcPr>
          <w:p w14:paraId="1CFE291E" w14:textId="77777777" w:rsidR="009D57C0" w:rsidRPr="00657BE6" w:rsidRDefault="009D57C0" w:rsidP="009345F8">
            <w:pPr>
              <w:pStyle w:val="Table"/>
              <w:jc w:val="right"/>
              <w:rPr>
                <w:sz w:val="18"/>
                <w:szCs w:val="18"/>
              </w:rPr>
            </w:pPr>
            <w:r w:rsidRPr="00657BE6">
              <w:rPr>
                <w:sz w:val="18"/>
                <w:szCs w:val="18"/>
              </w:rPr>
              <w:t>0.402</w:t>
            </w:r>
          </w:p>
        </w:tc>
        <w:tc>
          <w:tcPr>
            <w:tcW w:w="1217" w:type="dxa"/>
            <w:gridSpan w:val="2"/>
            <w:vAlign w:val="center"/>
          </w:tcPr>
          <w:p w14:paraId="5D7C37AB" w14:textId="77777777" w:rsidR="009D57C0" w:rsidRPr="00657BE6" w:rsidRDefault="009D57C0" w:rsidP="009345F8">
            <w:pPr>
              <w:pStyle w:val="Table"/>
              <w:jc w:val="right"/>
              <w:rPr>
                <w:sz w:val="18"/>
                <w:szCs w:val="18"/>
              </w:rPr>
            </w:pPr>
            <w:r w:rsidRPr="00657BE6">
              <w:rPr>
                <w:sz w:val="18"/>
                <w:szCs w:val="18"/>
              </w:rPr>
              <w:t>0.401</w:t>
            </w:r>
          </w:p>
        </w:tc>
        <w:tc>
          <w:tcPr>
            <w:tcW w:w="1219" w:type="dxa"/>
            <w:gridSpan w:val="2"/>
            <w:vAlign w:val="center"/>
          </w:tcPr>
          <w:p w14:paraId="017077D0" w14:textId="77777777" w:rsidR="009D57C0" w:rsidRPr="00657BE6" w:rsidRDefault="009D57C0" w:rsidP="009345F8">
            <w:pPr>
              <w:pStyle w:val="Table"/>
              <w:jc w:val="right"/>
              <w:rPr>
                <w:sz w:val="18"/>
                <w:szCs w:val="18"/>
              </w:rPr>
            </w:pPr>
            <w:r w:rsidRPr="00657BE6">
              <w:rPr>
                <w:sz w:val="18"/>
                <w:szCs w:val="18"/>
              </w:rPr>
              <w:t>0.401</w:t>
            </w:r>
          </w:p>
        </w:tc>
      </w:tr>
      <w:tr w:rsidR="009E5198" w:rsidRPr="00657BE6" w14:paraId="01FA0070" w14:textId="77777777" w:rsidTr="009D57C0">
        <w:trPr>
          <w:trHeight w:val="332"/>
        </w:trPr>
        <w:tc>
          <w:tcPr>
            <w:tcW w:w="3503" w:type="dxa"/>
            <w:vAlign w:val="center"/>
          </w:tcPr>
          <w:p w14:paraId="47E46239" w14:textId="77777777" w:rsidR="009E5198" w:rsidRPr="0072489C" w:rsidRDefault="009E5198" w:rsidP="009345F8">
            <w:pPr>
              <w:pStyle w:val="Table"/>
              <w:rPr>
                <w:sz w:val="18"/>
                <w:szCs w:val="18"/>
              </w:rPr>
            </w:pPr>
            <w:r w:rsidRPr="00657BE6">
              <w:rPr>
                <w:sz w:val="18"/>
                <w:szCs w:val="18"/>
              </w:rPr>
              <w:t>Interaction terms F-test statistic</w:t>
            </w:r>
            <w:r w:rsidRPr="0072489C">
              <w:rPr>
                <w:sz w:val="18"/>
                <w:szCs w:val="18"/>
              </w:rPr>
              <w:t>¹</w:t>
            </w:r>
          </w:p>
        </w:tc>
        <w:tc>
          <w:tcPr>
            <w:tcW w:w="1095" w:type="dxa"/>
            <w:gridSpan w:val="2"/>
            <w:vAlign w:val="center"/>
          </w:tcPr>
          <w:p w14:paraId="1F990DE9" w14:textId="77777777" w:rsidR="009E5198" w:rsidRPr="00657BE6" w:rsidRDefault="009E5198" w:rsidP="009345F8">
            <w:pPr>
              <w:pStyle w:val="Table"/>
              <w:jc w:val="right"/>
              <w:rPr>
                <w:sz w:val="18"/>
                <w:szCs w:val="18"/>
              </w:rPr>
            </w:pPr>
          </w:p>
        </w:tc>
        <w:tc>
          <w:tcPr>
            <w:tcW w:w="1149" w:type="dxa"/>
            <w:gridSpan w:val="2"/>
            <w:vAlign w:val="center"/>
          </w:tcPr>
          <w:p w14:paraId="4DB75805" w14:textId="77777777" w:rsidR="009E5198" w:rsidRPr="00657BE6" w:rsidRDefault="009E5198" w:rsidP="009345F8">
            <w:pPr>
              <w:pStyle w:val="Table"/>
              <w:jc w:val="right"/>
              <w:rPr>
                <w:sz w:val="18"/>
                <w:szCs w:val="18"/>
              </w:rPr>
            </w:pPr>
          </w:p>
        </w:tc>
        <w:tc>
          <w:tcPr>
            <w:tcW w:w="1175" w:type="dxa"/>
            <w:gridSpan w:val="2"/>
            <w:vAlign w:val="center"/>
          </w:tcPr>
          <w:p w14:paraId="0DB89063" w14:textId="77777777" w:rsidR="009E5198" w:rsidRPr="00657BE6" w:rsidRDefault="009E5198" w:rsidP="009345F8">
            <w:pPr>
              <w:pStyle w:val="Table"/>
              <w:jc w:val="right"/>
              <w:rPr>
                <w:sz w:val="18"/>
                <w:szCs w:val="18"/>
              </w:rPr>
            </w:pPr>
          </w:p>
        </w:tc>
        <w:tc>
          <w:tcPr>
            <w:tcW w:w="1217" w:type="dxa"/>
            <w:gridSpan w:val="2"/>
            <w:vAlign w:val="center"/>
          </w:tcPr>
          <w:p w14:paraId="7C87CDE6" w14:textId="77777777" w:rsidR="009E5198" w:rsidRPr="00657BE6" w:rsidRDefault="009E5198" w:rsidP="009345F8">
            <w:pPr>
              <w:pStyle w:val="Table"/>
              <w:jc w:val="right"/>
              <w:rPr>
                <w:sz w:val="18"/>
                <w:szCs w:val="18"/>
              </w:rPr>
            </w:pPr>
            <w:r w:rsidRPr="00657BE6">
              <w:rPr>
                <w:sz w:val="18"/>
                <w:szCs w:val="18"/>
              </w:rPr>
              <w:t>2.65</w:t>
            </w:r>
            <w:r>
              <w:rPr>
                <w:sz w:val="18"/>
                <w:szCs w:val="18"/>
              </w:rPr>
              <w:t>**</w:t>
            </w:r>
          </w:p>
        </w:tc>
        <w:tc>
          <w:tcPr>
            <w:tcW w:w="1219" w:type="dxa"/>
            <w:gridSpan w:val="2"/>
            <w:vAlign w:val="center"/>
          </w:tcPr>
          <w:p w14:paraId="00F2E9A5" w14:textId="77777777" w:rsidR="009E5198" w:rsidRPr="00657BE6" w:rsidRDefault="009E5198" w:rsidP="009345F8">
            <w:pPr>
              <w:pStyle w:val="Table"/>
              <w:jc w:val="right"/>
              <w:rPr>
                <w:sz w:val="18"/>
                <w:szCs w:val="18"/>
              </w:rPr>
            </w:pPr>
            <w:r w:rsidRPr="00657BE6">
              <w:rPr>
                <w:sz w:val="18"/>
                <w:szCs w:val="18"/>
              </w:rPr>
              <w:t>2.12</w:t>
            </w:r>
            <w:r>
              <w:rPr>
                <w:sz w:val="18"/>
                <w:szCs w:val="18"/>
              </w:rPr>
              <w:t>**</w:t>
            </w:r>
          </w:p>
        </w:tc>
      </w:tr>
      <w:tr w:rsidR="009E5198" w:rsidRPr="00657BE6" w14:paraId="25FC2B62" w14:textId="77777777" w:rsidTr="009345F8">
        <w:trPr>
          <w:trHeight w:val="296"/>
        </w:trPr>
        <w:tc>
          <w:tcPr>
            <w:tcW w:w="3503" w:type="dxa"/>
            <w:vAlign w:val="center"/>
          </w:tcPr>
          <w:p w14:paraId="6EEF8394" w14:textId="77777777" w:rsidR="009E5198" w:rsidRPr="00657BE6" w:rsidRDefault="009E5198" w:rsidP="009345F8">
            <w:pPr>
              <w:pStyle w:val="Table"/>
              <w:rPr>
                <w:sz w:val="18"/>
                <w:szCs w:val="18"/>
              </w:rPr>
            </w:pPr>
            <w:r w:rsidRPr="00657BE6">
              <w:rPr>
                <w:sz w:val="18"/>
                <w:szCs w:val="18"/>
              </w:rPr>
              <w:t>degrees of freedom F-test</w:t>
            </w:r>
          </w:p>
        </w:tc>
        <w:tc>
          <w:tcPr>
            <w:tcW w:w="1095" w:type="dxa"/>
            <w:gridSpan w:val="2"/>
            <w:vAlign w:val="center"/>
          </w:tcPr>
          <w:p w14:paraId="7597C79F" w14:textId="77777777" w:rsidR="009E5198" w:rsidRPr="00657BE6" w:rsidRDefault="009E5198" w:rsidP="009345F8">
            <w:pPr>
              <w:pStyle w:val="Table"/>
              <w:jc w:val="right"/>
              <w:rPr>
                <w:sz w:val="18"/>
                <w:szCs w:val="18"/>
              </w:rPr>
            </w:pPr>
          </w:p>
        </w:tc>
        <w:tc>
          <w:tcPr>
            <w:tcW w:w="1149" w:type="dxa"/>
            <w:gridSpan w:val="2"/>
            <w:vAlign w:val="center"/>
          </w:tcPr>
          <w:p w14:paraId="5AD22435" w14:textId="77777777" w:rsidR="009E5198" w:rsidRPr="00657BE6" w:rsidRDefault="009E5198" w:rsidP="009345F8">
            <w:pPr>
              <w:pStyle w:val="Table"/>
              <w:jc w:val="right"/>
              <w:rPr>
                <w:sz w:val="18"/>
                <w:szCs w:val="18"/>
              </w:rPr>
            </w:pPr>
          </w:p>
        </w:tc>
        <w:tc>
          <w:tcPr>
            <w:tcW w:w="1175" w:type="dxa"/>
            <w:gridSpan w:val="2"/>
            <w:vAlign w:val="center"/>
          </w:tcPr>
          <w:p w14:paraId="4AC3F26D" w14:textId="77777777" w:rsidR="009E5198" w:rsidRPr="00657BE6" w:rsidRDefault="009E5198" w:rsidP="009345F8">
            <w:pPr>
              <w:pStyle w:val="Table"/>
              <w:jc w:val="right"/>
              <w:rPr>
                <w:sz w:val="18"/>
                <w:szCs w:val="18"/>
              </w:rPr>
            </w:pPr>
          </w:p>
        </w:tc>
        <w:tc>
          <w:tcPr>
            <w:tcW w:w="1217" w:type="dxa"/>
            <w:gridSpan w:val="2"/>
            <w:vAlign w:val="center"/>
          </w:tcPr>
          <w:p w14:paraId="5A380C06" w14:textId="77777777" w:rsidR="009E5198" w:rsidRPr="00657BE6" w:rsidRDefault="009E5198" w:rsidP="009345F8">
            <w:pPr>
              <w:pStyle w:val="Table"/>
              <w:jc w:val="right"/>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5; 409)</w:t>
            </w:r>
          </w:p>
        </w:tc>
        <w:tc>
          <w:tcPr>
            <w:tcW w:w="1219" w:type="dxa"/>
            <w:gridSpan w:val="2"/>
            <w:vAlign w:val="center"/>
          </w:tcPr>
          <w:p w14:paraId="33322683" w14:textId="77777777" w:rsidR="009E5198" w:rsidRPr="00657BE6" w:rsidRDefault="009E5198" w:rsidP="009345F8">
            <w:pPr>
              <w:pStyle w:val="Table"/>
              <w:jc w:val="right"/>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7; 407)</w:t>
            </w:r>
          </w:p>
        </w:tc>
      </w:tr>
      <w:tr w:rsidR="009E5198" w:rsidRPr="00657BE6" w14:paraId="321DA9CB" w14:textId="77777777" w:rsidTr="009345F8">
        <w:trPr>
          <w:trHeight w:val="296"/>
        </w:trPr>
        <w:tc>
          <w:tcPr>
            <w:tcW w:w="3503" w:type="dxa"/>
            <w:vAlign w:val="center"/>
          </w:tcPr>
          <w:p w14:paraId="5EFA3619" w14:textId="77777777" w:rsidR="009E5198" w:rsidRPr="00657BE6" w:rsidRDefault="009E5198" w:rsidP="009345F8">
            <w:pPr>
              <w:pStyle w:val="Table"/>
              <w:rPr>
                <w:sz w:val="18"/>
                <w:szCs w:val="18"/>
              </w:rPr>
            </w:pPr>
            <w:r w:rsidRPr="00657BE6">
              <w:rPr>
                <w:sz w:val="18"/>
                <w:szCs w:val="18"/>
              </w:rPr>
              <w:t>Full model F-test statistic</w:t>
            </w:r>
            <w:r>
              <w:rPr>
                <w:sz w:val="18"/>
                <w:szCs w:val="18"/>
              </w:rPr>
              <w:t>²</w:t>
            </w:r>
          </w:p>
        </w:tc>
        <w:tc>
          <w:tcPr>
            <w:tcW w:w="1095" w:type="dxa"/>
            <w:gridSpan w:val="2"/>
            <w:vAlign w:val="center"/>
          </w:tcPr>
          <w:p w14:paraId="3FFA4502" w14:textId="77777777" w:rsidR="009E5198" w:rsidRPr="00657BE6" w:rsidRDefault="009E5198" w:rsidP="009345F8">
            <w:pPr>
              <w:pStyle w:val="Table"/>
              <w:jc w:val="right"/>
              <w:rPr>
                <w:sz w:val="18"/>
                <w:szCs w:val="18"/>
              </w:rPr>
            </w:pPr>
          </w:p>
        </w:tc>
        <w:tc>
          <w:tcPr>
            <w:tcW w:w="1149" w:type="dxa"/>
            <w:gridSpan w:val="2"/>
            <w:vAlign w:val="center"/>
          </w:tcPr>
          <w:p w14:paraId="7F363517" w14:textId="77777777" w:rsidR="009E5198" w:rsidRPr="00657BE6" w:rsidRDefault="009E5198" w:rsidP="009345F8">
            <w:pPr>
              <w:pStyle w:val="Table"/>
              <w:jc w:val="right"/>
              <w:rPr>
                <w:sz w:val="18"/>
                <w:szCs w:val="18"/>
              </w:rPr>
            </w:pPr>
          </w:p>
        </w:tc>
        <w:tc>
          <w:tcPr>
            <w:tcW w:w="1175" w:type="dxa"/>
            <w:gridSpan w:val="2"/>
            <w:vAlign w:val="center"/>
          </w:tcPr>
          <w:p w14:paraId="5D9FAB9D" w14:textId="77777777" w:rsidR="009E5198" w:rsidRPr="00657BE6" w:rsidRDefault="009E5198" w:rsidP="009345F8">
            <w:pPr>
              <w:pStyle w:val="Table"/>
              <w:jc w:val="right"/>
              <w:rPr>
                <w:sz w:val="18"/>
                <w:szCs w:val="18"/>
              </w:rPr>
            </w:pPr>
          </w:p>
        </w:tc>
        <w:tc>
          <w:tcPr>
            <w:tcW w:w="1217" w:type="dxa"/>
            <w:gridSpan w:val="2"/>
            <w:vAlign w:val="center"/>
          </w:tcPr>
          <w:p w14:paraId="51879467" w14:textId="77777777" w:rsidR="009E5198" w:rsidRPr="00657BE6" w:rsidRDefault="009E5198" w:rsidP="009345F8">
            <w:pPr>
              <w:pStyle w:val="Table"/>
              <w:jc w:val="right"/>
              <w:rPr>
                <w:sz w:val="18"/>
                <w:szCs w:val="18"/>
              </w:rPr>
            </w:pPr>
            <w:r w:rsidRPr="00657BE6">
              <w:rPr>
                <w:sz w:val="18"/>
                <w:szCs w:val="18"/>
              </w:rPr>
              <w:t>24.46</w:t>
            </w:r>
            <w:r>
              <w:rPr>
                <w:sz w:val="18"/>
                <w:szCs w:val="18"/>
              </w:rPr>
              <w:t>***</w:t>
            </w:r>
          </w:p>
        </w:tc>
        <w:tc>
          <w:tcPr>
            <w:tcW w:w="1219" w:type="dxa"/>
            <w:gridSpan w:val="2"/>
            <w:vAlign w:val="center"/>
          </w:tcPr>
          <w:p w14:paraId="5955229C" w14:textId="77777777" w:rsidR="009E5198" w:rsidRPr="00657BE6" w:rsidRDefault="009E5198" w:rsidP="009345F8">
            <w:pPr>
              <w:pStyle w:val="Table"/>
              <w:jc w:val="right"/>
              <w:rPr>
                <w:sz w:val="18"/>
                <w:szCs w:val="18"/>
              </w:rPr>
            </w:pPr>
            <w:r w:rsidRPr="00657BE6">
              <w:rPr>
                <w:sz w:val="18"/>
                <w:szCs w:val="18"/>
              </w:rPr>
              <w:t>21.12</w:t>
            </w:r>
            <w:r>
              <w:rPr>
                <w:sz w:val="18"/>
                <w:szCs w:val="18"/>
              </w:rPr>
              <w:t>***</w:t>
            </w:r>
          </w:p>
        </w:tc>
      </w:tr>
      <w:tr w:rsidR="009E5198" w:rsidRPr="00657BE6" w14:paraId="19159F51" w14:textId="77777777" w:rsidTr="009345F8">
        <w:trPr>
          <w:trHeight w:val="333"/>
        </w:trPr>
        <w:tc>
          <w:tcPr>
            <w:tcW w:w="3503" w:type="dxa"/>
            <w:tcBorders>
              <w:bottom w:val="single" w:sz="6" w:space="0" w:color="000000"/>
            </w:tcBorders>
            <w:vAlign w:val="center"/>
          </w:tcPr>
          <w:p w14:paraId="37079289" w14:textId="62C4D9F1" w:rsidR="009E5198" w:rsidRPr="00657BE6" w:rsidRDefault="009E5198" w:rsidP="009345F8">
            <w:pPr>
              <w:pStyle w:val="Table"/>
              <w:rPr>
                <w:sz w:val="18"/>
                <w:szCs w:val="18"/>
              </w:rPr>
            </w:pPr>
            <w:r w:rsidRPr="00657BE6">
              <w:rPr>
                <w:sz w:val="18"/>
                <w:szCs w:val="18"/>
              </w:rPr>
              <w:t xml:space="preserve">degrees of freedom </w:t>
            </w:r>
            <w:r w:rsidR="00AF502F">
              <w:rPr>
                <w:sz w:val="18"/>
                <w:szCs w:val="18"/>
              </w:rPr>
              <w:t xml:space="preserve">full model </w:t>
            </w:r>
            <w:r w:rsidRPr="00657BE6">
              <w:rPr>
                <w:sz w:val="18"/>
                <w:szCs w:val="18"/>
              </w:rPr>
              <w:t>F-test</w:t>
            </w:r>
          </w:p>
        </w:tc>
        <w:tc>
          <w:tcPr>
            <w:tcW w:w="1095" w:type="dxa"/>
            <w:gridSpan w:val="2"/>
            <w:tcBorders>
              <w:bottom w:val="single" w:sz="6" w:space="0" w:color="000000"/>
            </w:tcBorders>
            <w:vAlign w:val="center"/>
          </w:tcPr>
          <w:p w14:paraId="388D57AE" w14:textId="77777777" w:rsidR="009E5198" w:rsidRPr="00657BE6" w:rsidRDefault="009E5198" w:rsidP="009345F8">
            <w:pPr>
              <w:pStyle w:val="Table"/>
              <w:jc w:val="right"/>
              <w:rPr>
                <w:sz w:val="18"/>
                <w:szCs w:val="18"/>
              </w:rPr>
            </w:pPr>
          </w:p>
        </w:tc>
        <w:tc>
          <w:tcPr>
            <w:tcW w:w="1149" w:type="dxa"/>
            <w:gridSpan w:val="2"/>
            <w:tcBorders>
              <w:bottom w:val="single" w:sz="6" w:space="0" w:color="000000"/>
            </w:tcBorders>
            <w:vAlign w:val="center"/>
          </w:tcPr>
          <w:p w14:paraId="216973BF" w14:textId="77777777" w:rsidR="009E5198" w:rsidRPr="00657BE6" w:rsidRDefault="009E5198" w:rsidP="009345F8">
            <w:pPr>
              <w:pStyle w:val="Table"/>
              <w:jc w:val="right"/>
              <w:rPr>
                <w:sz w:val="18"/>
                <w:szCs w:val="18"/>
              </w:rPr>
            </w:pPr>
          </w:p>
        </w:tc>
        <w:tc>
          <w:tcPr>
            <w:tcW w:w="1175" w:type="dxa"/>
            <w:gridSpan w:val="2"/>
            <w:tcBorders>
              <w:bottom w:val="single" w:sz="6" w:space="0" w:color="000000"/>
            </w:tcBorders>
            <w:vAlign w:val="center"/>
          </w:tcPr>
          <w:p w14:paraId="658A2F71" w14:textId="77777777" w:rsidR="009E5198" w:rsidRPr="00657BE6" w:rsidRDefault="009E5198" w:rsidP="009345F8">
            <w:pPr>
              <w:pStyle w:val="Table"/>
              <w:jc w:val="right"/>
              <w:rPr>
                <w:sz w:val="18"/>
                <w:szCs w:val="18"/>
              </w:rPr>
            </w:pPr>
          </w:p>
        </w:tc>
        <w:tc>
          <w:tcPr>
            <w:tcW w:w="1217" w:type="dxa"/>
            <w:gridSpan w:val="2"/>
            <w:tcBorders>
              <w:bottom w:val="single" w:sz="6" w:space="0" w:color="000000"/>
            </w:tcBorders>
            <w:vAlign w:val="center"/>
          </w:tcPr>
          <w:p w14:paraId="014ADFB7" w14:textId="77777777" w:rsidR="009E5198" w:rsidRPr="00657BE6" w:rsidRDefault="009E5198" w:rsidP="009345F8">
            <w:pPr>
              <w:pStyle w:val="Table"/>
              <w:jc w:val="right"/>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12; 409)</w:t>
            </w:r>
          </w:p>
        </w:tc>
        <w:tc>
          <w:tcPr>
            <w:tcW w:w="1219" w:type="dxa"/>
            <w:gridSpan w:val="2"/>
            <w:tcBorders>
              <w:bottom w:val="single" w:sz="6" w:space="0" w:color="000000"/>
            </w:tcBorders>
            <w:vAlign w:val="center"/>
          </w:tcPr>
          <w:p w14:paraId="307524E8" w14:textId="77777777" w:rsidR="009E5198" w:rsidRPr="00657BE6" w:rsidRDefault="009E5198" w:rsidP="009345F8">
            <w:pPr>
              <w:pStyle w:val="Table"/>
              <w:keepNext/>
              <w:jc w:val="right"/>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14; 407)</w:t>
            </w:r>
          </w:p>
        </w:tc>
      </w:tr>
    </w:tbl>
    <w:p w14:paraId="6D8DACE5" w14:textId="77777777" w:rsidR="009E5198" w:rsidRPr="009E5198" w:rsidRDefault="009E5198" w:rsidP="009E5198">
      <w:pPr>
        <w:rPr>
          <w:b/>
          <w:bCs/>
          <w:i/>
          <w:iCs/>
          <w:sz w:val="20"/>
          <w:szCs w:val="20"/>
        </w:rPr>
      </w:pPr>
      <w:r w:rsidRPr="009E5198">
        <w:rPr>
          <w:b/>
          <w:bCs/>
          <w:i/>
          <w:iCs/>
          <w:sz w:val="20"/>
          <w:szCs w:val="20"/>
        </w:rPr>
        <w:t>Robust Standard Errors in Brackets. ***, **, * denote significancy at the 1%, 5%, and 10% levels respectively.</w:t>
      </w:r>
    </w:p>
    <w:p w14:paraId="6F2EB3CE" w14:textId="77777777" w:rsidR="009E5198" w:rsidRPr="009E5198" w:rsidRDefault="009E5198" w:rsidP="009E5198">
      <w:pPr>
        <w:rPr>
          <w:b/>
          <w:bCs/>
          <w:i/>
          <w:iCs/>
          <w:sz w:val="20"/>
          <w:szCs w:val="20"/>
        </w:rPr>
      </w:pPr>
      <w:r w:rsidRPr="009E5198">
        <w:rPr>
          <w:b/>
          <w:bCs/>
          <w:i/>
          <w:iCs/>
          <w:sz w:val="20"/>
          <w:szCs w:val="20"/>
        </w:rPr>
        <w:t>¹F-statistic refers to a restricted model that only excludes the interaction terms.</w:t>
      </w:r>
    </w:p>
    <w:p w14:paraId="6DB4C990" w14:textId="77777777" w:rsidR="009E5198" w:rsidRPr="009E5198" w:rsidRDefault="009E5198" w:rsidP="009E5198">
      <w:pPr>
        <w:rPr>
          <w:b/>
          <w:bCs/>
          <w:i/>
          <w:iCs/>
          <w:sz w:val="20"/>
          <w:szCs w:val="20"/>
        </w:rPr>
      </w:pPr>
      <w:r w:rsidRPr="009E5198">
        <w:rPr>
          <w:b/>
          <w:bCs/>
          <w:i/>
          <w:iCs/>
          <w:sz w:val="20"/>
          <w:szCs w:val="20"/>
        </w:rPr>
        <w:t xml:space="preserve">²F-statistic is the conventional F-test.  </w:t>
      </w:r>
    </w:p>
    <w:p w14:paraId="4BA59086" w14:textId="77777777" w:rsidR="009E5198" w:rsidRPr="009E5198" w:rsidRDefault="009E5198" w:rsidP="009E5198">
      <w:pPr>
        <w:rPr>
          <w:b/>
          <w:bCs/>
          <w:i/>
          <w:iCs/>
          <w:sz w:val="20"/>
          <w:szCs w:val="20"/>
        </w:rPr>
      </w:pPr>
      <w:r w:rsidRPr="009E5198">
        <w:rPr>
          <w:b/>
          <w:bCs/>
          <w:i/>
          <w:iCs/>
          <w:sz w:val="20"/>
          <w:szCs w:val="20"/>
        </w:rPr>
        <w:t>Source: Own Estimation based on data from TSE, São Paulo Metro (OD Survey, 1997), Centro de Estudos da Metrópole, IBGE (2000 Census) and Geo Sampa.</w:t>
      </w:r>
    </w:p>
    <w:p w14:paraId="067321CF" w14:textId="528F7395" w:rsidR="00794729" w:rsidRDefault="00794729" w:rsidP="00794729">
      <w:pPr>
        <w:pStyle w:val="Ttulo1"/>
      </w:pPr>
      <w:r>
        <w:t>Conclusion</w:t>
      </w:r>
    </w:p>
    <w:p w14:paraId="564B827E" w14:textId="77777777" w:rsidR="00D628AA" w:rsidRPr="00D628AA" w:rsidRDefault="00D628AA" w:rsidP="00D628AA">
      <w:pPr>
        <w:spacing w:after="120" w:line="360" w:lineRule="auto"/>
        <w:rPr>
          <w:rFonts w:eastAsiaTheme="minorHAnsi"/>
          <w:lang w:val="en-US"/>
        </w:rPr>
      </w:pPr>
      <w:r w:rsidRPr="00D628AA">
        <w:rPr>
          <w:rFonts w:eastAsiaTheme="minorHAnsi"/>
          <w:lang w:val="en-US"/>
        </w:rPr>
        <w:t>Our research demonstrates that beneficiaries of a non-targeted successful policy innovation are more inclined to support the incumbent, irrespective of existing voting habits or the influence of pork-barrel politics. This outcome suggests that voters have the acuity to acknowledge effective policies, even when not directly aimed at any specific demographic.</w:t>
      </w:r>
    </w:p>
    <w:p w14:paraId="29DA0307" w14:textId="5937EEDB" w:rsidR="00D628AA" w:rsidRPr="00D628AA" w:rsidRDefault="00D628AA" w:rsidP="00D628AA">
      <w:pPr>
        <w:spacing w:after="120" w:line="360" w:lineRule="auto"/>
        <w:rPr>
          <w:rFonts w:eastAsiaTheme="minorHAnsi"/>
          <w:lang w:val="en-US"/>
        </w:rPr>
      </w:pPr>
      <w:r w:rsidRPr="00D628AA">
        <w:rPr>
          <w:rFonts w:eastAsiaTheme="minorHAnsi"/>
          <w:lang w:val="en-US"/>
        </w:rPr>
        <w:t xml:space="preserve">This study enriches the </w:t>
      </w:r>
      <w:r>
        <w:rPr>
          <w:rFonts w:eastAsiaTheme="minorHAnsi"/>
          <w:lang w:val="en-US"/>
        </w:rPr>
        <w:t>research</w:t>
      </w:r>
      <w:r w:rsidRPr="00D628AA">
        <w:rPr>
          <w:rFonts w:eastAsiaTheme="minorHAnsi"/>
          <w:lang w:val="en-US"/>
        </w:rPr>
        <w:t xml:space="preserve"> on retrospective voting by providing substantial evidence through a distinctive lens—focusing on public transit rather than economic metrics, examining sub-municipal impacts, and transcending conventional pork-barrel cases. Public transit, a domain marred by political contestation, presents complex challenges that blend political maneuvering with economic and technical considerations. Nonetheless, it also operates as a distributive policy, targeting specific communities while being funded through general taxation, thus addressing urgent urban economic issues</w:t>
      </w:r>
      <w:r>
        <w:rPr>
          <w:rFonts w:eastAsiaTheme="minorHAnsi"/>
          <w:lang w:val="en-US"/>
        </w:rPr>
        <w:t xml:space="preserve"> related to spatial segregation of income</w:t>
      </w:r>
      <w:r w:rsidRPr="00D628AA">
        <w:rPr>
          <w:rFonts w:eastAsiaTheme="minorHAnsi"/>
          <w:lang w:val="en-US"/>
        </w:rPr>
        <w:t>.</w:t>
      </w:r>
    </w:p>
    <w:p w14:paraId="2BB2E28F" w14:textId="77777777" w:rsidR="00D628AA" w:rsidRPr="00D628AA" w:rsidRDefault="00D628AA" w:rsidP="00D628AA">
      <w:pPr>
        <w:spacing w:after="120" w:line="360" w:lineRule="auto"/>
        <w:rPr>
          <w:rFonts w:eastAsiaTheme="minorHAnsi"/>
          <w:lang w:val="en-US"/>
        </w:rPr>
      </w:pPr>
      <w:r w:rsidRPr="00D628AA">
        <w:rPr>
          <w:rFonts w:eastAsiaTheme="minorHAnsi"/>
          <w:lang w:val="en-US"/>
        </w:rPr>
        <w:t xml:space="preserve">The Smart Card policy, initiated by Mayor Marta </w:t>
      </w:r>
      <w:proofErr w:type="spellStart"/>
      <w:r w:rsidRPr="00D628AA">
        <w:rPr>
          <w:rFonts w:eastAsiaTheme="minorHAnsi"/>
          <w:lang w:val="en-US"/>
        </w:rPr>
        <w:t>Suplicy</w:t>
      </w:r>
      <w:proofErr w:type="spellEnd"/>
      <w:r w:rsidRPr="00D628AA">
        <w:rPr>
          <w:rFonts w:eastAsiaTheme="minorHAnsi"/>
          <w:lang w:val="en-US"/>
        </w:rPr>
        <w:t>, revolutionized São Paulo’s transit by introducing an automated fare collection system that facilitated integrated ticketing. This policy led to a significant reduction in transit time and costs, proving particularly beneficial for the working class in outlying regions.</w:t>
      </w:r>
    </w:p>
    <w:p w14:paraId="08AA5893" w14:textId="15CD67B8" w:rsidR="00D628AA" w:rsidRPr="00D628AA" w:rsidRDefault="00D628AA" w:rsidP="00D628AA">
      <w:pPr>
        <w:spacing w:after="120" w:line="360" w:lineRule="auto"/>
        <w:rPr>
          <w:rFonts w:eastAsiaTheme="minorHAnsi"/>
          <w:lang w:val="en-US"/>
        </w:rPr>
      </w:pPr>
      <w:r w:rsidRPr="00D628AA">
        <w:rPr>
          <w:rFonts w:eastAsiaTheme="minorHAnsi"/>
          <w:lang w:val="en-US"/>
        </w:rPr>
        <w:t xml:space="preserve">Our findings hold significant implications for the intersection of public policy and political strategy. Innovating public policies is inherently fraught with risks, particularly when the direct beneficiaries are challenging to identify, diverging from traditional pork-barreling strategies. Yet, our study offers evidence that successful policy innovation can be politically rewarded, </w:t>
      </w:r>
      <w:r w:rsidRPr="00D628AA">
        <w:rPr>
          <w:rFonts w:eastAsiaTheme="minorHAnsi"/>
          <w:lang w:val="en-US"/>
        </w:rPr>
        <w:lastRenderedPageBreak/>
        <w:t xml:space="preserve">potentially emboldening policymakers to pursue reforms that enhance citizens’ quality of life despite budgetary constraints and the inherent risks involved. This could signal a shift towards a political landscape </w:t>
      </w:r>
      <w:r>
        <w:rPr>
          <w:rFonts w:eastAsiaTheme="minorHAnsi"/>
          <w:lang w:val="en-US"/>
        </w:rPr>
        <w:t>in which</w:t>
      </w:r>
      <w:r w:rsidRPr="00D628AA">
        <w:rPr>
          <w:rFonts w:eastAsiaTheme="minorHAnsi"/>
          <w:lang w:val="en-US"/>
        </w:rPr>
        <w:t xml:space="preserve"> daring to innovate is not only a public service imperative but also an electorally prudent endeavor.</w:t>
      </w:r>
    </w:p>
    <w:p w14:paraId="231C9649" w14:textId="77777777" w:rsidR="0002158F" w:rsidRDefault="0002158F" w:rsidP="000904EB">
      <w:pPr>
        <w:spacing w:after="120" w:line="360" w:lineRule="auto"/>
        <w:rPr>
          <w:rFonts w:eastAsiaTheme="minorHAnsi"/>
          <w:lang w:val="en-US"/>
        </w:rPr>
      </w:pPr>
    </w:p>
    <w:p w14:paraId="7ABDEAFA" w14:textId="77777777" w:rsidR="0002158F" w:rsidRDefault="0002158F" w:rsidP="0002158F">
      <w:pPr>
        <w:pStyle w:val="Ttulo1"/>
      </w:pPr>
      <w:r>
        <w:t>References</w:t>
      </w:r>
    </w:p>
    <w:p w14:paraId="62EC6DC8" w14:textId="77777777" w:rsidR="0002158F" w:rsidRPr="00BB0B1B" w:rsidRDefault="0002158F" w:rsidP="005C115B">
      <w:pPr>
        <w:pStyle w:val="Ttulo1"/>
        <w:spacing w:line="240" w:lineRule="auto"/>
        <w:ind w:left="720" w:hanging="720"/>
        <w:rPr>
          <w:b w:val="0"/>
          <w:bCs/>
          <w:sz w:val="24"/>
          <w:szCs w:val="24"/>
        </w:rPr>
      </w:pPr>
      <w:r>
        <w:fldChar w:fldCharType="begin"/>
      </w:r>
      <w:r>
        <w:instrText xml:space="preserve"> ADDIN ZOTERO_BIBL {"uncited":[],"omitted":[],"custom":[]} CSL_BIBLIOGRAPHY </w:instrText>
      </w:r>
      <w:r>
        <w:fldChar w:fldCharType="separate"/>
      </w:r>
      <w:r w:rsidRPr="00BB0B1B">
        <w:rPr>
          <w:b w:val="0"/>
          <w:bCs/>
          <w:sz w:val="24"/>
          <w:szCs w:val="24"/>
        </w:rPr>
        <w:t>Albertus, M. (2013). Vote Buying With Multiple Distributive Goods. Comparative Political Studies, 46(9), 1082–1111. https://doi.org/10.1177/0010414012463897</w:t>
      </w:r>
    </w:p>
    <w:p w14:paraId="233C8054"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Andersen, S. C., &amp; Hjortskov, M. (2016). Cognitive Biases in Performance Evaluations. Journal of Public Administration Research and Theory, 26(4), 647–662. https://doi.org/10.1093/jopart/muv036</w:t>
      </w:r>
    </w:p>
    <w:p w14:paraId="6313D4DB"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Bechtel, M. M., &amp; Hainmueller, J. (2011). How Lasting Is Voter Gratitude? An Analysis of the Short- and Long-Term Electoral Returns to Beneficial Policy. American Journal of Political Science, 55(4), 852–868. https://doi.org/10.1111/j.1540-5907.2011.00533.x</w:t>
      </w:r>
    </w:p>
    <w:p w14:paraId="0AD9B432"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Bernecker, A., Boyer, P. C., &amp; Gathmann, C. (2021). The Role of Electoral Incentives for Policy Innovation: Evidence from the US Welfare Reform. American Economic Journal: Economic Policy, 13(2), 26–57. https://doi.org/10.1257/pol.20190690</w:t>
      </w:r>
    </w:p>
    <w:p w14:paraId="5CE2A573" w14:textId="77777777" w:rsidR="0002158F" w:rsidRPr="00D3153A" w:rsidRDefault="0002158F" w:rsidP="005C115B">
      <w:pPr>
        <w:pStyle w:val="Ttulo1"/>
        <w:spacing w:line="240" w:lineRule="auto"/>
        <w:ind w:left="720" w:hanging="720"/>
        <w:rPr>
          <w:rFonts w:cs="Times New Roman"/>
          <w:b w:val="0"/>
          <w:bCs/>
          <w:sz w:val="24"/>
          <w:szCs w:val="24"/>
        </w:rPr>
      </w:pPr>
      <w:r w:rsidRPr="00BB0B1B">
        <w:rPr>
          <w:b w:val="0"/>
          <w:bCs/>
          <w:sz w:val="24"/>
          <w:szCs w:val="24"/>
        </w:rPr>
        <w:t>Berry, C. R., &amp; Howell, W. G. (2007). Accountability and Local Elections: Rethinking Retrospective Voting. Journal of Politics, 69(3), 844–858.</w:t>
      </w:r>
    </w:p>
    <w:p w14:paraId="688561C8" w14:textId="77777777" w:rsidR="00D3153A" w:rsidRPr="00D3153A" w:rsidRDefault="00606D75" w:rsidP="005C115B">
      <w:pPr>
        <w:pStyle w:val="Ttulo1"/>
        <w:spacing w:line="240" w:lineRule="auto"/>
        <w:ind w:left="720" w:hanging="720"/>
        <w:rPr>
          <w:rFonts w:cs="Times New Roman"/>
          <w:b w:val="0"/>
          <w:bCs/>
          <w:sz w:val="24"/>
          <w:szCs w:val="24"/>
        </w:rPr>
      </w:pPr>
      <w:r w:rsidRPr="00D3153A">
        <w:rPr>
          <w:rFonts w:cs="Times New Roman"/>
          <w:b w:val="0"/>
          <w:bCs/>
          <w:sz w:val="24"/>
          <w:szCs w:val="24"/>
        </w:rPr>
        <w:t xml:space="preserve">Bueno, L.R.L (2018). </w:t>
      </w:r>
      <w:r w:rsidRPr="00D3153A">
        <w:rPr>
          <w:rFonts w:eastAsia="TeXGyrePagella" w:cs="Times New Roman"/>
          <w:b w:val="0"/>
          <w:bCs/>
          <w:sz w:val="24"/>
          <w:szCs w:val="24"/>
        </w:rPr>
        <w:t>Retrospective voting in Brazil: a case study of São Paulo’s smart-card policy</w:t>
      </w:r>
      <w:r w:rsidRPr="00D3153A">
        <w:rPr>
          <w:rFonts w:cs="Times New Roman"/>
          <w:b w:val="0"/>
          <w:bCs/>
          <w:sz w:val="24"/>
          <w:szCs w:val="24"/>
        </w:rPr>
        <w:t xml:space="preserve">. Master Thesis. Available at </w:t>
      </w:r>
      <w:r w:rsidRPr="00D3153A">
        <w:rPr>
          <w:rFonts w:cs="Times New Roman"/>
          <w:b w:val="0"/>
          <w:bCs/>
          <w:sz w:val="24"/>
          <w:szCs w:val="24"/>
        </w:rPr>
        <w:t>https://repositorio.fgv.br/items/e54284ab-b4c9-4ad7-8e95-bdfc41bb873c</w:t>
      </w:r>
      <w:r w:rsidRPr="00D3153A">
        <w:rPr>
          <w:rFonts w:cs="Times New Roman"/>
          <w:b w:val="0"/>
          <w:bCs/>
          <w:sz w:val="24"/>
          <w:szCs w:val="24"/>
        </w:rPr>
        <w:t>.</w:t>
      </w:r>
    </w:p>
    <w:p w14:paraId="5F754BAC" w14:textId="60052B71" w:rsidR="00606D75" w:rsidRPr="00606D75" w:rsidRDefault="00606D75" w:rsidP="005C115B">
      <w:pPr>
        <w:ind w:left="720" w:hanging="720"/>
        <w:jc w:val="right"/>
        <w:rPr>
          <w:rFonts w:asciiTheme="minorHAnsi" w:eastAsia="TeXGyrePagella" w:hAnsiTheme="minorHAnsi" w:cstheme="minorBidi"/>
          <w:sz w:val="22"/>
          <w:lang w:val="en-US"/>
        </w:rPr>
      </w:pPr>
    </w:p>
    <w:p w14:paraId="7DF20AF5"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lastRenderedPageBreak/>
        <w:t>Burnett, C. M., &amp; Kogan, V. (2017). The Politics of Potholes: Service Quality and Retrospective Voting in Local Elections. The Journal of Politics, 79(1), 302–314. https://doi.org/10.1086/688736</w:t>
      </w:r>
    </w:p>
    <w:p w14:paraId="499B6592"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Campos, M. L. (2018). Public Policy Instruments and Their Impact: From Analogue to Electronic Government in the Bus Services of São Paulo. Brazilian Political Science Review, 12, 1–26. https://doi.org/10.1590/1981-3821201800010003</w:t>
      </w:r>
    </w:p>
    <w:p w14:paraId="69946296"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Castells, M. (1978). City, Class and Power. Macmillan Education UK. https://doi.org/10.1007/978-1-349-27923-4_8</w:t>
      </w:r>
    </w:p>
    <w:p w14:paraId="7C96F871"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Charbonneau, É., &amp; Van Ryzin, G. G. (2012). Performance Measures and Parental Satisfaction With New York City Schools. The American Review of Public Administration, 42(1), 54–65. https://doi.org/10.1177/0275074010397333</w:t>
      </w:r>
    </w:p>
    <w:p w14:paraId="46C61317"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Coker, F. W. (1920). Street-railway Problems. American Political Science Review, 14(4), 688–696.</w:t>
      </w:r>
    </w:p>
    <w:p w14:paraId="58A27681"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Doering, J., Silver, D., &amp; Taylor, Z. (2021). The Spatial Articulation of Urban Political Cleavages. Urban Affairs Review, 57(4), 911–951.</w:t>
      </w:r>
    </w:p>
    <w:p w14:paraId="501C9E45" w14:textId="79C751A6" w:rsidR="0002158F" w:rsidRPr="00BB0B1B" w:rsidRDefault="0002158F" w:rsidP="005C115B">
      <w:pPr>
        <w:pStyle w:val="Ttulo1"/>
        <w:spacing w:line="240" w:lineRule="auto"/>
        <w:ind w:left="720" w:hanging="720"/>
        <w:rPr>
          <w:b w:val="0"/>
          <w:bCs/>
          <w:sz w:val="24"/>
          <w:szCs w:val="24"/>
        </w:rPr>
      </w:pPr>
      <w:proofErr w:type="spellStart"/>
      <w:r w:rsidRPr="00BB0B1B">
        <w:rPr>
          <w:b w:val="0"/>
          <w:bCs/>
          <w:sz w:val="24"/>
          <w:szCs w:val="24"/>
        </w:rPr>
        <w:t>Faroqi</w:t>
      </w:r>
      <w:proofErr w:type="spellEnd"/>
      <w:r w:rsidRPr="00BB0B1B">
        <w:rPr>
          <w:b w:val="0"/>
          <w:bCs/>
          <w:sz w:val="24"/>
          <w:szCs w:val="24"/>
        </w:rPr>
        <w:t xml:space="preserve">, H., Saadatmand, A., Mesbah, M., &amp; Khodaii, A. (2023). Enriching smart card data with the trip purpose attribute. Journal of </w:t>
      </w:r>
      <w:r w:rsidR="00891A05">
        <w:rPr>
          <w:b w:val="0"/>
          <w:bCs/>
          <w:sz w:val="24"/>
          <w:szCs w:val="24"/>
        </w:rPr>
        <w:t>Public transit</w:t>
      </w:r>
      <w:r w:rsidRPr="00BB0B1B">
        <w:rPr>
          <w:b w:val="0"/>
          <w:bCs/>
          <w:sz w:val="24"/>
          <w:szCs w:val="24"/>
        </w:rPr>
        <w:t>, 25, 100072. https://doi.org/10.1016/j.jpubtr.2023.100072</w:t>
      </w:r>
    </w:p>
    <w:p w14:paraId="4B0E28A5"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Fiorina, M. P. (1978). Economic Retrospective Voting in American National Elections: A Micro-Analysis. American Journal of Political Science, 22(2), 426–443. https://doi.org/10.2307/2110623</w:t>
      </w:r>
    </w:p>
    <w:p w14:paraId="793A22AC"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Flom, H. (2023). The politics of police accountability: Police expulsions in Buenos Aires, Argentina. Governance. https://doi.org/10.1111/gove.12779</w:t>
      </w:r>
    </w:p>
    <w:p w14:paraId="2E7D12FF"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Grose, C. R., &amp; Oppenheimer, B. I. (2007). The Iraq War, Partisanship, and Candidate Attributes: Variation in Partisan Swing in the 2006 U.S. House Elections. Legislative Studies Quarterly, 32(4), 531–557. https://doi.org/10.3162/036298007782398495</w:t>
      </w:r>
    </w:p>
    <w:p w14:paraId="0F4E98E8"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Hansford, T. G., &amp; Gomez, B. T. (2015). Reevaluating the sociotropic economic voting hypothesis. Electoral Studies, 39, 15–25. https://doi.org/10.1016/j.electstud.2015.03.005</w:t>
      </w:r>
    </w:p>
    <w:p w14:paraId="554CAEB5"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Healy, A. J., &amp; Malhotra, N. (2009). Myopic Voters and Natural Disaster Policy. American Political Science Review, 103(3), 387–406. https://doi.org/10.1017/S0003055409990104</w:t>
      </w:r>
    </w:p>
    <w:p w14:paraId="79D738F5"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Healy, A. J., &amp; Malhotra, N. (2013). Retrospective Voting Reconsidered. Annual Review of Political Science, 16(1), 285–306. https://doi.org/10.1146/annurev-polisci-032211-212920</w:t>
      </w:r>
    </w:p>
    <w:p w14:paraId="50B0FBB9"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Healy, A. J., Persson, M., &amp; Snowberg, E. (2017). Digging into the Pocketbook: Evidence on Economic Voting from Income Registry Data Matched to a Voter Survey. American Political Science Review, 111(4), 771–785. https://doi.org/10.1017/S0003055417000314</w:t>
      </w:r>
    </w:p>
    <w:p w14:paraId="30B5D7A0"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Holland, A. C. (2023). Making the Public Work: Geography, Externalities, and Preferences for Mass Transit. British Journal of Political Science, 53(3), 1041–1060. https://doi.org/10.1017/S0007123422000679</w:t>
      </w:r>
    </w:p>
    <w:p w14:paraId="4B1DF2C9"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lastRenderedPageBreak/>
        <w:t>Hong, S., Kim, S. H., &amp; Kwon, M. (2022). Determinants of digital innovation in the public sector. Government Information Quarterly, 39(4), 101723. https://doi.org/10.1016/j.giq.2022.101723</w:t>
      </w:r>
    </w:p>
    <w:p w14:paraId="56F7E4CE"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Hopkins, D. J., &amp; Pettingill, L. M. (2018). Retrospective Voting in Big-City US Mayoral Elections. Political Science Research and Methods, 6(4), 697–714. https://doi.org/10.1017/psrm.2016.54</w:t>
      </w:r>
    </w:p>
    <w:p w14:paraId="7F11A03A"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Jilke, S. (2018). Citizen satisfaction under changing political leadership: The role of partisan motivated reasoning. Governance, 31(3), 515–533. https://doi.org/10.1111/gove.12317</w:t>
      </w:r>
    </w:p>
    <w:p w14:paraId="72D3C7C5"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Kramer, G. H. (1971). Short-Term Fluctuations in U.S. Voting Behavior, 1896–1964. American Political Science Review, 65(1), 131–143. https://doi.org/10.2307/1955049</w:t>
      </w:r>
    </w:p>
    <w:p w14:paraId="420EC406" w14:textId="77777777" w:rsidR="0002158F" w:rsidRPr="006239AA" w:rsidRDefault="0002158F" w:rsidP="005C115B">
      <w:pPr>
        <w:pStyle w:val="Ttulo1"/>
        <w:spacing w:line="240" w:lineRule="auto"/>
        <w:ind w:left="720" w:hanging="720"/>
        <w:rPr>
          <w:b w:val="0"/>
          <w:bCs/>
          <w:sz w:val="24"/>
          <w:szCs w:val="24"/>
          <w:lang w:val="pt-BR"/>
        </w:rPr>
      </w:pPr>
      <w:r w:rsidRPr="00BB0B1B">
        <w:rPr>
          <w:b w:val="0"/>
          <w:bCs/>
          <w:sz w:val="24"/>
          <w:szCs w:val="24"/>
        </w:rPr>
        <w:t xml:space="preserve">Lenz, G. S. (2013). Follow the Leader?: How Voters Respond to Politicians’ Policies and Performance. </w:t>
      </w:r>
      <w:r w:rsidRPr="006239AA">
        <w:rPr>
          <w:b w:val="0"/>
          <w:bCs/>
          <w:sz w:val="24"/>
          <w:szCs w:val="24"/>
          <w:lang w:val="pt-BR"/>
        </w:rPr>
        <w:t>University of Chicago Press.</w:t>
      </w:r>
    </w:p>
    <w:p w14:paraId="4B82F4B1" w14:textId="77777777" w:rsidR="0002158F" w:rsidRPr="00BB0B1B" w:rsidRDefault="0002158F" w:rsidP="005C115B">
      <w:pPr>
        <w:pStyle w:val="Ttulo1"/>
        <w:spacing w:line="240" w:lineRule="auto"/>
        <w:ind w:left="720" w:hanging="720"/>
        <w:rPr>
          <w:b w:val="0"/>
          <w:bCs/>
          <w:sz w:val="24"/>
          <w:szCs w:val="24"/>
        </w:rPr>
      </w:pPr>
      <w:r w:rsidRPr="006239AA">
        <w:rPr>
          <w:b w:val="0"/>
          <w:bCs/>
          <w:sz w:val="24"/>
          <w:szCs w:val="24"/>
          <w:lang w:val="pt-BR"/>
        </w:rPr>
        <w:t xml:space="preserve">Limongi, F., &amp; Mesquita, L. (2008). Estratégia partidária e preferência dos eleitores: As eleições municipais em São Paulo entre 1985 e 2004. </w:t>
      </w:r>
      <w:r w:rsidRPr="00BB0B1B">
        <w:rPr>
          <w:b w:val="0"/>
          <w:bCs/>
          <w:sz w:val="24"/>
          <w:szCs w:val="24"/>
        </w:rPr>
        <w:t>Novos Estudos CEBRAP, 81, 49–67.</w:t>
      </w:r>
    </w:p>
    <w:p w14:paraId="79F21452"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Marvel, J. D. (2015). Public Opinion and Public Sector Performance: Are Individuals’ Beliefs About Performance Evidence-Based or the Product of Anti–Public Sector Bias? International Public Management Journal, 18(2), 209–227. https://doi.org/10.1080/10967494.2014.996627</w:t>
      </w:r>
    </w:p>
    <w:p w14:paraId="57028ED1"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Marvel, J. D. (2016). Unconscious Bias in Citizens’ Evaluations of Public Sector Performance. Journal of Public Administration Research and Theory, 26(1), 143–158. https://doi.org/10.1093/jopart/muu053</w:t>
      </w:r>
    </w:p>
    <w:p w14:paraId="182DB9AD"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Mullin, M., &amp; Hansen, K. (2023). Local News and the Electoral Incentive to Invest in Infrastructure. American Political Science Review, 117(3), 1145–1150.</w:t>
      </w:r>
    </w:p>
    <w:p w14:paraId="2D38DBD8" w14:textId="77777777" w:rsidR="0002158F" w:rsidRPr="009D5371" w:rsidRDefault="0002158F" w:rsidP="005C115B">
      <w:pPr>
        <w:pStyle w:val="Ttulo1"/>
        <w:spacing w:line="240" w:lineRule="auto"/>
        <w:ind w:left="720" w:hanging="720"/>
        <w:rPr>
          <w:b w:val="0"/>
          <w:bCs/>
          <w:sz w:val="24"/>
          <w:szCs w:val="24"/>
        </w:rPr>
      </w:pPr>
      <w:r w:rsidRPr="00BB0B1B">
        <w:rPr>
          <w:b w:val="0"/>
          <w:bCs/>
          <w:sz w:val="24"/>
          <w:szCs w:val="24"/>
        </w:rPr>
        <w:t xml:space="preserve">Murphy, A. K., &amp; Wallace, D. (2010). Opportunities for Making Ends Meet and Upward Mobility: Differences in Organizational Deprivation Across Urban and Suburban Poor Neighborhoods. </w:t>
      </w:r>
      <w:r w:rsidRPr="009D5371">
        <w:rPr>
          <w:b w:val="0"/>
          <w:bCs/>
          <w:sz w:val="24"/>
          <w:szCs w:val="24"/>
        </w:rPr>
        <w:t>Social Science Quarterly, 91(5), 1164–1186. https://doi.org/10.1111/j.1540-6237.2010.00726.x</w:t>
      </w:r>
    </w:p>
    <w:p w14:paraId="46180D90" w14:textId="5E5ED63E" w:rsidR="0002158F" w:rsidRPr="00BB0B1B" w:rsidRDefault="0002158F" w:rsidP="005C115B">
      <w:pPr>
        <w:pStyle w:val="Ttulo1"/>
        <w:spacing w:line="240" w:lineRule="auto"/>
        <w:ind w:left="720" w:hanging="720"/>
        <w:rPr>
          <w:b w:val="0"/>
          <w:bCs/>
          <w:sz w:val="24"/>
          <w:szCs w:val="24"/>
        </w:rPr>
      </w:pPr>
      <w:proofErr w:type="spellStart"/>
      <w:r w:rsidRPr="00BB0B1B">
        <w:rPr>
          <w:b w:val="0"/>
          <w:bCs/>
          <w:sz w:val="24"/>
          <w:szCs w:val="24"/>
        </w:rPr>
        <w:t>Nnene</w:t>
      </w:r>
      <w:proofErr w:type="spellEnd"/>
      <w:r w:rsidRPr="00BB0B1B">
        <w:rPr>
          <w:b w:val="0"/>
          <w:bCs/>
          <w:sz w:val="24"/>
          <w:szCs w:val="24"/>
        </w:rPr>
        <w:t xml:space="preserve">, O. A., Zuidgeest, M. H. P., &amp; Joubert, J. W. (2023). BRT network design for transit cost reduction in Cape Town, South Africa. Journal of </w:t>
      </w:r>
      <w:r w:rsidR="00891A05">
        <w:rPr>
          <w:b w:val="0"/>
          <w:bCs/>
          <w:sz w:val="24"/>
          <w:szCs w:val="24"/>
        </w:rPr>
        <w:t>Public transit</w:t>
      </w:r>
      <w:r w:rsidRPr="00BB0B1B">
        <w:rPr>
          <w:b w:val="0"/>
          <w:bCs/>
          <w:sz w:val="24"/>
          <w:szCs w:val="24"/>
        </w:rPr>
        <w:t>, 25. https://doi.org/10.1016/j.jpubtr.2023.100042</w:t>
      </w:r>
    </w:p>
    <w:p w14:paraId="0FE55A89"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Rose-Ackerman, S. (1980). Risk Taking and Reelection: Does Federalism Promote Innovation? The Journal of Legal Studies, 9(3), 593–616. https://doi.org/10.1086/467654</w:t>
      </w:r>
    </w:p>
    <w:p w14:paraId="6CCEE24E" w14:textId="77777777" w:rsidR="0002158F" w:rsidRPr="006239AA" w:rsidRDefault="0002158F" w:rsidP="005C115B">
      <w:pPr>
        <w:pStyle w:val="Ttulo1"/>
        <w:spacing w:line="240" w:lineRule="auto"/>
        <w:ind w:left="720" w:hanging="720"/>
        <w:rPr>
          <w:b w:val="0"/>
          <w:bCs/>
          <w:sz w:val="24"/>
          <w:szCs w:val="24"/>
          <w:lang w:val="pt-BR"/>
        </w:rPr>
      </w:pPr>
      <w:r w:rsidRPr="00BB0B1B">
        <w:rPr>
          <w:b w:val="0"/>
          <w:bCs/>
          <w:sz w:val="24"/>
          <w:szCs w:val="24"/>
        </w:rPr>
        <w:t xml:space="preserve">São Paulo. </w:t>
      </w:r>
      <w:r w:rsidRPr="006239AA">
        <w:rPr>
          <w:b w:val="0"/>
          <w:bCs/>
          <w:sz w:val="24"/>
          <w:szCs w:val="24"/>
          <w:lang w:val="pt-BR"/>
        </w:rPr>
        <w:t>(2004). São Paulo interligado: O plano de transporte público urbano em implantação na gestão 2001-2004. Secretaria Municipal de Transportes.</w:t>
      </w:r>
    </w:p>
    <w:p w14:paraId="57CCAE70" w14:textId="77777777" w:rsidR="0002158F" w:rsidRPr="00BB0B1B" w:rsidRDefault="0002158F" w:rsidP="005C115B">
      <w:pPr>
        <w:pStyle w:val="Ttulo1"/>
        <w:spacing w:line="240" w:lineRule="auto"/>
        <w:ind w:left="720" w:hanging="720"/>
        <w:rPr>
          <w:b w:val="0"/>
          <w:bCs/>
          <w:sz w:val="24"/>
          <w:szCs w:val="24"/>
        </w:rPr>
      </w:pPr>
      <w:r w:rsidRPr="006239AA">
        <w:rPr>
          <w:b w:val="0"/>
          <w:bCs/>
          <w:sz w:val="24"/>
          <w:szCs w:val="24"/>
          <w:lang w:val="pt-BR"/>
        </w:rPr>
        <w:t xml:space="preserve">Sigelman, L., Sigelman, C. K., &amp; Bullock, D. (1991). </w:t>
      </w:r>
      <w:r w:rsidRPr="00BB0B1B">
        <w:rPr>
          <w:b w:val="0"/>
          <w:bCs/>
          <w:sz w:val="24"/>
          <w:szCs w:val="24"/>
        </w:rPr>
        <w:t>Reconsidering pocketbook voting: An experimental approach. Political Behavior, 13(2), 129–149. https://doi.org/10.1007/BF00992293</w:t>
      </w:r>
    </w:p>
    <w:p w14:paraId="1E5D8443" w14:textId="4EA5C92F" w:rsidR="0002158F" w:rsidRPr="00BB0B1B" w:rsidRDefault="0002158F" w:rsidP="005C115B">
      <w:pPr>
        <w:pStyle w:val="Ttulo1"/>
        <w:spacing w:line="240" w:lineRule="auto"/>
        <w:ind w:left="720" w:hanging="720"/>
        <w:rPr>
          <w:b w:val="0"/>
          <w:bCs/>
          <w:sz w:val="24"/>
          <w:szCs w:val="24"/>
        </w:rPr>
      </w:pPr>
      <w:r w:rsidRPr="00BB0B1B">
        <w:rPr>
          <w:b w:val="0"/>
          <w:bCs/>
          <w:sz w:val="24"/>
          <w:szCs w:val="24"/>
        </w:rPr>
        <w:t xml:space="preserve">Watkins, K. (2018). Does the Future of Mobility Depend on </w:t>
      </w:r>
      <w:r w:rsidR="00891A05">
        <w:rPr>
          <w:b w:val="0"/>
          <w:bCs/>
          <w:sz w:val="24"/>
          <w:szCs w:val="24"/>
        </w:rPr>
        <w:t>Public transit</w:t>
      </w:r>
      <w:r w:rsidRPr="00BB0B1B">
        <w:rPr>
          <w:b w:val="0"/>
          <w:bCs/>
          <w:sz w:val="24"/>
          <w:szCs w:val="24"/>
        </w:rPr>
        <w:t xml:space="preserve">? Journal of </w:t>
      </w:r>
      <w:r w:rsidR="00891A05">
        <w:rPr>
          <w:b w:val="0"/>
          <w:bCs/>
          <w:sz w:val="24"/>
          <w:szCs w:val="24"/>
        </w:rPr>
        <w:t>Public transit</w:t>
      </w:r>
      <w:r w:rsidRPr="00BB0B1B">
        <w:rPr>
          <w:b w:val="0"/>
          <w:bCs/>
          <w:sz w:val="24"/>
          <w:szCs w:val="24"/>
        </w:rPr>
        <w:t>, 21(1), 53–59.</w:t>
      </w:r>
    </w:p>
    <w:p w14:paraId="04A7B3FE"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lastRenderedPageBreak/>
        <w:t>Weingast, B. R., Shepsle, K. A., &amp; Johnsen, C. (1981). The Political Economy of Benefits and Costs: A Neoclassical Approach to Distributive Politics. Journal of Political Economy, 89(4), 642–664.</w:t>
      </w:r>
    </w:p>
    <w:p w14:paraId="30B0CCD9" w14:textId="77777777" w:rsidR="0002158F" w:rsidRPr="00BB0B1B" w:rsidRDefault="0002158F" w:rsidP="005C115B">
      <w:pPr>
        <w:pStyle w:val="Ttulo1"/>
        <w:spacing w:line="240" w:lineRule="auto"/>
        <w:ind w:left="720" w:hanging="720"/>
        <w:rPr>
          <w:b w:val="0"/>
          <w:bCs/>
          <w:sz w:val="24"/>
          <w:szCs w:val="24"/>
        </w:rPr>
      </w:pPr>
      <w:r w:rsidRPr="00BB0B1B">
        <w:rPr>
          <w:b w:val="0"/>
          <w:bCs/>
          <w:sz w:val="24"/>
          <w:szCs w:val="24"/>
        </w:rPr>
        <w:t>Woodhouse, E. F. (2023). The distributive politics of privately financed infrastructure agreements. Governance. https://doi.org/10.1111/gove.12824</w:t>
      </w:r>
    </w:p>
    <w:p w14:paraId="2B471290" w14:textId="0307F9B7" w:rsidR="0002158F" w:rsidRPr="00412029" w:rsidRDefault="0002158F" w:rsidP="005C115B">
      <w:pPr>
        <w:pStyle w:val="Ttulo1"/>
        <w:spacing w:line="240" w:lineRule="auto"/>
        <w:ind w:left="720" w:hanging="720"/>
      </w:pPr>
      <w:proofErr w:type="spellStart"/>
      <w:r w:rsidRPr="00BB0B1B">
        <w:rPr>
          <w:b w:val="0"/>
          <w:bCs/>
          <w:sz w:val="24"/>
          <w:szCs w:val="24"/>
        </w:rPr>
        <w:t>Yoo</w:t>
      </w:r>
      <w:proofErr w:type="spellEnd"/>
      <w:r w:rsidRPr="00BB0B1B">
        <w:rPr>
          <w:b w:val="0"/>
          <w:bCs/>
          <w:sz w:val="24"/>
          <w:szCs w:val="24"/>
        </w:rPr>
        <w:t xml:space="preserve">, S., &amp; Lee, J. (2023). Revising bus routes to improve access for the transport disadvantaged: A reinforcement learning approach. Journal of </w:t>
      </w:r>
      <w:r w:rsidR="00891A05">
        <w:rPr>
          <w:b w:val="0"/>
          <w:bCs/>
          <w:sz w:val="24"/>
          <w:szCs w:val="24"/>
        </w:rPr>
        <w:t>Public transit</w:t>
      </w:r>
      <w:r w:rsidRPr="00BB0B1B">
        <w:rPr>
          <w:b w:val="0"/>
          <w:bCs/>
          <w:sz w:val="24"/>
          <w:szCs w:val="24"/>
        </w:rPr>
        <w:t>, 25, 100041.</w:t>
      </w:r>
      <w:r w:rsidRPr="00BB0B1B">
        <w:rPr>
          <w:sz w:val="24"/>
          <w:szCs w:val="24"/>
        </w:rPr>
        <w:t xml:space="preserve"> https://doi.org/10.1016/j.jpubtr.2023.100041</w:t>
      </w:r>
    </w:p>
    <w:p w14:paraId="65ACCB56" w14:textId="71C14ED7" w:rsidR="00152539" w:rsidRDefault="0002158F" w:rsidP="001F001C">
      <w:pPr>
        <w:pStyle w:val="Ttulo1"/>
        <w:rPr>
          <w:b w:val="0"/>
        </w:rPr>
      </w:pPr>
      <w:r>
        <w:fldChar w:fldCharType="end"/>
      </w:r>
      <w:r w:rsidR="00152539">
        <w:br w:type="page"/>
      </w:r>
    </w:p>
    <w:p w14:paraId="0A87A859" w14:textId="50DDBD1C" w:rsidR="00BB0B1B" w:rsidRDefault="00152539">
      <w:pPr>
        <w:pStyle w:val="Ttulo1"/>
      </w:pPr>
      <w:r>
        <w:lastRenderedPageBreak/>
        <w:t>Appendix A: Detailed Regression Results</w:t>
      </w:r>
    </w:p>
    <w:p w14:paraId="2230723E" w14:textId="00258E09" w:rsidR="00152539" w:rsidRDefault="00152539" w:rsidP="00152539">
      <w:pPr>
        <w:pStyle w:val="Legenda"/>
        <w:keepNext/>
      </w:pPr>
      <w:r>
        <w:t xml:space="preserve">Table </w:t>
      </w:r>
      <w:r>
        <w:t>A.</w:t>
      </w:r>
      <w:r>
        <w:fldChar w:fldCharType="begin"/>
      </w:r>
      <w:r>
        <w:instrText xml:space="preserve"> SEQ Table \* ARABIC </w:instrText>
      </w:r>
      <w:r>
        <w:fldChar w:fldCharType="separate"/>
      </w:r>
      <w:r>
        <w:rPr>
          <w:noProof/>
        </w:rPr>
        <w:t>1</w:t>
      </w:r>
      <w:r>
        <w:rPr>
          <w:noProof/>
        </w:rPr>
        <w:fldChar w:fldCharType="end"/>
      </w:r>
      <w:r>
        <w:t xml:space="preserve">. </w:t>
      </w:r>
      <w:r>
        <w:t xml:space="preserve">Detailed </w:t>
      </w:r>
      <w:r>
        <w:t>OLS estimates of incumbent party voting difference (2004 - 2000)</w:t>
      </w:r>
      <w:r>
        <w:t xml:space="preserve"> (Full Sample)</w:t>
      </w:r>
    </w:p>
    <w:tbl>
      <w:tblPr>
        <w:tblW w:w="9358" w:type="dxa"/>
        <w:tblInd w:w="147" w:type="dxa"/>
        <w:tblLayout w:type="fixed"/>
        <w:tblCellMar>
          <w:left w:w="0" w:type="dxa"/>
          <w:right w:w="0" w:type="dxa"/>
        </w:tblCellMar>
        <w:tblLook w:val="01E0" w:firstRow="1" w:lastRow="1" w:firstColumn="1" w:lastColumn="1" w:noHBand="0" w:noVBand="0"/>
      </w:tblPr>
      <w:tblGrid>
        <w:gridCol w:w="3463"/>
        <w:gridCol w:w="1137"/>
        <w:gridCol w:w="1136"/>
        <w:gridCol w:w="1216"/>
        <w:gridCol w:w="1203"/>
        <w:gridCol w:w="1203"/>
      </w:tblGrid>
      <w:tr w:rsidR="00152539" w:rsidRPr="00736D0B" w14:paraId="1D572DC8" w14:textId="77777777" w:rsidTr="009345F8">
        <w:trPr>
          <w:trHeight w:val="364"/>
        </w:trPr>
        <w:tc>
          <w:tcPr>
            <w:tcW w:w="3463" w:type="dxa"/>
            <w:tcBorders>
              <w:top w:val="single" w:sz="4" w:space="0" w:color="000000"/>
              <w:bottom w:val="single" w:sz="4" w:space="0" w:color="000000"/>
            </w:tcBorders>
          </w:tcPr>
          <w:p w14:paraId="379B879F" w14:textId="77777777" w:rsidR="00152539" w:rsidRPr="00736D0B" w:rsidRDefault="00152539" w:rsidP="009345F8">
            <w:pPr>
              <w:pStyle w:val="Table"/>
              <w:rPr>
                <w:sz w:val="18"/>
                <w:szCs w:val="18"/>
              </w:rPr>
            </w:pPr>
          </w:p>
        </w:tc>
        <w:tc>
          <w:tcPr>
            <w:tcW w:w="1137" w:type="dxa"/>
            <w:tcBorders>
              <w:top w:val="single" w:sz="4" w:space="0" w:color="000000"/>
              <w:bottom w:val="single" w:sz="4" w:space="0" w:color="000000"/>
            </w:tcBorders>
            <w:vAlign w:val="center"/>
          </w:tcPr>
          <w:p w14:paraId="64AEBA19" w14:textId="77777777" w:rsidR="00152539" w:rsidRPr="00736D0B" w:rsidRDefault="00152539" w:rsidP="009345F8">
            <w:pPr>
              <w:pStyle w:val="Table"/>
              <w:rPr>
                <w:sz w:val="18"/>
                <w:szCs w:val="18"/>
              </w:rPr>
            </w:pPr>
            <w:r w:rsidRPr="00736D0B">
              <w:rPr>
                <w:sz w:val="18"/>
                <w:szCs w:val="18"/>
              </w:rPr>
              <w:t>(1)</w:t>
            </w:r>
          </w:p>
        </w:tc>
        <w:tc>
          <w:tcPr>
            <w:tcW w:w="1136" w:type="dxa"/>
            <w:tcBorders>
              <w:top w:val="single" w:sz="4" w:space="0" w:color="000000"/>
              <w:bottom w:val="single" w:sz="4" w:space="0" w:color="000000"/>
            </w:tcBorders>
            <w:vAlign w:val="center"/>
          </w:tcPr>
          <w:p w14:paraId="1E263B08" w14:textId="77777777" w:rsidR="00152539" w:rsidRPr="00736D0B" w:rsidRDefault="00152539" w:rsidP="009345F8">
            <w:pPr>
              <w:pStyle w:val="Table"/>
              <w:rPr>
                <w:sz w:val="18"/>
                <w:szCs w:val="18"/>
              </w:rPr>
            </w:pPr>
            <w:r w:rsidRPr="00736D0B">
              <w:rPr>
                <w:sz w:val="18"/>
                <w:szCs w:val="18"/>
              </w:rPr>
              <w:t>(2)</w:t>
            </w:r>
          </w:p>
        </w:tc>
        <w:tc>
          <w:tcPr>
            <w:tcW w:w="1216" w:type="dxa"/>
            <w:tcBorders>
              <w:top w:val="single" w:sz="4" w:space="0" w:color="000000"/>
              <w:bottom w:val="single" w:sz="4" w:space="0" w:color="000000"/>
            </w:tcBorders>
            <w:vAlign w:val="center"/>
          </w:tcPr>
          <w:p w14:paraId="3BB3759A" w14:textId="77777777" w:rsidR="00152539" w:rsidRPr="00736D0B" w:rsidRDefault="00152539" w:rsidP="009345F8">
            <w:pPr>
              <w:pStyle w:val="Table"/>
              <w:rPr>
                <w:sz w:val="18"/>
                <w:szCs w:val="18"/>
              </w:rPr>
            </w:pPr>
            <w:r w:rsidRPr="00736D0B">
              <w:rPr>
                <w:sz w:val="18"/>
                <w:szCs w:val="18"/>
              </w:rPr>
              <w:t>(3)</w:t>
            </w:r>
          </w:p>
        </w:tc>
        <w:tc>
          <w:tcPr>
            <w:tcW w:w="1203" w:type="dxa"/>
            <w:tcBorders>
              <w:top w:val="single" w:sz="4" w:space="0" w:color="000000"/>
              <w:bottom w:val="single" w:sz="4" w:space="0" w:color="000000"/>
            </w:tcBorders>
            <w:vAlign w:val="center"/>
          </w:tcPr>
          <w:p w14:paraId="6EB36AA9" w14:textId="77777777" w:rsidR="00152539" w:rsidRPr="00736D0B" w:rsidRDefault="00152539" w:rsidP="009345F8">
            <w:pPr>
              <w:pStyle w:val="Table"/>
              <w:rPr>
                <w:sz w:val="18"/>
                <w:szCs w:val="18"/>
              </w:rPr>
            </w:pPr>
            <w:r w:rsidRPr="00736D0B">
              <w:rPr>
                <w:sz w:val="18"/>
                <w:szCs w:val="18"/>
              </w:rPr>
              <w:t>(4)</w:t>
            </w:r>
          </w:p>
        </w:tc>
        <w:tc>
          <w:tcPr>
            <w:tcW w:w="1203" w:type="dxa"/>
            <w:tcBorders>
              <w:top w:val="single" w:sz="4" w:space="0" w:color="000000"/>
              <w:bottom w:val="single" w:sz="4" w:space="0" w:color="000000"/>
            </w:tcBorders>
            <w:vAlign w:val="center"/>
          </w:tcPr>
          <w:p w14:paraId="740FCDCD" w14:textId="77777777" w:rsidR="00152539" w:rsidRPr="00736D0B" w:rsidRDefault="00152539" w:rsidP="009345F8">
            <w:pPr>
              <w:pStyle w:val="Table"/>
              <w:rPr>
                <w:sz w:val="18"/>
                <w:szCs w:val="18"/>
              </w:rPr>
            </w:pPr>
            <w:r w:rsidRPr="00736D0B">
              <w:rPr>
                <w:sz w:val="18"/>
                <w:szCs w:val="18"/>
              </w:rPr>
              <w:t>(5)</w:t>
            </w:r>
          </w:p>
        </w:tc>
      </w:tr>
      <w:tr w:rsidR="00152539" w:rsidRPr="00736D0B" w14:paraId="71D143BF" w14:textId="77777777" w:rsidTr="009345F8">
        <w:trPr>
          <w:trHeight w:val="328"/>
        </w:trPr>
        <w:tc>
          <w:tcPr>
            <w:tcW w:w="3463" w:type="dxa"/>
            <w:tcBorders>
              <w:top w:val="single" w:sz="4" w:space="0" w:color="000000"/>
            </w:tcBorders>
            <w:vAlign w:val="center"/>
          </w:tcPr>
          <w:p w14:paraId="34841252" w14:textId="77777777" w:rsidR="00152539" w:rsidRPr="00736D0B" w:rsidRDefault="00152539" w:rsidP="009345F8">
            <w:pPr>
              <w:pStyle w:val="Table"/>
              <w:rPr>
                <w:sz w:val="18"/>
                <w:szCs w:val="18"/>
              </w:rPr>
            </w:pPr>
            <w:r w:rsidRPr="00736D0B">
              <w:rPr>
                <w:sz w:val="18"/>
                <w:szCs w:val="18"/>
              </w:rPr>
              <w:t>Proportion of Smart Card Users</w:t>
            </w:r>
          </w:p>
        </w:tc>
        <w:tc>
          <w:tcPr>
            <w:tcW w:w="1137" w:type="dxa"/>
            <w:tcBorders>
              <w:top w:val="single" w:sz="4" w:space="0" w:color="000000"/>
            </w:tcBorders>
            <w:vAlign w:val="center"/>
          </w:tcPr>
          <w:p w14:paraId="49BFA443" w14:textId="77777777" w:rsidR="00152539" w:rsidRPr="00736D0B" w:rsidRDefault="00152539" w:rsidP="009345F8">
            <w:pPr>
              <w:pStyle w:val="Table"/>
              <w:rPr>
                <w:sz w:val="18"/>
                <w:szCs w:val="18"/>
              </w:rPr>
            </w:pPr>
            <w:r w:rsidRPr="00736D0B">
              <w:rPr>
                <w:sz w:val="18"/>
                <w:szCs w:val="18"/>
              </w:rPr>
              <w:t>0.370 [0.065]</w:t>
            </w:r>
          </w:p>
        </w:tc>
        <w:tc>
          <w:tcPr>
            <w:tcW w:w="1136" w:type="dxa"/>
            <w:tcBorders>
              <w:top w:val="single" w:sz="4" w:space="0" w:color="000000"/>
            </w:tcBorders>
            <w:vAlign w:val="center"/>
          </w:tcPr>
          <w:p w14:paraId="580D7B53" w14:textId="77777777" w:rsidR="00152539" w:rsidRPr="00736D0B" w:rsidRDefault="00152539" w:rsidP="009345F8">
            <w:pPr>
              <w:pStyle w:val="Table"/>
              <w:rPr>
                <w:sz w:val="18"/>
                <w:szCs w:val="18"/>
              </w:rPr>
            </w:pPr>
            <w:r w:rsidRPr="00736D0B">
              <w:rPr>
                <w:sz w:val="18"/>
                <w:szCs w:val="18"/>
              </w:rPr>
              <w:t>0.233 [0.063]</w:t>
            </w:r>
          </w:p>
        </w:tc>
        <w:tc>
          <w:tcPr>
            <w:tcW w:w="1216" w:type="dxa"/>
            <w:tcBorders>
              <w:top w:val="single" w:sz="4" w:space="0" w:color="000000"/>
            </w:tcBorders>
            <w:vAlign w:val="center"/>
          </w:tcPr>
          <w:p w14:paraId="184108F4" w14:textId="77777777" w:rsidR="00152539" w:rsidRPr="00736D0B" w:rsidRDefault="00152539" w:rsidP="009345F8">
            <w:pPr>
              <w:pStyle w:val="Table"/>
              <w:rPr>
                <w:sz w:val="18"/>
                <w:szCs w:val="18"/>
              </w:rPr>
            </w:pPr>
            <w:r w:rsidRPr="00736D0B">
              <w:rPr>
                <w:sz w:val="18"/>
                <w:szCs w:val="18"/>
              </w:rPr>
              <w:t>0.213 [0.061]</w:t>
            </w:r>
          </w:p>
        </w:tc>
        <w:tc>
          <w:tcPr>
            <w:tcW w:w="1203" w:type="dxa"/>
            <w:tcBorders>
              <w:top w:val="single" w:sz="4" w:space="0" w:color="000000"/>
            </w:tcBorders>
            <w:vAlign w:val="center"/>
          </w:tcPr>
          <w:p w14:paraId="12013E67" w14:textId="77777777" w:rsidR="00152539" w:rsidRPr="00736D0B" w:rsidRDefault="00152539" w:rsidP="009345F8">
            <w:pPr>
              <w:pStyle w:val="Table"/>
              <w:rPr>
                <w:sz w:val="18"/>
                <w:szCs w:val="18"/>
              </w:rPr>
            </w:pPr>
            <w:r w:rsidRPr="00736D0B">
              <w:rPr>
                <w:sz w:val="18"/>
                <w:szCs w:val="18"/>
              </w:rPr>
              <w:t>2.635 [1.034]</w:t>
            </w:r>
          </w:p>
        </w:tc>
        <w:tc>
          <w:tcPr>
            <w:tcW w:w="1203" w:type="dxa"/>
            <w:tcBorders>
              <w:top w:val="single" w:sz="4" w:space="0" w:color="000000"/>
            </w:tcBorders>
            <w:vAlign w:val="center"/>
          </w:tcPr>
          <w:p w14:paraId="54C3AD04" w14:textId="77777777" w:rsidR="00152539" w:rsidRPr="00736D0B" w:rsidRDefault="00152539" w:rsidP="009345F8">
            <w:pPr>
              <w:pStyle w:val="Table"/>
              <w:rPr>
                <w:sz w:val="18"/>
                <w:szCs w:val="18"/>
              </w:rPr>
            </w:pPr>
            <w:r w:rsidRPr="00736D0B">
              <w:rPr>
                <w:sz w:val="18"/>
                <w:szCs w:val="18"/>
              </w:rPr>
              <w:t>2.108 [1.264]</w:t>
            </w:r>
          </w:p>
        </w:tc>
      </w:tr>
      <w:tr w:rsidR="00152539" w:rsidRPr="00736D0B" w14:paraId="02EFD7D4" w14:textId="77777777" w:rsidTr="009345F8">
        <w:trPr>
          <w:trHeight w:val="293"/>
        </w:trPr>
        <w:tc>
          <w:tcPr>
            <w:tcW w:w="3463" w:type="dxa"/>
            <w:vAlign w:val="center"/>
          </w:tcPr>
          <w:p w14:paraId="0420F9AA" w14:textId="77777777" w:rsidR="00152539" w:rsidRPr="00736D0B" w:rsidRDefault="00152539" w:rsidP="009345F8">
            <w:pPr>
              <w:pStyle w:val="Table"/>
              <w:rPr>
                <w:sz w:val="18"/>
                <w:szCs w:val="18"/>
              </w:rPr>
            </w:pPr>
            <w:r w:rsidRPr="00736D0B">
              <w:rPr>
                <w:sz w:val="18"/>
                <w:szCs w:val="18"/>
              </w:rPr>
              <w:t>Vote share Labor Party (2000)</w:t>
            </w:r>
          </w:p>
        </w:tc>
        <w:tc>
          <w:tcPr>
            <w:tcW w:w="1137" w:type="dxa"/>
            <w:vAlign w:val="center"/>
          </w:tcPr>
          <w:p w14:paraId="0016AB3B" w14:textId="77777777" w:rsidR="00152539" w:rsidRPr="00736D0B" w:rsidRDefault="00152539" w:rsidP="009345F8">
            <w:pPr>
              <w:pStyle w:val="Table"/>
              <w:rPr>
                <w:sz w:val="18"/>
                <w:szCs w:val="18"/>
              </w:rPr>
            </w:pPr>
            <w:r w:rsidRPr="00736D0B">
              <w:rPr>
                <w:sz w:val="18"/>
                <w:szCs w:val="18"/>
              </w:rPr>
              <w:t>0.566 [0.056]</w:t>
            </w:r>
          </w:p>
        </w:tc>
        <w:tc>
          <w:tcPr>
            <w:tcW w:w="1136" w:type="dxa"/>
            <w:vAlign w:val="center"/>
          </w:tcPr>
          <w:p w14:paraId="00B399F4" w14:textId="77777777" w:rsidR="00152539" w:rsidRPr="00736D0B" w:rsidRDefault="00152539" w:rsidP="009345F8">
            <w:pPr>
              <w:pStyle w:val="Table"/>
              <w:rPr>
                <w:sz w:val="18"/>
                <w:szCs w:val="18"/>
              </w:rPr>
            </w:pPr>
            <w:r w:rsidRPr="00736D0B">
              <w:rPr>
                <w:sz w:val="18"/>
                <w:szCs w:val="18"/>
              </w:rPr>
              <w:t>0.179 [0.073]</w:t>
            </w:r>
          </w:p>
        </w:tc>
        <w:tc>
          <w:tcPr>
            <w:tcW w:w="1216" w:type="dxa"/>
            <w:vAlign w:val="center"/>
          </w:tcPr>
          <w:p w14:paraId="0525DCDE" w14:textId="77777777" w:rsidR="00152539" w:rsidRPr="00736D0B" w:rsidRDefault="00152539" w:rsidP="009345F8">
            <w:pPr>
              <w:pStyle w:val="Table"/>
              <w:rPr>
                <w:sz w:val="18"/>
                <w:szCs w:val="18"/>
              </w:rPr>
            </w:pPr>
            <w:r w:rsidRPr="00736D0B">
              <w:rPr>
                <w:sz w:val="18"/>
                <w:szCs w:val="18"/>
              </w:rPr>
              <w:t>0.141 [0.076]</w:t>
            </w:r>
          </w:p>
        </w:tc>
        <w:tc>
          <w:tcPr>
            <w:tcW w:w="1203" w:type="dxa"/>
            <w:vAlign w:val="center"/>
          </w:tcPr>
          <w:p w14:paraId="1896ECC3" w14:textId="77777777" w:rsidR="00152539" w:rsidRPr="00736D0B" w:rsidRDefault="00152539" w:rsidP="009345F8">
            <w:pPr>
              <w:pStyle w:val="Table"/>
              <w:rPr>
                <w:sz w:val="18"/>
                <w:szCs w:val="18"/>
              </w:rPr>
            </w:pPr>
            <w:r w:rsidRPr="00736D0B">
              <w:rPr>
                <w:sz w:val="18"/>
                <w:szCs w:val="18"/>
              </w:rPr>
              <w:t>0.152 [0.071]</w:t>
            </w:r>
          </w:p>
        </w:tc>
        <w:tc>
          <w:tcPr>
            <w:tcW w:w="1203" w:type="dxa"/>
            <w:vAlign w:val="center"/>
          </w:tcPr>
          <w:p w14:paraId="7105B4A3" w14:textId="77777777" w:rsidR="00152539" w:rsidRPr="00736D0B" w:rsidRDefault="00152539" w:rsidP="009345F8">
            <w:pPr>
              <w:pStyle w:val="Table"/>
              <w:rPr>
                <w:sz w:val="18"/>
                <w:szCs w:val="18"/>
              </w:rPr>
            </w:pPr>
            <w:r w:rsidRPr="00736D0B">
              <w:rPr>
                <w:sz w:val="18"/>
                <w:szCs w:val="18"/>
              </w:rPr>
              <w:t>0.155 [0.071]</w:t>
            </w:r>
          </w:p>
        </w:tc>
      </w:tr>
      <w:tr w:rsidR="00152539" w:rsidRPr="00736D0B" w14:paraId="6EFFC75C" w14:textId="77777777" w:rsidTr="009345F8">
        <w:trPr>
          <w:trHeight w:val="293"/>
        </w:trPr>
        <w:tc>
          <w:tcPr>
            <w:tcW w:w="3463" w:type="dxa"/>
            <w:vAlign w:val="center"/>
          </w:tcPr>
          <w:p w14:paraId="46378C99" w14:textId="77777777" w:rsidR="00152539" w:rsidRPr="00736D0B" w:rsidRDefault="00152539" w:rsidP="009345F8">
            <w:pPr>
              <w:pStyle w:val="Table"/>
              <w:rPr>
                <w:sz w:val="18"/>
                <w:szCs w:val="18"/>
              </w:rPr>
            </w:pPr>
            <w:r w:rsidRPr="00736D0B">
              <w:rPr>
                <w:sz w:val="18"/>
                <w:szCs w:val="18"/>
              </w:rPr>
              <w:t>Average Nominal Income (log)</w:t>
            </w:r>
          </w:p>
        </w:tc>
        <w:tc>
          <w:tcPr>
            <w:tcW w:w="1137" w:type="dxa"/>
            <w:vAlign w:val="center"/>
          </w:tcPr>
          <w:p w14:paraId="5C19A658" w14:textId="77777777" w:rsidR="00152539" w:rsidRPr="00736D0B" w:rsidRDefault="00152539" w:rsidP="009345F8">
            <w:pPr>
              <w:pStyle w:val="Table"/>
              <w:rPr>
                <w:sz w:val="18"/>
                <w:szCs w:val="18"/>
              </w:rPr>
            </w:pPr>
          </w:p>
        </w:tc>
        <w:tc>
          <w:tcPr>
            <w:tcW w:w="1136" w:type="dxa"/>
            <w:vAlign w:val="center"/>
          </w:tcPr>
          <w:p w14:paraId="5F0F69DD" w14:textId="77777777" w:rsidR="00152539" w:rsidRPr="00736D0B" w:rsidRDefault="00152539" w:rsidP="009345F8">
            <w:pPr>
              <w:pStyle w:val="Table"/>
              <w:rPr>
                <w:sz w:val="18"/>
                <w:szCs w:val="18"/>
              </w:rPr>
            </w:pPr>
            <w:r w:rsidRPr="00736D0B">
              <w:rPr>
                <w:sz w:val="18"/>
                <w:szCs w:val="18"/>
              </w:rPr>
              <w:t>-0.040 [0.006]</w:t>
            </w:r>
          </w:p>
        </w:tc>
        <w:tc>
          <w:tcPr>
            <w:tcW w:w="1216" w:type="dxa"/>
            <w:vAlign w:val="center"/>
          </w:tcPr>
          <w:p w14:paraId="6D5D32B3" w14:textId="77777777" w:rsidR="00152539" w:rsidRPr="00736D0B" w:rsidRDefault="00152539" w:rsidP="009345F8">
            <w:pPr>
              <w:pStyle w:val="Table"/>
              <w:rPr>
                <w:sz w:val="18"/>
                <w:szCs w:val="18"/>
              </w:rPr>
            </w:pPr>
            <w:r w:rsidRPr="00736D0B">
              <w:rPr>
                <w:sz w:val="18"/>
                <w:szCs w:val="18"/>
              </w:rPr>
              <w:t>-0.040 [0.007]</w:t>
            </w:r>
          </w:p>
        </w:tc>
        <w:tc>
          <w:tcPr>
            <w:tcW w:w="1203" w:type="dxa"/>
            <w:vAlign w:val="center"/>
          </w:tcPr>
          <w:p w14:paraId="2B6F010D" w14:textId="77777777" w:rsidR="00152539" w:rsidRPr="00736D0B" w:rsidRDefault="00152539" w:rsidP="009345F8">
            <w:pPr>
              <w:pStyle w:val="Table"/>
              <w:rPr>
                <w:sz w:val="18"/>
                <w:szCs w:val="18"/>
              </w:rPr>
            </w:pPr>
            <w:r w:rsidRPr="00736D0B">
              <w:rPr>
                <w:sz w:val="18"/>
                <w:szCs w:val="18"/>
              </w:rPr>
              <w:t>-0.030 [0.007]</w:t>
            </w:r>
          </w:p>
        </w:tc>
        <w:tc>
          <w:tcPr>
            <w:tcW w:w="1203" w:type="dxa"/>
            <w:vAlign w:val="center"/>
          </w:tcPr>
          <w:p w14:paraId="5C882BA9" w14:textId="77777777" w:rsidR="00152539" w:rsidRPr="00736D0B" w:rsidRDefault="00152539" w:rsidP="009345F8">
            <w:pPr>
              <w:pStyle w:val="Table"/>
              <w:rPr>
                <w:sz w:val="18"/>
                <w:szCs w:val="18"/>
              </w:rPr>
            </w:pPr>
            <w:r w:rsidRPr="00736D0B">
              <w:rPr>
                <w:sz w:val="18"/>
                <w:szCs w:val="18"/>
              </w:rPr>
              <w:t>-0.033 [0.008]</w:t>
            </w:r>
          </w:p>
        </w:tc>
      </w:tr>
      <w:tr w:rsidR="00152539" w:rsidRPr="00736D0B" w14:paraId="585DCD3B" w14:textId="77777777" w:rsidTr="009345F8">
        <w:trPr>
          <w:trHeight w:val="293"/>
        </w:trPr>
        <w:tc>
          <w:tcPr>
            <w:tcW w:w="3463" w:type="dxa"/>
            <w:vAlign w:val="center"/>
          </w:tcPr>
          <w:p w14:paraId="659013DF" w14:textId="77777777" w:rsidR="00152539" w:rsidRPr="00736D0B" w:rsidRDefault="00152539" w:rsidP="009345F8">
            <w:pPr>
              <w:pStyle w:val="Table"/>
              <w:rPr>
                <w:sz w:val="18"/>
                <w:szCs w:val="18"/>
              </w:rPr>
            </w:pPr>
            <w:r w:rsidRPr="00736D0B">
              <w:rPr>
                <w:sz w:val="18"/>
                <w:szCs w:val="18"/>
              </w:rPr>
              <w:t>Distance to the nearest rail station (Km)</w:t>
            </w:r>
          </w:p>
        </w:tc>
        <w:tc>
          <w:tcPr>
            <w:tcW w:w="1137" w:type="dxa"/>
            <w:vAlign w:val="center"/>
          </w:tcPr>
          <w:p w14:paraId="6357512A" w14:textId="77777777" w:rsidR="00152539" w:rsidRPr="00736D0B" w:rsidRDefault="00152539" w:rsidP="009345F8">
            <w:pPr>
              <w:pStyle w:val="Table"/>
              <w:rPr>
                <w:sz w:val="18"/>
                <w:szCs w:val="18"/>
              </w:rPr>
            </w:pPr>
          </w:p>
        </w:tc>
        <w:tc>
          <w:tcPr>
            <w:tcW w:w="1136" w:type="dxa"/>
            <w:vAlign w:val="center"/>
          </w:tcPr>
          <w:p w14:paraId="27D19B77" w14:textId="77777777" w:rsidR="00152539" w:rsidRPr="00736D0B" w:rsidRDefault="00152539" w:rsidP="009345F8">
            <w:pPr>
              <w:pStyle w:val="Table"/>
              <w:rPr>
                <w:sz w:val="18"/>
                <w:szCs w:val="18"/>
              </w:rPr>
            </w:pPr>
            <w:r w:rsidRPr="00736D0B">
              <w:rPr>
                <w:sz w:val="18"/>
                <w:szCs w:val="18"/>
              </w:rPr>
              <w:t>0.004 [0.002]</w:t>
            </w:r>
          </w:p>
        </w:tc>
        <w:tc>
          <w:tcPr>
            <w:tcW w:w="1216" w:type="dxa"/>
            <w:vAlign w:val="center"/>
          </w:tcPr>
          <w:p w14:paraId="2F45EA97" w14:textId="77777777" w:rsidR="00152539" w:rsidRPr="00736D0B" w:rsidRDefault="00152539" w:rsidP="009345F8">
            <w:pPr>
              <w:pStyle w:val="Table"/>
              <w:rPr>
                <w:sz w:val="18"/>
                <w:szCs w:val="18"/>
              </w:rPr>
            </w:pPr>
            <w:r w:rsidRPr="00736D0B">
              <w:rPr>
                <w:sz w:val="18"/>
                <w:szCs w:val="18"/>
              </w:rPr>
              <w:t>0.003 [0.002]</w:t>
            </w:r>
          </w:p>
        </w:tc>
        <w:tc>
          <w:tcPr>
            <w:tcW w:w="1203" w:type="dxa"/>
            <w:vAlign w:val="center"/>
          </w:tcPr>
          <w:p w14:paraId="28456BD6" w14:textId="77777777" w:rsidR="00152539" w:rsidRPr="00736D0B" w:rsidRDefault="00152539" w:rsidP="009345F8">
            <w:pPr>
              <w:pStyle w:val="Table"/>
              <w:rPr>
                <w:sz w:val="18"/>
                <w:szCs w:val="18"/>
              </w:rPr>
            </w:pPr>
            <w:r w:rsidRPr="00736D0B">
              <w:rPr>
                <w:sz w:val="18"/>
                <w:szCs w:val="18"/>
              </w:rPr>
              <w:t>0.003 [0.002]</w:t>
            </w:r>
          </w:p>
        </w:tc>
        <w:tc>
          <w:tcPr>
            <w:tcW w:w="1203" w:type="dxa"/>
            <w:vAlign w:val="center"/>
          </w:tcPr>
          <w:p w14:paraId="0A46C770" w14:textId="77777777" w:rsidR="00152539" w:rsidRPr="00736D0B" w:rsidRDefault="00152539" w:rsidP="009345F8">
            <w:pPr>
              <w:pStyle w:val="Table"/>
              <w:rPr>
                <w:sz w:val="18"/>
                <w:szCs w:val="18"/>
              </w:rPr>
            </w:pPr>
            <w:r w:rsidRPr="00736D0B">
              <w:rPr>
                <w:sz w:val="18"/>
                <w:szCs w:val="18"/>
              </w:rPr>
              <w:t>0.002 [0.002]</w:t>
            </w:r>
          </w:p>
        </w:tc>
      </w:tr>
      <w:tr w:rsidR="00152539" w:rsidRPr="00736D0B" w14:paraId="190D47B4" w14:textId="77777777" w:rsidTr="009345F8">
        <w:trPr>
          <w:trHeight w:val="293"/>
        </w:trPr>
        <w:tc>
          <w:tcPr>
            <w:tcW w:w="3463" w:type="dxa"/>
            <w:vAlign w:val="center"/>
          </w:tcPr>
          <w:p w14:paraId="21973D75" w14:textId="77777777" w:rsidR="00152539" w:rsidRPr="00736D0B" w:rsidRDefault="00152539" w:rsidP="009345F8">
            <w:pPr>
              <w:pStyle w:val="Table"/>
              <w:rPr>
                <w:sz w:val="18"/>
                <w:szCs w:val="18"/>
              </w:rPr>
            </w:pPr>
            <w:r w:rsidRPr="00736D0B">
              <w:rPr>
                <w:sz w:val="18"/>
                <w:szCs w:val="18"/>
              </w:rPr>
              <w:t>Distance to nearest bus corridor (Km)</w:t>
            </w:r>
          </w:p>
        </w:tc>
        <w:tc>
          <w:tcPr>
            <w:tcW w:w="1137" w:type="dxa"/>
            <w:vAlign w:val="center"/>
          </w:tcPr>
          <w:p w14:paraId="421D6FFF" w14:textId="77777777" w:rsidR="00152539" w:rsidRPr="00736D0B" w:rsidRDefault="00152539" w:rsidP="009345F8">
            <w:pPr>
              <w:pStyle w:val="Table"/>
              <w:rPr>
                <w:sz w:val="18"/>
                <w:szCs w:val="18"/>
              </w:rPr>
            </w:pPr>
          </w:p>
        </w:tc>
        <w:tc>
          <w:tcPr>
            <w:tcW w:w="1136" w:type="dxa"/>
            <w:vAlign w:val="center"/>
          </w:tcPr>
          <w:p w14:paraId="7E5E4FD7" w14:textId="77777777" w:rsidR="00152539" w:rsidRPr="00736D0B" w:rsidRDefault="00152539" w:rsidP="009345F8">
            <w:pPr>
              <w:pStyle w:val="Table"/>
              <w:rPr>
                <w:sz w:val="18"/>
                <w:szCs w:val="18"/>
              </w:rPr>
            </w:pPr>
          </w:p>
        </w:tc>
        <w:tc>
          <w:tcPr>
            <w:tcW w:w="1216" w:type="dxa"/>
            <w:vAlign w:val="center"/>
          </w:tcPr>
          <w:p w14:paraId="0329F2E1" w14:textId="77777777" w:rsidR="00152539" w:rsidRPr="00736D0B" w:rsidRDefault="00152539" w:rsidP="009345F8">
            <w:pPr>
              <w:pStyle w:val="Table"/>
              <w:rPr>
                <w:sz w:val="18"/>
                <w:szCs w:val="18"/>
              </w:rPr>
            </w:pPr>
            <w:r w:rsidRPr="00736D0B">
              <w:rPr>
                <w:sz w:val="18"/>
                <w:szCs w:val="18"/>
              </w:rPr>
              <w:t>-0.0002 [0.001]</w:t>
            </w:r>
          </w:p>
        </w:tc>
        <w:tc>
          <w:tcPr>
            <w:tcW w:w="1203" w:type="dxa"/>
            <w:vAlign w:val="center"/>
          </w:tcPr>
          <w:p w14:paraId="7B575A4E" w14:textId="77777777" w:rsidR="00152539" w:rsidRPr="00736D0B" w:rsidRDefault="00152539" w:rsidP="009345F8">
            <w:pPr>
              <w:pStyle w:val="Table"/>
              <w:rPr>
                <w:sz w:val="18"/>
                <w:szCs w:val="18"/>
              </w:rPr>
            </w:pPr>
            <w:r w:rsidRPr="00736D0B">
              <w:rPr>
                <w:sz w:val="18"/>
                <w:szCs w:val="18"/>
              </w:rPr>
              <w:t>-0.001 [0.001]</w:t>
            </w:r>
          </w:p>
        </w:tc>
        <w:tc>
          <w:tcPr>
            <w:tcW w:w="1203" w:type="dxa"/>
            <w:vAlign w:val="center"/>
          </w:tcPr>
          <w:p w14:paraId="613067DC" w14:textId="77777777" w:rsidR="00152539" w:rsidRPr="00736D0B" w:rsidRDefault="00152539" w:rsidP="009345F8">
            <w:pPr>
              <w:pStyle w:val="Table"/>
              <w:rPr>
                <w:sz w:val="18"/>
                <w:szCs w:val="18"/>
              </w:rPr>
            </w:pPr>
            <w:r w:rsidRPr="00736D0B">
              <w:rPr>
                <w:sz w:val="18"/>
                <w:szCs w:val="18"/>
              </w:rPr>
              <w:t>-0.001 [0.001]</w:t>
            </w:r>
          </w:p>
        </w:tc>
      </w:tr>
      <w:tr w:rsidR="00152539" w:rsidRPr="00736D0B" w14:paraId="6936F52C" w14:textId="77777777" w:rsidTr="009345F8">
        <w:trPr>
          <w:trHeight w:val="293"/>
        </w:trPr>
        <w:tc>
          <w:tcPr>
            <w:tcW w:w="3463" w:type="dxa"/>
            <w:vAlign w:val="center"/>
          </w:tcPr>
          <w:p w14:paraId="2D8483A2" w14:textId="77777777" w:rsidR="00152539" w:rsidRPr="00736D0B" w:rsidRDefault="00152539" w:rsidP="009345F8">
            <w:pPr>
              <w:pStyle w:val="Table"/>
              <w:rPr>
                <w:sz w:val="18"/>
                <w:szCs w:val="18"/>
              </w:rPr>
            </w:pPr>
            <w:r w:rsidRPr="00736D0B">
              <w:rPr>
                <w:sz w:val="18"/>
                <w:szCs w:val="18"/>
              </w:rPr>
              <w:t>The proportion of Transport Voucher users</w:t>
            </w:r>
          </w:p>
        </w:tc>
        <w:tc>
          <w:tcPr>
            <w:tcW w:w="1137" w:type="dxa"/>
            <w:vAlign w:val="center"/>
          </w:tcPr>
          <w:p w14:paraId="4FBA9D04" w14:textId="77777777" w:rsidR="00152539" w:rsidRPr="00736D0B" w:rsidRDefault="00152539" w:rsidP="009345F8">
            <w:pPr>
              <w:pStyle w:val="Table"/>
              <w:rPr>
                <w:sz w:val="18"/>
                <w:szCs w:val="18"/>
              </w:rPr>
            </w:pPr>
          </w:p>
        </w:tc>
        <w:tc>
          <w:tcPr>
            <w:tcW w:w="1136" w:type="dxa"/>
            <w:vAlign w:val="center"/>
          </w:tcPr>
          <w:p w14:paraId="45268103" w14:textId="77777777" w:rsidR="00152539" w:rsidRPr="00736D0B" w:rsidRDefault="00152539" w:rsidP="009345F8">
            <w:pPr>
              <w:pStyle w:val="Table"/>
              <w:rPr>
                <w:sz w:val="18"/>
                <w:szCs w:val="18"/>
              </w:rPr>
            </w:pPr>
            <w:r w:rsidRPr="00736D0B">
              <w:rPr>
                <w:sz w:val="18"/>
                <w:szCs w:val="18"/>
              </w:rPr>
              <w:t>0.043 [0.030]</w:t>
            </w:r>
          </w:p>
        </w:tc>
        <w:tc>
          <w:tcPr>
            <w:tcW w:w="1216" w:type="dxa"/>
            <w:vAlign w:val="center"/>
          </w:tcPr>
          <w:p w14:paraId="713032C5" w14:textId="77777777" w:rsidR="00152539" w:rsidRPr="00736D0B" w:rsidRDefault="00152539" w:rsidP="009345F8">
            <w:pPr>
              <w:pStyle w:val="Table"/>
              <w:rPr>
                <w:sz w:val="18"/>
                <w:szCs w:val="18"/>
              </w:rPr>
            </w:pPr>
            <w:r w:rsidRPr="00736D0B">
              <w:rPr>
                <w:sz w:val="18"/>
                <w:szCs w:val="18"/>
              </w:rPr>
              <w:t>0.054 [0.029]</w:t>
            </w:r>
          </w:p>
        </w:tc>
        <w:tc>
          <w:tcPr>
            <w:tcW w:w="1203" w:type="dxa"/>
            <w:vAlign w:val="center"/>
          </w:tcPr>
          <w:p w14:paraId="611891DF" w14:textId="77777777" w:rsidR="00152539" w:rsidRPr="00736D0B" w:rsidRDefault="00152539" w:rsidP="009345F8">
            <w:pPr>
              <w:pStyle w:val="Table"/>
              <w:rPr>
                <w:sz w:val="18"/>
                <w:szCs w:val="18"/>
              </w:rPr>
            </w:pPr>
            <w:r w:rsidRPr="00736D0B">
              <w:rPr>
                <w:sz w:val="18"/>
                <w:szCs w:val="18"/>
              </w:rPr>
              <w:t>0.042 [0.028]</w:t>
            </w:r>
          </w:p>
        </w:tc>
        <w:tc>
          <w:tcPr>
            <w:tcW w:w="1203" w:type="dxa"/>
            <w:vAlign w:val="center"/>
          </w:tcPr>
          <w:p w14:paraId="06A0FDD8" w14:textId="77777777" w:rsidR="00152539" w:rsidRPr="00736D0B" w:rsidRDefault="00152539" w:rsidP="009345F8">
            <w:pPr>
              <w:pStyle w:val="Table"/>
              <w:rPr>
                <w:sz w:val="18"/>
                <w:szCs w:val="18"/>
              </w:rPr>
            </w:pPr>
            <w:r w:rsidRPr="00736D0B">
              <w:rPr>
                <w:sz w:val="18"/>
                <w:szCs w:val="18"/>
              </w:rPr>
              <w:t>0.022 [0.029]</w:t>
            </w:r>
          </w:p>
        </w:tc>
      </w:tr>
      <w:tr w:rsidR="00152539" w:rsidRPr="00736D0B" w14:paraId="1A2C6E2E" w14:textId="77777777" w:rsidTr="009345F8">
        <w:trPr>
          <w:trHeight w:val="293"/>
        </w:trPr>
        <w:tc>
          <w:tcPr>
            <w:tcW w:w="3463" w:type="dxa"/>
            <w:vAlign w:val="center"/>
          </w:tcPr>
          <w:p w14:paraId="7C68918A" w14:textId="77777777" w:rsidR="00152539" w:rsidRPr="00736D0B" w:rsidRDefault="00152539" w:rsidP="009345F8">
            <w:pPr>
              <w:pStyle w:val="Table"/>
              <w:rPr>
                <w:sz w:val="18"/>
                <w:szCs w:val="18"/>
              </w:rPr>
            </w:pPr>
            <w:r w:rsidRPr="00736D0B">
              <w:rPr>
                <w:sz w:val="18"/>
                <w:szCs w:val="18"/>
              </w:rPr>
              <w:t>Proportion of Students</w:t>
            </w:r>
          </w:p>
        </w:tc>
        <w:tc>
          <w:tcPr>
            <w:tcW w:w="1137" w:type="dxa"/>
            <w:vAlign w:val="center"/>
          </w:tcPr>
          <w:p w14:paraId="52A4654D" w14:textId="77777777" w:rsidR="00152539" w:rsidRPr="00736D0B" w:rsidRDefault="00152539" w:rsidP="009345F8">
            <w:pPr>
              <w:pStyle w:val="Table"/>
              <w:rPr>
                <w:sz w:val="18"/>
                <w:szCs w:val="18"/>
              </w:rPr>
            </w:pPr>
          </w:p>
        </w:tc>
        <w:tc>
          <w:tcPr>
            <w:tcW w:w="1136" w:type="dxa"/>
            <w:vAlign w:val="center"/>
          </w:tcPr>
          <w:p w14:paraId="07CF12B8" w14:textId="77777777" w:rsidR="00152539" w:rsidRPr="00736D0B" w:rsidRDefault="00152539" w:rsidP="009345F8">
            <w:pPr>
              <w:pStyle w:val="Table"/>
              <w:rPr>
                <w:sz w:val="18"/>
                <w:szCs w:val="18"/>
              </w:rPr>
            </w:pPr>
          </w:p>
        </w:tc>
        <w:tc>
          <w:tcPr>
            <w:tcW w:w="1216" w:type="dxa"/>
            <w:vAlign w:val="center"/>
          </w:tcPr>
          <w:p w14:paraId="2E0DC4DB" w14:textId="77777777" w:rsidR="00152539" w:rsidRPr="00736D0B" w:rsidRDefault="00152539" w:rsidP="009345F8">
            <w:pPr>
              <w:pStyle w:val="Table"/>
              <w:rPr>
                <w:sz w:val="18"/>
                <w:szCs w:val="18"/>
              </w:rPr>
            </w:pPr>
            <w:r w:rsidRPr="00736D0B">
              <w:rPr>
                <w:sz w:val="18"/>
                <w:szCs w:val="18"/>
              </w:rPr>
              <w:t>0.037 [0.026]</w:t>
            </w:r>
          </w:p>
        </w:tc>
        <w:tc>
          <w:tcPr>
            <w:tcW w:w="1203" w:type="dxa"/>
            <w:vAlign w:val="center"/>
          </w:tcPr>
          <w:p w14:paraId="6145DF3F" w14:textId="77777777" w:rsidR="00152539" w:rsidRPr="00736D0B" w:rsidRDefault="00152539" w:rsidP="009345F8">
            <w:pPr>
              <w:pStyle w:val="Table"/>
              <w:rPr>
                <w:sz w:val="18"/>
                <w:szCs w:val="18"/>
              </w:rPr>
            </w:pPr>
            <w:r w:rsidRPr="00736D0B">
              <w:rPr>
                <w:sz w:val="18"/>
                <w:szCs w:val="18"/>
              </w:rPr>
              <w:t>0.019 [0.029]</w:t>
            </w:r>
          </w:p>
        </w:tc>
        <w:tc>
          <w:tcPr>
            <w:tcW w:w="1203" w:type="dxa"/>
            <w:vAlign w:val="center"/>
          </w:tcPr>
          <w:p w14:paraId="50925DFC" w14:textId="77777777" w:rsidR="00152539" w:rsidRPr="00736D0B" w:rsidRDefault="00152539" w:rsidP="009345F8">
            <w:pPr>
              <w:pStyle w:val="Table"/>
              <w:rPr>
                <w:sz w:val="18"/>
                <w:szCs w:val="18"/>
              </w:rPr>
            </w:pPr>
            <w:r w:rsidRPr="00736D0B">
              <w:rPr>
                <w:sz w:val="18"/>
                <w:szCs w:val="18"/>
              </w:rPr>
              <w:t>0.022 [0.029]</w:t>
            </w:r>
          </w:p>
        </w:tc>
      </w:tr>
      <w:tr w:rsidR="00152539" w:rsidRPr="00736D0B" w14:paraId="3E0B6088" w14:textId="77777777" w:rsidTr="009345F8">
        <w:trPr>
          <w:trHeight w:val="329"/>
        </w:trPr>
        <w:tc>
          <w:tcPr>
            <w:tcW w:w="3463" w:type="dxa"/>
            <w:tcBorders>
              <w:bottom w:val="single" w:sz="4" w:space="0" w:color="000000"/>
            </w:tcBorders>
            <w:vAlign w:val="center"/>
          </w:tcPr>
          <w:p w14:paraId="358BA830" w14:textId="77777777" w:rsidR="00152539" w:rsidRPr="00736D0B" w:rsidRDefault="00152539" w:rsidP="009345F8">
            <w:pPr>
              <w:pStyle w:val="Table"/>
              <w:rPr>
                <w:sz w:val="18"/>
                <w:szCs w:val="18"/>
              </w:rPr>
            </w:pPr>
            <w:r w:rsidRPr="00736D0B">
              <w:rPr>
                <w:sz w:val="18"/>
                <w:szCs w:val="18"/>
              </w:rPr>
              <w:t>Presence of CEU unit (1 km radius, dummy)</w:t>
            </w:r>
          </w:p>
        </w:tc>
        <w:tc>
          <w:tcPr>
            <w:tcW w:w="1137" w:type="dxa"/>
            <w:tcBorders>
              <w:bottom w:val="single" w:sz="4" w:space="0" w:color="000000"/>
            </w:tcBorders>
            <w:vAlign w:val="center"/>
          </w:tcPr>
          <w:p w14:paraId="49C00C3C" w14:textId="77777777" w:rsidR="00152539" w:rsidRPr="00736D0B" w:rsidRDefault="00152539" w:rsidP="009345F8">
            <w:pPr>
              <w:pStyle w:val="Table"/>
              <w:rPr>
                <w:sz w:val="18"/>
                <w:szCs w:val="18"/>
              </w:rPr>
            </w:pPr>
          </w:p>
        </w:tc>
        <w:tc>
          <w:tcPr>
            <w:tcW w:w="1136" w:type="dxa"/>
            <w:tcBorders>
              <w:bottom w:val="single" w:sz="4" w:space="0" w:color="000000"/>
            </w:tcBorders>
            <w:vAlign w:val="center"/>
          </w:tcPr>
          <w:p w14:paraId="67A2289F" w14:textId="77777777" w:rsidR="00152539" w:rsidRPr="00736D0B" w:rsidRDefault="00152539" w:rsidP="009345F8">
            <w:pPr>
              <w:pStyle w:val="Table"/>
              <w:rPr>
                <w:sz w:val="18"/>
                <w:szCs w:val="18"/>
              </w:rPr>
            </w:pPr>
          </w:p>
        </w:tc>
        <w:tc>
          <w:tcPr>
            <w:tcW w:w="1216" w:type="dxa"/>
            <w:tcBorders>
              <w:bottom w:val="single" w:sz="4" w:space="0" w:color="000000"/>
            </w:tcBorders>
            <w:vAlign w:val="center"/>
          </w:tcPr>
          <w:p w14:paraId="52FD38E6" w14:textId="77777777" w:rsidR="00152539" w:rsidRPr="00736D0B" w:rsidRDefault="00152539" w:rsidP="009345F8">
            <w:pPr>
              <w:pStyle w:val="Table"/>
              <w:rPr>
                <w:sz w:val="18"/>
                <w:szCs w:val="18"/>
              </w:rPr>
            </w:pPr>
            <w:r w:rsidRPr="00736D0B">
              <w:rPr>
                <w:sz w:val="18"/>
                <w:szCs w:val="18"/>
              </w:rPr>
              <w:t>0.058 [0.015]</w:t>
            </w:r>
          </w:p>
        </w:tc>
        <w:tc>
          <w:tcPr>
            <w:tcW w:w="1203" w:type="dxa"/>
            <w:tcBorders>
              <w:bottom w:val="single" w:sz="4" w:space="0" w:color="000000"/>
            </w:tcBorders>
            <w:vAlign w:val="center"/>
          </w:tcPr>
          <w:p w14:paraId="577CA0ED" w14:textId="77777777" w:rsidR="00152539" w:rsidRPr="00736D0B" w:rsidRDefault="00152539" w:rsidP="009345F8">
            <w:pPr>
              <w:pStyle w:val="Table"/>
              <w:rPr>
                <w:sz w:val="18"/>
                <w:szCs w:val="18"/>
              </w:rPr>
            </w:pPr>
            <w:r w:rsidRPr="00736D0B">
              <w:rPr>
                <w:sz w:val="18"/>
                <w:szCs w:val="18"/>
              </w:rPr>
              <w:t>0.047 [0.015]</w:t>
            </w:r>
          </w:p>
        </w:tc>
        <w:tc>
          <w:tcPr>
            <w:tcW w:w="1203" w:type="dxa"/>
            <w:tcBorders>
              <w:bottom w:val="single" w:sz="4" w:space="0" w:color="000000"/>
            </w:tcBorders>
            <w:vAlign w:val="center"/>
          </w:tcPr>
          <w:p w14:paraId="633687FA" w14:textId="77777777" w:rsidR="00152539" w:rsidRPr="00736D0B" w:rsidRDefault="00152539" w:rsidP="009345F8">
            <w:pPr>
              <w:pStyle w:val="Table"/>
              <w:rPr>
                <w:sz w:val="18"/>
                <w:szCs w:val="18"/>
              </w:rPr>
            </w:pPr>
            <w:r w:rsidRPr="00736D0B">
              <w:rPr>
                <w:sz w:val="18"/>
                <w:szCs w:val="18"/>
              </w:rPr>
              <w:t>0.048 [0.015]</w:t>
            </w:r>
          </w:p>
        </w:tc>
      </w:tr>
      <w:tr w:rsidR="00152539" w:rsidRPr="00736D0B" w14:paraId="66A2C145" w14:textId="77777777" w:rsidTr="009345F8">
        <w:trPr>
          <w:trHeight w:val="364"/>
        </w:trPr>
        <w:tc>
          <w:tcPr>
            <w:tcW w:w="3463" w:type="dxa"/>
            <w:tcBorders>
              <w:top w:val="single" w:sz="4" w:space="0" w:color="000000"/>
              <w:bottom w:val="single" w:sz="4" w:space="0" w:color="000000"/>
            </w:tcBorders>
            <w:vAlign w:val="center"/>
          </w:tcPr>
          <w:p w14:paraId="55830BA9" w14:textId="77777777" w:rsidR="00152539" w:rsidRPr="00736D0B" w:rsidRDefault="00152539" w:rsidP="009345F8">
            <w:pPr>
              <w:pStyle w:val="Table"/>
              <w:rPr>
                <w:i/>
                <w:iCs/>
                <w:sz w:val="18"/>
                <w:szCs w:val="18"/>
              </w:rPr>
            </w:pPr>
            <w:r w:rsidRPr="00736D0B">
              <w:rPr>
                <w:i/>
                <w:iCs/>
                <w:sz w:val="18"/>
                <w:szCs w:val="18"/>
              </w:rPr>
              <w:t>Interaction terms:</w:t>
            </w:r>
          </w:p>
        </w:tc>
        <w:tc>
          <w:tcPr>
            <w:tcW w:w="1137" w:type="dxa"/>
            <w:tcBorders>
              <w:top w:val="single" w:sz="4" w:space="0" w:color="000000"/>
              <w:bottom w:val="single" w:sz="4" w:space="0" w:color="000000"/>
            </w:tcBorders>
            <w:vAlign w:val="center"/>
          </w:tcPr>
          <w:p w14:paraId="1F632C76" w14:textId="77777777" w:rsidR="00152539" w:rsidRPr="00736D0B" w:rsidRDefault="00152539" w:rsidP="009345F8">
            <w:pPr>
              <w:pStyle w:val="Table"/>
              <w:rPr>
                <w:i/>
                <w:iCs/>
                <w:sz w:val="18"/>
                <w:szCs w:val="18"/>
              </w:rPr>
            </w:pPr>
          </w:p>
        </w:tc>
        <w:tc>
          <w:tcPr>
            <w:tcW w:w="1136" w:type="dxa"/>
            <w:tcBorders>
              <w:top w:val="single" w:sz="4" w:space="0" w:color="000000"/>
              <w:bottom w:val="single" w:sz="4" w:space="0" w:color="000000"/>
            </w:tcBorders>
            <w:vAlign w:val="center"/>
          </w:tcPr>
          <w:p w14:paraId="3AAD6B15" w14:textId="77777777" w:rsidR="00152539" w:rsidRPr="00736D0B" w:rsidRDefault="00152539" w:rsidP="009345F8">
            <w:pPr>
              <w:pStyle w:val="Table"/>
              <w:rPr>
                <w:i/>
                <w:iCs/>
                <w:sz w:val="18"/>
                <w:szCs w:val="18"/>
              </w:rPr>
            </w:pPr>
          </w:p>
        </w:tc>
        <w:tc>
          <w:tcPr>
            <w:tcW w:w="1216" w:type="dxa"/>
            <w:tcBorders>
              <w:top w:val="single" w:sz="4" w:space="0" w:color="000000"/>
              <w:bottom w:val="single" w:sz="4" w:space="0" w:color="000000"/>
            </w:tcBorders>
            <w:vAlign w:val="center"/>
          </w:tcPr>
          <w:p w14:paraId="29F1D1A8" w14:textId="77777777" w:rsidR="00152539" w:rsidRPr="00736D0B" w:rsidRDefault="00152539" w:rsidP="009345F8">
            <w:pPr>
              <w:pStyle w:val="Table"/>
              <w:rPr>
                <w:i/>
                <w:iCs/>
                <w:sz w:val="18"/>
                <w:szCs w:val="18"/>
              </w:rPr>
            </w:pPr>
          </w:p>
        </w:tc>
        <w:tc>
          <w:tcPr>
            <w:tcW w:w="1203" w:type="dxa"/>
            <w:tcBorders>
              <w:top w:val="single" w:sz="4" w:space="0" w:color="000000"/>
              <w:bottom w:val="single" w:sz="4" w:space="0" w:color="000000"/>
            </w:tcBorders>
            <w:vAlign w:val="center"/>
          </w:tcPr>
          <w:p w14:paraId="3D04E961" w14:textId="77777777" w:rsidR="00152539" w:rsidRPr="00736D0B" w:rsidRDefault="00152539" w:rsidP="009345F8">
            <w:pPr>
              <w:pStyle w:val="Table"/>
              <w:rPr>
                <w:i/>
                <w:iCs/>
                <w:sz w:val="18"/>
                <w:szCs w:val="18"/>
              </w:rPr>
            </w:pPr>
          </w:p>
        </w:tc>
        <w:tc>
          <w:tcPr>
            <w:tcW w:w="1203" w:type="dxa"/>
            <w:tcBorders>
              <w:top w:val="single" w:sz="4" w:space="0" w:color="000000"/>
              <w:bottom w:val="single" w:sz="4" w:space="0" w:color="000000"/>
            </w:tcBorders>
            <w:vAlign w:val="center"/>
          </w:tcPr>
          <w:p w14:paraId="007A15CB" w14:textId="77777777" w:rsidR="00152539" w:rsidRPr="00736D0B" w:rsidRDefault="00152539" w:rsidP="009345F8">
            <w:pPr>
              <w:pStyle w:val="Table"/>
              <w:rPr>
                <w:i/>
                <w:iCs/>
                <w:sz w:val="18"/>
                <w:szCs w:val="18"/>
              </w:rPr>
            </w:pPr>
          </w:p>
        </w:tc>
      </w:tr>
      <w:tr w:rsidR="00152539" w:rsidRPr="00736D0B" w14:paraId="1C14FAB1" w14:textId="77777777" w:rsidTr="009345F8">
        <w:trPr>
          <w:trHeight w:val="328"/>
        </w:trPr>
        <w:tc>
          <w:tcPr>
            <w:tcW w:w="3463" w:type="dxa"/>
            <w:tcBorders>
              <w:top w:val="single" w:sz="4" w:space="0" w:color="000000"/>
            </w:tcBorders>
            <w:vAlign w:val="center"/>
          </w:tcPr>
          <w:p w14:paraId="0CDD5A93" w14:textId="77777777" w:rsidR="00152539" w:rsidRPr="00736D0B" w:rsidRDefault="00152539" w:rsidP="009345F8">
            <w:pPr>
              <w:pStyle w:val="Table"/>
              <w:rPr>
                <w:sz w:val="18"/>
                <w:szCs w:val="18"/>
              </w:rPr>
            </w:pPr>
            <w:r w:rsidRPr="00736D0B">
              <w:rPr>
                <w:sz w:val="18"/>
                <w:szCs w:val="18"/>
              </w:rPr>
              <w:t>Smart card x Income</w:t>
            </w:r>
          </w:p>
        </w:tc>
        <w:tc>
          <w:tcPr>
            <w:tcW w:w="1137" w:type="dxa"/>
            <w:tcBorders>
              <w:top w:val="single" w:sz="4" w:space="0" w:color="000000"/>
            </w:tcBorders>
            <w:vAlign w:val="center"/>
          </w:tcPr>
          <w:p w14:paraId="22E86490" w14:textId="77777777" w:rsidR="00152539" w:rsidRPr="00736D0B" w:rsidRDefault="00152539" w:rsidP="009345F8">
            <w:pPr>
              <w:pStyle w:val="Table"/>
              <w:rPr>
                <w:sz w:val="18"/>
                <w:szCs w:val="18"/>
              </w:rPr>
            </w:pPr>
          </w:p>
        </w:tc>
        <w:tc>
          <w:tcPr>
            <w:tcW w:w="1136" w:type="dxa"/>
            <w:tcBorders>
              <w:top w:val="single" w:sz="4" w:space="0" w:color="000000"/>
            </w:tcBorders>
            <w:vAlign w:val="center"/>
          </w:tcPr>
          <w:p w14:paraId="4866B3C4" w14:textId="77777777" w:rsidR="00152539" w:rsidRPr="00736D0B" w:rsidRDefault="00152539" w:rsidP="009345F8">
            <w:pPr>
              <w:pStyle w:val="Table"/>
              <w:rPr>
                <w:sz w:val="18"/>
                <w:szCs w:val="18"/>
              </w:rPr>
            </w:pPr>
          </w:p>
        </w:tc>
        <w:tc>
          <w:tcPr>
            <w:tcW w:w="1216" w:type="dxa"/>
            <w:tcBorders>
              <w:top w:val="single" w:sz="4" w:space="0" w:color="000000"/>
            </w:tcBorders>
            <w:vAlign w:val="center"/>
          </w:tcPr>
          <w:p w14:paraId="270B3CAC" w14:textId="77777777" w:rsidR="00152539" w:rsidRPr="00736D0B" w:rsidRDefault="00152539" w:rsidP="009345F8">
            <w:pPr>
              <w:pStyle w:val="Table"/>
              <w:rPr>
                <w:sz w:val="18"/>
                <w:szCs w:val="18"/>
              </w:rPr>
            </w:pPr>
          </w:p>
        </w:tc>
        <w:tc>
          <w:tcPr>
            <w:tcW w:w="1203" w:type="dxa"/>
            <w:tcBorders>
              <w:top w:val="single" w:sz="4" w:space="0" w:color="000000"/>
            </w:tcBorders>
            <w:vAlign w:val="center"/>
          </w:tcPr>
          <w:p w14:paraId="75235D7C" w14:textId="77777777" w:rsidR="00152539" w:rsidRPr="00736D0B" w:rsidRDefault="00152539" w:rsidP="009345F8">
            <w:pPr>
              <w:pStyle w:val="Table"/>
              <w:rPr>
                <w:sz w:val="18"/>
                <w:szCs w:val="18"/>
              </w:rPr>
            </w:pPr>
            <w:r w:rsidRPr="00736D0B">
              <w:rPr>
                <w:sz w:val="18"/>
                <w:szCs w:val="18"/>
              </w:rPr>
              <w:t>-0.376 [0.146]</w:t>
            </w:r>
          </w:p>
        </w:tc>
        <w:tc>
          <w:tcPr>
            <w:tcW w:w="1203" w:type="dxa"/>
            <w:tcBorders>
              <w:top w:val="single" w:sz="4" w:space="0" w:color="000000"/>
            </w:tcBorders>
            <w:vAlign w:val="center"/>
          </w:tcPr>
          <w:p w14:paraId="68C6576E" w14:textId="77777777" w:rsidR="00152539" w:rsidRPr="00736D0B" w:rsidRDefault="00152539" w:rsidP="009345F8">
            <w:pPr>
              <w:pStyle w:val="Table"/>
              <w:rPr>
                <w:sz w:val="18"/>
                <w:szCs w:val="18"/>
              </w:rPr>
            </w:pPr>
            <w:r w:rsidRPr="00736D0B">
              <w:rPr>
                <w:sz w:val="18"/>
                <w:szCs w:val="18"/>
              </w:rPr>
              <w:t>-0.317 [0.166]</w:t>
            </w:r>
          </w:p>
        </w:tc>
      </w:tr>
      <w:tr w:rsidR="00152539" w:rsidRPr="00736D0B" w14:paraId="142D3272" w14:textId="77777777" w:rsidTr="009345F8">
        <w:trPr>
          <w:trHeight w:val="293"/>
        </w:trPr>
        <w:tc>
          <w:tcPr>
            <w:tcW w:w="3463" w:type="dxa"/>
            <w:vAlign w:val="center"/>
          </w:tcPr>
          <w:p w14:paraId="6BE22912" w14:textId="77777777" w:rsidR="00152539" w:rsidRPr="00736D0B" w:rsidRDefault="00152539" w:rsidP="009345F8">
            <w:pPr>
              <w:pStyle w:val="Table"/>
              <w:rPr>
                <w:sz w:val="18"/>
                <w:szCs w:val="18"/>
              </w:rPr>
            </w:pPr>
            <w:r w:rsidRPr="00736D0B">
              <w:rPr>
                <w:sz w:val="18"/>
                <w:szCs w:val="18"/>
              </w:rPr>
              <w:t>Smart card x bus corridor</w:t>
            </w:r>
          </w:p>
        </w:tc>
        <w:tc>
          <w:tcPr>
            <w:tcW w:w="1137" w:type="dxa"/>
            <w:vAlign w:val="center"/>
          </w:tcPr>
          <w:p w14:paraId="5E4E9066" w14:textId="77777777" w:rsidR="00152539" w:rsidRPr="00736D0B" w:rsidRDefault="00152539" w:rsidP="009345F8">
            <w:pPr>
              <w:pStyle w:val="Table"/>
              <w:rPr>
                <w:sz w:val="18"/>
                <w:szCs w:val="18"/>
              </w:rPr>
            </w:pPr>
          </w:p>
        </w:tc>
        <w:tc>
          <w:tcPr>
            <w:tcW w:w="1136" w:type="dxa"/>
            <w:vAlign w:val="center"/>
          </w:tcPr>
          <w:p w14:paraId="07067273" w14:textId="77777777" w:rsidR="00152539" w:rsidRPr="00736D0B" w:rsidRDefault="00152539" w:rsidP="009345F8">
            <w:pPr>
              <w:pStyle w:val="Table"/>
              <w:rPr>
                <w:sz w:val="18"/>
                <w:szCs w:val="18"/>
              </w:rPr>
            </w:pPr>
          </w:p>
        </w:tc>
        <w:tc>
          <w:tcPr>
            <w:tcW w:w="1216" w:type="dxa"/>
            <w:vAlign w:val="center"/>
          </w:tcPr>
          <w:p w14:paraId="1D614DA4" w14:textId="77777777" w:rsidR="00152539" w:rsidRPr="00736D0B" w:rsidRDefault="00152539" w:rsidP="009345F8">
            <w:pPr>
              <w:pStyle w:val="Table"/>
              <w:rPr>
                <w:sz w:val="18"/>
                <w:szCs w:val="18"/>
              </w:rPr>
            </w:pPr>
          </w:p>
        </w:tc>
        <w:tc>
          <w:tcPr>
            <w:tcW w:w="1203" w:type="dxa"/>
            <w:vAlign w:val="center"/>
          </w:tcPr>
          <w:p w14:paraId="38EC5855" w14:textId="77777777" w:rsidR="00152539" w:rsidRPr="00736D0B" w:rsidRDefault="00152539" w:rsidP="009345F8">
            <w:pPr>
              <w:pStyle w:val="Table"/>
              <w:rPr>
                <w:sz w:val="18"/>
                <w:szCs w:val="18"/>
              </w:rPr>
            </w:pPr>
            <w:r w:rsidRPr="00736D0B">
              <w:rPr>
                <w:sz w:val="18"/>
                <w:szCs w:val="18"/>
              </w:rPr>
              <w:t>0.015 [0.010]</w:t>
            </w:r>
          </w:p>
        </w:tc>
        <w:tc>
          <w:tcPr>
            <w:tcW w:w="1203" w:type="dxa"/>
            <w:vAlign w:val="center"/>
          </w:tcPr>
          <w:p w14:paraId="5E0580DB" w14:textId="77777777" w:rsidR="00152539" w:rsidRPr="00736D0B" w:rsidRDefault="00152539" w:rsidP="009345F8">
            <w:pPr>
              <w:pStyle w:val="Table"/>
              <w:rPr>
                <w:sz w:val="18"/>
                <w:szCs w:val="18"/>
              </w:rPr>
            </w:pPr>
            <w:r w:rsidRPr="00736D0B">
              <w:rPr>
                <w:sz w:val="18"/>
                <w:szCs w:val="18"/>
              </w:rPr>
              <w:t>0.015 [0.010]</w:t>
            </w:r>
          </w:p>
        </w:tc>
      </w:tr>
      <w:tr w:rsidR="00152539" w:rsidRPr="00736D0B" w14:paraId="0ACAB58C" w14:textId="77777777" w:rsidTr="009345F8">
        <w:trPr>
          <w:trHeight w:val="293"/>
        </w:trPr>
        <w:tc>
          <w:tcPr>
            <w:tcW w:w="3463" w:type="dxa"/>
            <w:vAlign w:val="center"/>
          </w:tcPr>
          <w:p w14:paraId="24F4ED92" w14:textId="77777777" w:rsidR="00152539" w:rsidRPr="00736D0B" w:rsidRDefault="00152539" w:rsidP="009345F8">
            <w:pPr>
              <w:pStyle w:val="Table"/>
              <w:rPr>
                <w:sz w:val="18"/>
                <w:szCs w:val="18"/>
              </w:rPr>
            </w:pPr>
            <w:r w:rsidRPr="00736D0B">
              <w:rPr>
                <w:sz w:val="18"/>
                <w:szCs w:val="18"/>
              </w:rPr>
              <w:t>Smart card x students</w:t>
            </w:r>
          </w:p>
        </w:tc>
        <w:tc>
          <w:tcPr>
            <w:tcW w:w="1137" w:type="dxa"/>
            <w:vAlign w:val="center"/>
          </w:tcPr>
          <w:p w14:paraId="634ACFAE" w14:textId="77777777" w:rsidR="00152539" w:rsidRPr="00736D0B" w:rsidRDefault="00152539" w:rsidP="009345F8">
            <w:pPr>
              <w:pStyle w:val="Table"/>
              <w:rPr>
                <w:sz w:val="18"/>
                <w:szCs w:val="18"/>
              </w:rPr>
            </w:pPr>
          </w:p>
        </w:tc>
        <w:tc>
          <w:tcPr>
            <w:tcW w:w="1136" w:type="dxa"/>
            <w:vAlign w:val="center"/>
          </w:tcPr>
          <w:p w14:paraId="480E37A7" w14:textId="77777777" w:rsidR="00152539" w:rsidRPr="00736D0B" w:rsidRDefault="00152539" w:rsidP="009345F8">
            <w:pPr>
              <w:pStyle w:val="Table"/>
              <w:rPr>
                <w:sz w:val="18"/>
                <w:szCs w:val="18"/>
              </w:rPr>
            </w:pPr>
          </w:p>
        </w:tc>
        <w:tc>
          <w:tcPr>
            <w:tcW w:w="1216" w:type="dxa"/>
            <w:vAlign w:val="center"/>
          </w:tcPr>
          <w:p w14:paraId="6479DBA8" w14:textId="77777777" w:rsidR="00152539" w:rsidRPr="00736D0B" w:rsidRDefault="00152539" w:rsidP="009345F8">
            <w:pPr>
              <w:pStyle w:val="Table"/>
              <w:rPr>
                <w:sz w:val="18"/>
                <w:szCs w:val="18"/>
              </w:rPr>
            </w:pPr>
          </w:p>
        </w:tc>
        <w:tc>
          <w:tcPr>
            <w:tcW w:w="1203" w:type="dxa"/>
            <w:vAlign w:val="center"/>
          </w:tcPr>
          <w:p w14:paraId="31EC9BA4" w14:textId="77777777" w:rsidR="00152539" w:rsidRPr="00736D0B" w:rsidRDefault="00152539" w:rsidP="009345F8">
            <w:pPr>
              <w:pStyle w:val="Table"/>
              <w:rPr>
                <w:sz w:val="18"/>
                <w:szCs w:val="18"/>
              </w:rPr>
            </w:pPr>
            <w:r w:rsidRPr="00736D0B">
              <w:rPr>
                <w:sz w:val="18"/>
                <w:szCs w:val="18"/>
              </w:rPr>
              <w:t>0.223 [0.580]</w:t>
            </w:r>
          </w:p>
        </w:tc>
        <w:tc>
          <w:tcPr>
            <w:tcW w:w="1203" w:type="dxa"/>
            <w:vAlign w:val="center"/>
          </w:tcPr>
          <w:p w14:paraId="5D1BB3B9" w14:textId="77777777" w:rsidR="00152539" w:rsidRPr="00736D0B" w:rsidRDefault="00152539" w:rsidP="009345F8">
            <w:pPr>
              <w:pStyle w:val="Table"/>
              <w:rPr>
                <w:sz w:val="18"/>
                <w:szCs w:val="18"/>
              </w:rPr>
            </w:pPr>
            <w:r w:rsidRPr="00736D0B">
              <w:rPr>
                <w:sz w:val="18"/>
                <w:szCs w:val="18"/>
              </w:rPr>
              <w:t>0.176 [0.573]</w:t>
            </w:r>
          </w:p>
        </w:tc>
      </w:tr>
      <w:tr w:rsidR="00152539" w:rsidRPr="00736D0B" w14:paraId="4F916B2B" w14:textId="77777777" w:rsidTr="009345F8">
        <w:trPr>
          <w:trHeight w:val="293"/>
        </w:trPr>
        <w:tc>
          <w:tcPr>
            <w:tcW w:w="3463" w:type="dxa"/>
            <w:vAlign w:val="center"/>
          </w:tcPr>
          <w:p w14:paraId="1DA38092" w14:textId="77777777" w:rsidR="00152539" w:rsidRPr="00736D0B" w:rsidRDefault="00152539" w:rsidP="009345F8">
            <w:pPr>
              <w:pStyle w:val="Table"/>
              <w:rPr>
                <w:sz w:val="18"/>
                <w:szCs w:val="18"/>
              </w:rPr>
            </w:pPr>
            <w:r w:rsidRPr="00736D0B">
              <w:rPr>
                <w:sz w:val="18"/>
                <w:szCs w:val="18"/>
              </w:rPr>
              <w:t>Smart card x CEU</w:t>
            </w:r>
          </w:p>
        </w:tc>
        <w:tc>
          <w:tcPr>
            <w:tcW w:w="1137" w:type="dxa"/>
            <w:vAlign w:val="center"/>
          </w:tcPr>
          <w:p w14:paraId="24882A2C" w14:textId="77777777" w:rsidR="00152539" w:rsidRPr="00736D0B" w:rsidRDefault="00152539" w:rsidP="009345F8">
            <w:pPr>
              <w:pStyle w:val="Table"/>
              <w:rPr>
                <w:sz w:val="18"/>
                <w:szCs w:val="18"/>
              </w:rPr>
            </w:pPr>
          </w:p>
        </w:tc>
        <w:tc>
          <w:tcPr>
            <w:tcW w:w="1136" w:type="dxa"/>
            <w:vAlign w:val="center"/>
          </w:tcPr>
          <w:p w14:paraId="16C69841" w14:textId="77777777" w:rsidR="00152539" w:rsidRPr="00736D0B" w:rsidRDefault="00152539" w:rsidP="009345F8">
            <w:pPr>
              <w:pStyle w:val="Table"/>
              <w:rPr>
                <w:sz w:val="18"/>
                <w:szCs w:val="18"/>
              </w:rPr>
            </w:pPr>
          </w:p>
        </w:tc>
        <w:tc>
          <w:tcPr>
            <w:tcW w:w="1216" w:type="dxa"/>
            <w:vAlign w:val="center"/>
          </w:tcPr>
          <w:p w14:paraId="5BCBA6EA" w14:textId="77777777" w:rsidR="00152539" w:rsidRPr="00736D0B" w:rsidRDefault="00152539" w:rsidP="009345F8">
            <w:pPr>
              <w:pStyle w:val="Table"/>
              <w:rPr>
                <w:sz w:val="18"/>
                <w:szCs w:val="18"/>
              </w:rPr>
            </w:pPr>
          </w:p>
        </w:tc>
        <w:tc>
          <w:tcPr>
            <w:tcW w:w="1203" w:type="dxa"/>
            <w:vAlign w:val="center"/>
          </w:tcPr>
          <w:p w14:paraId="2ECF4CC7" w14:textId="77777777" w:rsidR="00152539" w:rsidRPr="00736D0B" w:rsidRDefault="00152539" w:rsidP="009345F8">
            <w:pPr>
              <w:pStyle w:val="Table"/>
              <w:rPr>
                <w:sz w:val="18"/>
                <w:szCs w:val="18"/>
              </w:rPr>
            </w:pPr>
            <w:r w:rsidRPr="00736D0B">
              <w:rPr>
                <w:sz w:val="18"/>
                <w:szCs w:val="18"/>
              </w:rPr>
              <w:t>0.051 [0.183]</w:t>
            </w:r>
          </w:p>
        </w:tc>
        <w:tc>
          <w:tcPr>
            <w:tcW w:w="1203" w:type="dxa"/>
            <w:vAlign w:val="center"/>
          </w:tcPr>
          <w:p w14:paraId="61C14C1A" w14:textId="77777777" w:rsidR="00152539" w:rsidRPr="00736D0B" w:rsidRDefault="00152539" w:rsidP="009345F8">
            <w:pPr>
              <w:pStyle w:val="Table"/>
              <w:rPr>
                <w:sz w:val="18"/>
                <w:szCs w:val="18"/>
              </w:rPr>
            </w:pPr>
            <w:r w:rsidRPr="00736D0B">
              <w:rPr>
                <w:sz w:val="18"/>
                <w:szCs w:val="18"/>
              </w:rPr>
              <w:t>0.044 [0.190]</w:t>
            </w:r>
          </w:p>
        </w:tc>
      </w:tr>
      <w:tr w:rsidR="00152539" w:rsidRPr="00736D0B" w14:paraId="3A8924D6" w14:textId="77777777" w:rsidTr="009345F8">
        <w:trPr>
          <w:trHeight w:val="293"/>
        </w:trPr>
        <w:tc>
          <w:tcPr>
            <w:tcW w:w="3463" w:type="dxa"/>
            <w:vAlign w:val="center"/>
          </w:tcPr>
          <w:p w14:paraId="18C935C7" w14:textId="77777777" w:rsidR="00152539" w:rsidRPr="00736D0B" w:rsidRDefault="00152539" w:rsidP="009345F8">
            <w:pPr>
              <w:pStyle w:val="Table"/>
              <w:rPr>
                <w:sz w:val="18"/>
                <w:szCs w:val="18"/>
              </w:rPr>
            </w:pPr>
            <w:r w:rsidRPr="00736D0B">
              <w:rPr>
                <w:sz w:val="18"/>
                <w:szCs w:val="18"/>
              </w:rPr>
              <w:t>Smart card x rail station</w:t>
            </w:r>
          </w:p>
        </w:tc>
        <w:tc>
          <w:tcPr>
            <w:tcW w:w="1137" w:type="dxa"/>
            <w:vAlign w:val="center"/>
          </w:tcPr>
          <w:p w14:paraId="7A20CF02" w14:textId="77777777" w:rsidR="00152539" w:rsidRPr="00736D0B" w:rsidRDefault="00152539" w:rsidP="009345F8">
            <w:pPr>
              <w:pStyle w:val="Table"/>
              <w:rPr>
                <w:sz w:val="18"/>
                <w:szCs w:val="18"/>
              </w:rPr>
            </w:pPr>
          </w:p>
        </w:tc>
        <w:tc>
          <w:tcPr>
            <w:tcW w:w="1136" w:type="dxa"/>
            <w:vAlign w:val="center"/>
          </w:tcPr>
          <w:p w14:paraId="57B27703" w14:textId="77777777" w:rsidR="00152539" w:rsidRPr="00736D0B" w:rsidRDefault="00152539" w:rsidP="009345F8">
            <w:pPr>
              <w:pStyle w:val="Table"/>
              <w:rPr>
                <w:sz w:val="18"/>
                <w:szCs w:val="18"/>
              </w:rPr>
            </w:pPr>
          </w:p>
        </w:tc>
        <w:tc>
          <w:tcPr>
            <w:tcW w:w="1216" w:type="dxa"/>
            <w:vAlign w:val="center"/>
          </w:tcPr>
          <w:p w14:paraId="748C8E85" w14:textId="77777777" w:rsidR="00152539" w:rsidRPr="00736D0B" w:rsidRDefault="00152539" w:rsidP="009345F8">
            <w:pPr>
              <w:pStyle w:val="Table"/>
              <w:rPr>
                <w:sz w:val="18"/>
                <w:szCs w:val="18"/>
              </w:rPr>
            </w:pPr>
          </w:p>
        </w:tc>
        <w:tc>
          <w:tcPr>
            <w:tcW w:w="1203" w:type="dxa"/>
            <w:vAlign w:val="center"/>
          </w:tcPr>
          <w:p w14:paraId="4F447BC0" w14:textId="77777777" w:rsidR="00152539" w:rsidRPr="00736D0B" w:rsidRDefault="00152539" w:rsidP="009345F8">
            <w:pPr>
              <w:pStyle w:val="Table"/>
              <w:rPr>
                <w:sz w:val="18"/>
                <w:szCs w:val="18"/>
              </w:rPr>
            </w:pPr>
          </w:p>
        </w:tc>
        <w:tc>
          <w:tcPr>
            <w:tcW w:w="1203" w:type="dxa"/>
            <w:vAlign w:val="center"/>
          </w:tcPr>
          <w:p w14:paraId="114C6346" w14:textId="77777777" w:rsidR="00152539" w:rsidRPr="00736D0B" w:rsidRDefault="00152539" w:rsidP="009345F8">
            <w:pPr>
              <w:pStyle w:val="Table"/>
              <w:rPr>
                <w:sz w:val="18"/>
                <w:szCs w:val="18"/>
              </w:rPr>
            </w:pPr>
            <w:r w:rsidRPr="00736D0B">
              <w:rPr>
                <w:sz w:val="18"/>
                <w:szCs w:val="18"/>
              </w:rPr>
              <w:t>0.018 [0.038]</w:t>
            </w:r>
          </w:p>
        </w:tc>
      </w:tr>
      <w:tr w:rsidR="00152539" w:rsidRPr="00736D0B" w14:paraId="10FE5998" w14:textId="77777777" w:rsidTr="009345F8">
        <w:trPr>
          <w:trHeight w:val="293"/>
        </w:trPr>
        <w:tc>
          <w:tcPr>
            <w:tcW w:w="3463" w:type="dxa"/>
            <w:vAlign w:val="center"/>
          </w:tcPr>
          <w:p w14:paraId="3A56E642" w14:textId="77777777" w:rsidR="00152539" w:rsidRPr="00736D0B" w:rsidRDefault="00152539" w:rsidP="009345F8">
            <w:pPr>
              <w:pStyle w:val="Table"/>
              <w:rPr>
                <w:sz w:val="18"/>
                <w:szCs w:val="18"/>
              </w:rPr>
            </w:pPr>
            <w:r w:rsidRPr="00736D0B">
              <w:rPr>
                <w:sz w:val="18"/>
                <w:szCs w:val="18"/>
              </w:rPr>
              <w:t>Smart card x Transport Voucher</w:t>
            </w:r>
          </w:p>
        </w:tc>
        <w:tc>
          <w:tcPr>
            <w:tcW w:w="1137" w:type="dxa"/>
            <w:vAlign w:val="center"/>
          </w:tcPr>
          <w:p w14:paraId="32CC3484" w14:textId="77777777" w:rsidR="00152539" w:rsidRPr="00736D0B" w:rsidRDefault="00152539" w:rsidP="009345F8">
            <w:pPr>
              <w:pStyle w:val="Table"/>
              <w:rPr>
                <w:sz w:val="18"/>
                <w:szCs w:val="18"/>
              </w:rPr>
            </w:pPr>
          </w:p>
        </w:tc>
        <w:tc>
          <w:tcPr>
            <w:tcW w:w="1136" w:type="dxa"/>
            <w:vAlign w:val="center"/>
          </w:tcPr>
          <w:p w14:paraId="5F076AD1" w14:textId="77777777" w:rsidR="00152539" w:rsidRPr="00736D0B" w:rsidRDefault="00152539" w:rsidP="009345F8">
            <w:pPr>
              <w:pStyle w:val="Table"/>
              <w:rPr>
                <w:sz w:val="18"/>
                <w:szCs w:val="18"/>
              </w:rPr>
            </w:pPr>
          </w:p>
        </w:tc>
        <w:tc>
          <w:tcPr>
            <w:tcW w:w="1216" w:type="dxa"/>
            <w:vAlign w:val="center"/>
          </w:tcPr>
          <w:p w14:paraId="3A99BCFA" w14:textId="77777777" w:rsidR="00152539" w:rsidRPr="00736D0B" w:rsidRDefault="00152539" w:rsidP="009345F8">
            <w:pPr>
              <w:pStyle w:val="Table"/>
              <w:rPr>
                <w:sz w:val="18"/>
                <w:szCs w:val="18"/>
              </w:rPr>
            </w:pPr>
          </w:p>
        </w:tc>
        <w:tc>
          <w:tcPr>
            <w:tcW w:w="1203" w:type="dxa"/>
            <w:vAlign w:val="center"/>
          </w:tcPr>
          <w:p w14:paraId="36F38F9F" w14:textId="77777777" w:rsidR="00152539" w:rsidRPr="00736D0B" w:rsidRDefault="00152539" w:rsidP="009345F8">
            <w:pPr>
              <w:pStyle w:val="Table"/>
              <w:rPr>
                <w:sz w:val="18"/>
                <w:szCs w:val="18"/>
              </w:rPr>
            </w:pPr>
          </w:p>
        </w:tc>
        <w:tc>
          <w:tcPr>
            <w:tcW w:w="1203" w:type="dxa"/>
            <w:vAlign w:val="center"/>
          </w:tcPr>
          <w:p w14:paraId="38D9A792" w14:textId="77777777" w:rsidR="00152539" w:rsidRPr="00736D0B" w:rsidRDefault="00152539" w:rsidP="009345F8">
            <w:pPr>
              <w:pStyle w:val="Table"/>
              <w:rPr>
                <w:sz w:val="18"/>
                <w:szCs w:val="18"/>
              </w:rPr>
            </w:pPr>
            <w:r w:rsidRPr="00736D0B">
              <w:rPr>
                <w:sz w:val="18"/>
                <w:szCs w:val="18"/>
              </w:rPr>
              <w:t>0.495 [0.656]</w:t>
            </w:r>
          </w:p>
        </w:tc>
      </w:tr>
      <w:tr w:rsidR="00152539" w:rsidRPr="00736D0B" w14:paraId="23B4307A" w14:textId="77777777" w:rsidTr="009345F8">
        <w:trPr>
          <w:trHeight w:val="329"/>
        </w:trPr>
        <w:tc>
          <w:tcPr>
            <w:tcW w:w="3463" w:type="dxa"/>
            <w:tcBorders>
              <w:bottom w:val="single" w:sz="4" w:space="0" w:color="000000"/>
            </w:tcBorders>
            <w:vAlign w:val="center"/>
          </w:tcPr>
          <w:p w14:paraId="08BFCFA0" w14:textId="77777777" w:rsidR="00152539" w:rsidRPr="00736D0B" w:rsidRDefault="00152539" w:rsidP="009345F8">
            <w:pPr>
              <w:pStyle w:val="Table"/>
              <w:rPr>
                <w:sz w:val="18"/>
                <w:szCs w:val="18"/>
              </w:rPr>
            </w:pPr>
            <w:r w:rsidRPr="00736D0B">
              <w:rPr>
                <w:sz w:val="18"/>
                <w:szCs w:val="18"/>
              </w:rPr>
              <w:t>Constant</w:t>
            </w:r>
          </w:p>
        </w:tc>
        <w:tc>
          <w:tcPr>
            <w:tcW w:w="1137" w:type="dxa"/>
            <w:tcBorders>
              <w:bottom w:val="single" w:sz="4" w:space="0" w:color="000000"/>
            </w:tcBorders>
            <w:vAlign w:val="center"/>
          </w:tcPr>
          <w:p w14:paraId="418CD177" w14:textId="77777777" w:rsidR="00152539" w:rsidRPr="00736D0B" w:rsidRDefault="00152539" w:rsidP="009345F8">
            <w:pPr>
              <w:pStyle w:val="Table"/>
              <w:rPr>
                <w:sz w:val="18"/>
                <w:szCs w:val="18"/>
              </w:rPr>
            </w:pPr>
            <w:r w:rsidRPr="00736D0B">
              <w:rPr>
                <w:sz w:val="18"/>
                <w:szCs w:val="18"/>
              </w:rPr>
              <w:t>-0.234 [0.018]</w:t>
            </w:r>
          </w:p>
        </w:tc>
        <w:tc>
          <w:tcPr>
            <w:tcW w:w="1136" w:type="dxa"/>
            <w:tcBorders>
              <w:bottom w:val="single" w:sz="4" w:space="0" w:color="000000"/>
            </w:tcBorders>
            <w:vAlign w:val="center"/>
          </w:tcPr>
          <w:p w14:paraId="524C9FBD" w14:textId="77777777" w:rsidR="00152539" w:rsidRPr="00736D0B" w:rsidRDefault="00152539" w:rsidP="009345F8">
            <w:pPr>
              <w:pStyle w:val="Table"/>
              <w:rPr>
                <w:sz w:val="18"/>
                <w:szCs w:val="18"/>
              </w:rPr>
            </w:pPr>
            <w:r w:rsidRPr="00736D0B">
              <w:rPr>
                <w:sz w:val="18"/>
                <w:szCs w:val="18"/>
              </w:rPr>
              <w:t>0.174 [0.064]</w:t>
            </w:r>
          </w:p>
        </w:tc>
        <w:tc>
          <w:tcPr>
            <w:tcW w:w="1216" w:type="dxa"/>
            <w:tcBorders>
              <w:bottom w:val="single" w:sz="4" w:space="0" w:color="000000"/>
            </w:tcBorders>
            <w:vAlign w:val="center"/>
          </w:tcPr>
          <w:p w14:paraId="609909DF" w14:textId="77777777" w:rsidR="00152539" w:rsidRPr="00736D0B" w:rsidRDefault="00152539" w:rsidP="009345F8">
            <w:pPr>
              <w:pStyle w:val="Table"/>
              <w:rPr>
                <w:sz w:val="18"/>
                <w:szCs w:val="18"/>
              </w:rPr>
            </w:pPr>
            <w:r w:rsidRPr="00736D0B">
              <w:rPr>
                <w:sz w:val="18"/>
                <w:szCs w:val="18"/>
              </w:rPr>
              <w:t>0.179 [0.066]</w:t>
            </w:r>
          </w:p>
        </w:tc>
        <w:tc>
          <w:tcPr>
            <w:tcW w:w="1203" w:type="dxa"/>
            <w:tcBorders>
              <w:bottom w:val="single" w:sz="4" w:space="0" w:color="000000"/>
            </w:tcBorders>
            <w:vAlign w:val="center"/>
          </w:tcPr>
          <w:p w14:paraId="6A1CA5A6" w14:textId="77777777" w:rsidR="00152539" w:rsidRPr="00736D0B" w:rsidRDefault="00152539" w:rsidP="009345F8">
            <w:pPr>
              <w:pStyle w:val="Table"/>
              <w:rPr>
                <w:sz w:val="18"/>
                <w:szCs w:val="18"/>
              </w:rPr>
            </w:pPr>
            <w:r w:rsidRPr="00736D0B">
              <w:rPr>
                <w:sz w:val="18"/>
                <w:szCs w:val="18"/>
              </w:rPr>
              <w:t>0.119 [0.066]</w:t>
            </w:r>
          </w:p>
        </w:tc>
        <w:tc>
          <w:tcPr>
            <w:tcW w:w="1203" w:type="dxa"/>
            <w:tcBorders>
              <w:bottom w:val="single" w:sz="4" w:space="0" w:color="000000"/>
            </w:tcBorders>
            <w:vAlign w:val="center"/>
          </w:tcPr>
          <w:p w14:paraId="680BB1E3" w14:textId="77777777" w:rsidR="00152539" w:rsidRPr="00736D0B" w:rsidRDefault="00152539" w:rsidP="009345F8">
            <w:pPr>
              <w:pStyle w:val="Table"/>
              <w:rPr>
                <w:sz w:val="18"/>
                <w:szCs w:val="18"/>
              </w:rPr>
            </w:pPr>
            <w:r w:rsidRPr="00736D0B">
              <w:rPr>
                <w:sz w:val="18"/>
                <w:szCs w:val="18"/>
              </w:rPr>
              <w:t>0.119 [0.066]</w:t>
            </w:r>
          </w:p>
        </w:tc>
      </w:tr>
      <w:tr w:rsidR="00971AD5" w:rsidRPr="00736D0B" w14:paraId="79A728F7" w14:textId="77777777" w:rsidTr="009345F8">
        <w:trPr>
          <w:trHeight w:val="293"/>
        </w:trPr>
        <w:tc>
          <w:tcPr>
            <w:tcW w:w="3463" w:type="dxa"/>
            <w:vAlign w:val="center"/>
          </w:tcPr>
          <w:p w14:paraId="5FFB8CAB" w14:textId="77777777" w:rsidR="00971AD5" w:rsidRPr="00736D0B" w:rsidRDefault="00971AD5" w:rsidP="009345F8">
            <w:pPr>
              <w:pStyle w:val="Table"/>
              <w:rPr>
                <w:sz w:val="18"/>
                <w:szCs w:val="18"/>
              </w:rPr>
            </w:pPr>
            <w:r w:rsidRPr="00736D0B">
              <w:rPr>
                <w:sz w:val="18"/>
                <w:szCs w:val="18"/>
              </w:rPr>
              <w:t>Observations</w:t>
            </w:r>
          </w:p>
        </w:tc>
        <w:tc>
          <w:tcPr>
            <w:tcW w:w="1137" w:type="dxa"/>
            <w:vAlign w:val="center"/>
          </w:tcPr>
          <w:p w14:paraId="50505762" w14:textId="77777777" w:rsidR="00971AD5" w:rsidRPr="00736D0B" w:rsidRDefault="00971AD5" w:rsidP="009345F8">
            <w:pPr>
              <w:pStyle w:val="Table"/>
              <w:rPr>
                <w:sz w:val="18"/>
                <w:szCs w:val="18"/>
              </w:rPr>
            </w:pPr>
            <w:r w:rsidRPr="00736D0B">
              <w:rPr>
                <w:sz w:val="18"/>
                <w:szCs w:val="18"/>
              </w:rPr>
              <w:t>614</w:t>
            </w:r>
          </w:p>
        </w:tc>
        <w:tc>
          <w:tcPr>
            <w:tcW w:w="1136" w:type="dxa"/>
            <w:vAlign w:val="center"/>
          </w:tcPr>
          <w:p w14:paraId="35352D95" w14:textId="77777777" w:rsidR="00971AD5" w:rsidRPr="00736D0B" w:rsidRDefault="00971AD5" w:rsidP="009345F8">
            <w:pPr>
              <w:pStyle w:val="Table"/>
              <w:rPr>
                <w:sz w:val="18"/>
                <w:szCs w:val="18"/>
              </w:rPr>
            </w:pPr>
            <w:r w:rsidRPr="00736D0B">
              <w:rPr>
                <w:sz w:val="18"/>
                <w:szCs w:val="18"/>
              </w:rPr>
              <w:t>614</w:t>
            </w:r>
          </w:p>
        </w:tc>
        <w:tc>
          <w:tcPr>
            <w:tcW w:w="1216" w:type="dxa"/>
            <w:vAlign w:val="center"/>
          </w:tcPr>
          <w:p w14:paraId="542284F2" w14:textId="77777777" w:rsidR="00971AD5" w:rsidRPr="00736D0B" w:rsidRDefault="00971AD5" w:rsidP="009345F8">
            <w:pPr>
              <w:pStyle w:val="Table"/>
              <w:rPr>
                <w:sz w:val="18"/>
                <w:szCs w:val="18"/>
              </w:rPr>
            </w:pPr>
            <w:r w:rsidRPr="00736D0B">
              <w:rPr>
                <w:sz w:val="18"/>
                <w:szCs w:val="18"/>
              </w:rPr>
              <w:t>614</w:t>
            </w:r>
          </w:p>
        </w:tc>
        <w:tc>
          <w:tcPr>
            <w:tcW w:w="1203" w:type="dxa"/>
            <w:vAlign w:val="center"/>
          </w:tcPr>
          <w:p w14:paraId="4B530D42" w14:textId="77777777" w:rsidR="00971AD5" w:rsidRPr="00736D0B" w:rsidRDefault="00971AD5" w:rsidP="009345F8">
            <w:pPr>
              <w:pStyle w:val="Table"/>
              <w:rPr>
                <w:sz w:val="18"/>
                <w:szCs w:val="18"/>
              </w:rPr>
            </w:pPr>
            <w:r w:rsidRPr="00736D0B">
              <w:rPr>
                <w:sz w:val="18"/>
                <w:szCs w:val="18"/>
              </w:rPr>
              <w:t>614</w:t>
            </w:r>
          </w:p>
        </w:tc>
        <w:tc>
          <w:tcPr>
            <w:tcW w:w="1203" w:type="dxa"/>
            <w:vAlign w:val="center"/>
          </w:tcPr>
          <w:p w14:paraId="4C30728B" w14:textId="77777777" w:rsidR="00971AD5" w:rsidRPr="00736D0B" w:rsidRDefault="00971AD5" w:rsidP="009345F8">
            <w:pPr>
              <w:pStyle w:val="Table"/>
              <w:rPr>
                <w:sz w:val="18"/>
                <w:szCs w:val="18"/>
              </w:rPr>
            </w:pPr>
            <w:r w:rsidRPr="00736D0B">
              <w:rPr>
                <w:sz w:val="18"/>
                <w:szCs w:val="18"/>
              </w:rPr>
              <w:t>614</w:t>
            </w:r>
          </w:p>
        </w:tc>
      </w:tr>
      <w:tr w:rsidR="00971AD5" w:rsidRPr="00736D0B" w14:paraId="6DBFAB63" w14:textId="77777777" w:rsidTr="00971AD5">
        <w:trPr>
          <w:trHeight w:val="293"/>
        </w:trPr>
        <w:tc>
          <w:tcPr>
            <w:tcW w:w="3463" w:type="dxa"/>
            <w:vAlign w:val="center"/>
          </w:tcPr>
          <w:p w14:paraId="1CDB9035" w14:textId="77777777" w:rsidR="00971AD5" w:rsidRPr="00736D0B" w:rsidRDefault="00971AD5" w:rsidP="009345F8">
            <w:pPr>
              <w:pStyle w:val="Table"/>
              <w:rPr>
                <w:sz w:val="18"/>
                <w:szCs w:val="18"/>
              </w:rPr>
            </w:pPr>
            <w:r w:rsidRPr="00736D0B">
              <w:rPr>
                <w:sz w:val="18"/>
                <w:szCs w:val="18"/>
              </w:rPr>
              <w:t>Adjusted R-squared</w:t>
            </w:r>
          </w:p>
        </w:tc>
        <w:tc>
          <w:tcPr>
            <w:tcW w:w="1137" w:type="dxa"/>
            <w:vAlign w:val="center"/>
          </w:tcPr>
          <w:p w14:paraId="2E37FA20" w14:textId="77777777" w:rsidR="00971AD5" w:rsidRPr="00736D0B" w:rsidRDefault="00971AD5" w:rsidP="009345F8">
            <w:pPr>
              <w:pStyle w:val="Table"/>
              <w:rPr>
                <w:sz w:val="18"/>
                <w:szCs w:val="18"/>
              </w:rPr>
            </w:pPr>
            <w:r w:rsidRPr="00736D0B">
              <w:rPr>
                <w:sz w:val="18"/>
                <w:szCs w:val="18"/>
              </w:rPr>
              <w:t>0.278</w:t>
            </w:r>
          </w:p>
        </w:tc>
        <w:tc>
          <w:tcPr>
            <w:tcW w:w="1136" w:type="dxa"/>
            <w:vAlign w:val="center"/>
          </w:tcPr>
          <w:p w14:paraId="3483724C" w14:textId="77777777" w:rsidR="00971AD5" w:rsidRPr="00736D0B" w:rsidRDefault="00971AD5" w:rsidP="009345F8">
            <w:pPr>
              <w:pStyle w:val="Table"/>
              <w:rPr>
                <w:sz w:val="18"/>
                <w:szCs w:val="18"/>
              </w:rPr>
            </w:pPr>
            <w:r w:rsidRPr="00736D0B">
              <w:rPr>
                <w:sz w:val="18"/>
                <w:szCs w:val="18"/>
              </w:rPr>
              <w:t>0.347</w:t>
            </w:r>
          </w:p>
        </w:tc>
        <w:tc>
          <w:tcPr>
            <w:tcW w:w="1216" w:type="dxa"/>
            <w:vAlign w:val="center"/>
          </w:tcPr>
          <w:p w14:paraId="31C48AD4" w14:textId="77777777" w:rsidR="00971AD5" w:rsidRPr="00736D0B" w:rsidRDefault="00971AD5" w:rsidP="009345F8">
            <w:pPr>
              <w:pStyle w:val="Table"/>
              <w:rPr>
                <w:sz w:val="18"/>
                <w:szCs w:val="18"/>
              </w:rPr>
            </w:pPr>
            <w:r w:rsidRPr="00736D0B">
              <w:rPr>
                <w:sz w:val="18"/>
                <w:szCs w:val="18"/>
              </w:rPr>
              <w:t>0.367</w:t>
            </w:r>
          </w:p>
        </w:tc>
        <w:tc>
          <w:tcPr>
            <w:tcW w:w="1203" w:type="dxa"/>
            <w:vAlign w:val="center"/>
          </w:tcPr>
          <w:p w14:paraId="5C0EA9DA" w14:textId="77777777" w:rsidR="00971AD5" w:rsidRPr="00736D0B" w:rsidRDefault="00971AD5" w:rsidP="009345F8">
            <w:pPr>
              <w:pStyle w:val="Table"/>
              <w:rPr>
                <w:sz w:val="18"/>
                <w:szCs w:val="18"/>
              </w:rPr>
            </w:pPr>
            <w:r w:rsidRPr="00736D0B">
              <w:rPr>
                <w:sz w:val="18"/>
                <w:szCs w:val="18"/>
              </w:rPr>
              <w:t>0.406</w:t>
            </w:r>
          </w:p>
        </w:tc>
        <w:tc>
          <w:tcPr>
            <w:tcW w:w="1203" w:type="dxa"/>
            <w:vAlign w:val="center"/>
          </w:tcPr>
          <w:p w14:paraId="3996EAEF" w14:textId="77777777" w:rsidR="00971AD5" w:rsidRPr="00736D0B" w:rsidRDefault="00971AD5" w:rsidP="009345F8">
            <w:pPr>
              <w:pStyle w:val="Table"/>
              <w:rPr>
                <w:sz w:val="18"/>
                <w:szCs w:val="18"/>
              </w:rPr>
            </w:pPr>
            <w:r w:rsidRPr="00736D0B">
              <w:rPr>
                <w:sz w:val="18"/>
                <w:szCs w:val="18"/>
              </w:rPr>
              <w:t>0.406</w:t>
            </w:r>
          </w:p>
        </w:tc>
      </w:tr>
      <w:tr w:rsidR="00152539" w:rsidRPr="00736D0B" w14:paraId="449AB8C7" w14:textId="77777777" w:rsidTr="00971AD5">
        <w:trPr>
          <w:trHeight w:val="328"/>
        </w:trPr>
        <w:tc>
          <w:tcPr>
            <w:tcW w:w="3463" w:type="dxa"/>
            <w:vAlign w:val="center"/>
          </w:tcPr>
          <w:p w14:paraId="52B47815" w14:textId="77777777" w:rsidR="00152539" w:rsidRPr="00736D0B" w:rsidRDefault="00152539" w:rsidP="009345F8">
            <w:pPr>
              <w:pStyle w:val="Table"/>
              <w:rPr>
                <w:sz w:val="18"/>
                <w:szCs w:val="18"/>
              </w:rPr>
            </w:pPr>
            <w:r w:rsidRPr="00736D0B">
              <w:rPr>
                <w:sz w:val="18"/>
                <w:szCs w:val="18"/>
              </w:rPr>
              <w:t>Interaction terms F-test statistic</w:t>
            </w:r>
          </w:p>
        </w:tc>
        <w:tc>
          <w:tcPr>
            <w:tcW w:w="1137" w:type="dxa"/>
            <w:vAlign w:val="center"/>
          </w:tcPr>
          <w:p w14:paraId="706FAD92" w14:textId="77777777" w:rsidR="00152539" w:rsidRPr="00736D0B" w:rsidRDefault="00152539" w:rsidP="009345F8">
            <w:pPr>
              <w:pStyle w:val="Table"/>
              <w:rPr>
                <w:sz w:val="18"/>
                <w:szCs w:val="18"/>
              </w:rPr>
            </w:pPr>
          </w:p>
        </w:tc>
        <w:tc>
          <w:tcPr>
            <w:tcW w:w="1136" w:type="dxa"/>
            <w:vAlign w:val="center"/>
          </w:tcPr>
          <w:p w14:paraId="0762A21E" w14:textId="77777777" w:rsidR="00152539" w:rsidRPr="00736D0B" w:rsidRDefault="00152539" w:rsidP="009345F8">
            <w:pPr>
              <w:pStyle w:val="Table"/>
              <w:rPr>
                <w:sz w:val="18"/>
                <w:szCs w:val="18"/>
              </w:rPr>
            </w:pPr>
          </w:p>
        </w:tc>
        <w:tc>
          <w:tcPr>
            <w:tcW w:w="1216" w:type="dxa"/>
            <w:vAlign w:val="center"/>
          </w:tcPr>
          <w:p w14:paraId="6DF217E9" w14:textId="77777777" w:rsidR="00152539" w:rsidRPr="00736D0B" w:rsidRDefault="00152539" w:rsidP="009345F8">
            <w:pPr>
              <w:pStyle w:val="Table"/>
              <w:rPr>
                <w:sz w:val="18"/>
                <w:szCs w:val="18"/>
              </w:rPr>
            </w:pPr>
          </w:p>
        </w:tc>
        <w:tc>
          <w:tcPr>
            <w:tcW w:w="1203" w:type="dxa"/>
            <w:vAlign w:val="center"/>
          </w:tcPr>
          <w:p w14:paraId="7B8C3CA1" w14:textId="77777777" w:rsidR="00152539" w:rsidRPr="00736D0B" w:rsidRDefault="00152539" w:rsidP="009345F8">
            <w:pPr>
              <w:pStyle w:val="Table"/>
              <w:rPr>
                <w:sz w:val="18"/>
                <w:szCs w:val="18"/>
              </w:rPr>
            </w:pPr>
            <w:r w:rsidRPr="00736D0B">
              <w:rPr>
                <w:sz w:val="18"/>
                <w:szCs w:val="18"/>
              </w:rPr>
              <w:t>12.59</w:t>
            </w:r>
          </w:p>
        </w:tc>
        <w:tc>
          <w:tcPr>
            <w:tcW w:w="1203" w:type="dxa"/>
            <w:vAlign w:val="center"/>
          </w:tcPr>
          <w:p w14:paraId="4DFED769" w14:textId="77777777" w:rsidR="00152539" w:rsidRPr="00736D0B" w:rsidRDefault="00152539" w:rsidP="009345F8">
            <w:pPr>
              <w:pStyle w:val="Table"/>
              <w:rPr>
                <w:sz w:val="18"/>
                <w:szCs w:val="18"/>
              </w:rPr>
            </w:pPr>
            <w:r w:rsidRPr="00736D0B">
              <w:rPr>
                <w:sz w:val="18"/>
                <w:szCs w:val="18"/>
              </w:rPr>
              <w:t>9.15</w:t>
            </w:r>
          </w:p>
        </w:tc>
      </w:tr>
      <w:tr w:rsidR="00152539" w:rsidRPr="00736D0B" w14:paraId="163D8D74" w14:textId="77777777" w:rsidTr="009345F8">
        <w:trPr>
          <w:trHeight w:val="293"/>
        </w:trPr>
        <w:tc>
          <w:tcPr>
            <w:tcW w:w="3463" w:type="dxa"/>
            <w:vAlign w:val="center"/>
          </w:tcPr>
          <w:p w14:paraId="7EAF77C4" w14:textId="77777777" w:rsidR="00152539" w:rsidRPr="00736D0B" w:rsidRDefault="00152539" w:rsidP="009345F8">
            <w:pPr>
              <w:pStyle w:val="Table"/>
              <w:rPr>
                <w:sz w:val="18"/>
                <w:szCs w:val="18"/>
              </w:rPr>
            </w:pPr>
            <w:r w:rsidRPr="00736D0B">
              <w:rPr>
                <w:sz w:val="18"/>
                <w:szCs w:val="18"/>
              </w:rPr>
              <w:t>Degrees of freedom F-test</w:t>
            </w:r>
          </w:p>
        </w:tc>
        <w:tc>
          <w:tcPr>
            <w:tcW w:w="1137" w:type="dxa"/>
            <w:vAlign w:val="center"/>
          </w:tcPr>
          <w:p w14:paraId="2C92935D" w14:textId="77777777" w:rsidR="00152539" w:rsidRPr="00736D0B" w:rsidRDefault="00152539" w:rsidP="009345F8">
            <w:pPr>
              <w:pStyle w:val="Table"/>
              <w:rPr>
                <w:sz w:val="18"/>
                <w:szCs w:val="18"/>
              </w:rPr>
            </w:pPr>
          </w:p>
        </w:tc>
        <w:tc>
          <w:tcPr>
            <w:tcW w:w="1136" w:type="dxa"/>
            <w:vAlign w:val="center"/>
          </w:tcPr>
          <w:p w14:paraId="0E2C25B0" w14:textId="77777777" w:rsidR="00152539" w:rsidRPr="00736D0B" w:rsidRDefault="00152539" w:rsidP="009345F8">
            <w:pPr>
              <w:pStyle w:val="Table"/>
              <w:rPr>
                <w:sz w:val="18"/>
                <w:szCs w:val="18"/>
              </w:rPr>
            </w:pPr>
          </w:p>
        </w:tc>
        <w:tc>
          <w:tcPr>
            <w:tcW w:w="1216" w:type="dxa"/>
            <w:vAlign w:val="center"/>
          </w:tcPr>
          <w:p w14:paraId="4EAE8EAE" w14:textId="77777777" w:rsidR="00152539" w:rsidRPr="00736D0B" w:rsidRDefault="00152539" w:rsidP="009345F8">
            <w:pPr>
              <w:pStyle w:val="Table"/>
              <w:rPr>
                <w:sz w:val="18"/>
                <w:szCs w:val="18"/>
              </w:rPr>
            </w:pPr>
          </w:p>
        </w:tc>
        <w:tc>
          <w:tcPr>
            <w:tcW w:w="1203" w:type="dxa"/>
            <w:vAlign w:val="center"/>
          </w:tcPr>
          <w:p w14:paraId="19A47677" w14:textId="77777777" w:rsidR="00152539" w:rsidRPr="00736D0B" w:rsidRDefault="00152539" w:rsidP="009345F8">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5; 601)</w:t>
            </w:r>
          </w:p>
        </w:tc>
        <w:tc>
          <w:tcPr>
            <w:tcW w:w="1203" w:type="dxa"/>
            <w:vAlign w:val="center"/>
          </w:tcPr>
          <w:p w14:paraId="5561711F" w14:textId="77777777" w:rsidR="00152539" w:rsidRPr="00736D0B" w:rsidRDefault="00152539" w:rsidP="009345F8">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7; 599)</w:t>
            </w:r>
          </w:p>
        </w:tc>
      </w:tr>
      <w:tr w:rsidR="00152539" w:rsidRPr="00736D0B" w14:paraId="7BC60752" w14:textId="77777777" w:rsidTr="009345F8">
        <w:trPr>
          <w:trHeight w:val="293"/>
        </w:trPr>
        <w:tc>
          <w:tcPr>
            <w:tcW w:w="3463" w:type="dxa"/>
            <w:vAlign w:val="center"/>
          </w:tcPr>
          <w:p w14:paraId="216DD423" w14:textId="77777777" w:rsidR="00152539" w:rsidRPr="00736D0B" w:rsidRDefault="00152539" w:rsidP="009345F8">
            <w:pPr>
              <w:pStyle w:val="Table"/>
              <w:rPr>
                <w:sz w:val="18"/>
                <w:szCs w:val="18"/>
              </w:rPr>
            </w:pPr>
            <w:r w:rsidRPr="00736D0B">
              <w:rPr>
                <w:sz w:val="18"/>
                <w:szCs w:val="18"/>
              </w:rPr>
              <w:t>Full model F-test statistic</w:t>
            </w:r>
          </w:p>
        </w:tc>
        <w:tc>
          <w:tcPr>
            <w:tcW w:w="1137" w:type="dxa"/>
            <w:vAlign w:val="center"/>
          </w:tcPr>
          <w:p w14:paraId="0D700973" w14:textId="77777777" w:rsidR="00152539" w:rsidRPr="00736D0B" w:rsidRDefault="00152539" w:rsidP="009345F8">
            <w:pPr>
              <w:pStyle w:val="Table"/>
              <w:rPr>
                <w:sz w:val="18"/>
                <w:szCs w:val="18"/>
              </w:rPr>
            </w:pPr>
          </w:p>
        </w:tc>
        <w:tc>
          <w:tcPr>
            <w:tcW w:w="1136" w:type="dxa"/>
            <w:vAlign w:val="center"/>
          </w:tcPr>
          <w:p w14:paraId="1E27463D" w14:textId="77777777" w:rsidR="00152539" w:rsidRPr="00736D0B" w:rsidRDefault="00152539" w:rsidP="009345F8">
            <w:pPr>
              <w:pStyle w:val="Table"/>
              <w:rPr>
                <w:sz w:val="18"/>
                <w:szCs w:val="18"/>
              </w:rPr>
            </w:pPr>
          </w:p>
        </w:tc>
        <w:tc>
          <w:tcPr>
            <w:tcW w:w="1216" w:type="dxa"/>
            <w:vAlign w:val="center"/>
          </w:tcPr>
          <w:p w14:paraId="63BE543F" w14:textId="77777777" w:rsidR="00152539" w:rsidRPr="00736D0B" w:rsidRDefault="00152539" w:rsidP="009345F8">
            <w:pPr>
              <w:pStyle w:val="Table"/>
              <w:rPr>
                <w:sz w:val="18"/>
                <w:szCs w:val="18"/>
              </w:rPr>
            </w:pPr>
          </w:p>
        </w:tc>
        <w:tc>
          <w:tcPr>
            <w:tcW w:w="1203" w:type="dxa"/>
            <w:vAlign w:val="center"/>
          </w:tcPr>
          <w:p w14:paraId="17B2D6AC" w14:textId="77777777" w:rsidR="00152539" w:rsidRPr="00736D0B" w:rsidRDefault="00152539" w:rsidP="009345F8">
            <w:pPr>
              <w:pStyle w:val="Table"/>
              <w:rPr>
                <w:sz w:val="18"/>
                <w:szCs w:val="18"/>
              </w:rPr>
            </w:pPr>
            <w:r w:rsidRPr="00736D0B">
              <w:rPr>
                <w:sz w:val="18"/>
                <w:szCs w:val="18"/>
              </w:rPr>
              <w:t>35.97</w:t>
            </w:r>
          </w:p>
        </w:tc>
        <w:tc>
          <w:tcPr>
            <w:tcW w:w="1203" w:type="dxa"/>
            <w:vAlign w:val="center"/>
          </w:tcPr>
          <w:p w14:paraId="42E23989" w14:textId="77777777" w:rsidR="00152539" w:rsidRPr="00736D0B" w:rsidRDefault="00152539" w:rsidP="009345F8">
            <w:pPr>
              <w:pStyle w:val="Table"/>
              <w:rPr>
                <w:sz w:val="18"/>
                <w:szCs w:val="18"/>
              </w:rPr>
            </w:pPr>
            <w:r w:rsidRPr="00736D0B">
              <w:rPr>
                <w:sz w:val="18"/>
                <w:szCs w:val="18"/>
              </w:rPr>
              <w:t>30.87</w:t>
            </w:r>
          </w:p>
        </w:tc>
      </w:tr>
      <w:tr w:rsidR="00152539" w:rsidRPr="00736D0B" w14:paraId="3319BD13" w14:textId="77777777" w:rsidTr="009345F8">
        <w:trPr>
          <w:trHeight w:val="329"/>
        </w:trPr>
        <w:tc>
          <w:tcPr>
            <w:tcW w:w="3463" w:type="dxa"/>
            <w:tcBorders>
              <w:bottom w:val="single" w:sz="6" w:space="0" w:color="000000"/>
            </w:tcBorders>
            <w:vAlign w:val="center"/>
          </w:tcPr>
          <w:p w14:paraId="7713CAB9" w14:textId="09BD7EBA" w:rsidR="00152539" w:rsidRPr="00736D0B" w:rsidRDefault="00152539" w:rsidP="009345F8">
            <w:pPr>
              <w:pStyle w:val="Table"/>
              <w:rPr>
                <w:sz w:val="18"/>
                <w:szCs w:val="18"/>
              </w:rPr>
            </w:pPr>
            <w:r w:rsidRPr="00736D0B">
              <w:rPr>
                <w:sz w:val="18"/>
                <w:szCs w:val="18"/>
              </w:rPr>
              <w:t xml:space="preserve">Degrees of freedom </w:t>
            </w:r>
            <w:r w:rsidR="006A7FFB">
              <w:rPr>
                <w:sz w:val="18"/>
                <w:szCs w:val="18"/>
              </w:rPr>
              <w:t xml:space="preserve">full model </w:t>
            </w:r>
            <w:r w:rsidRPr="00736D0B">
              <w:rPr>
                <w:sz w:val="18"/>
                <w:szCs w:val="18"/>
              </w:rPr>
              <w:t>F-test</w:t>
            </w:r>
          </w:p>
        </w:tc>
        <w:tc>
          <w:tcPr>
            <w:tcW w:w="1137" w:type="dxa"/>
            <w:tcBorders>
              <w:bottom w:val="single" w:sz="6" w:space="0" w:color="000000"/>
            </w:tcBorders>
            <w:vAlign w:val="center"/>
          </w:tcPr>
          <w:p w14:paraId="4D5517D0" w14:textId="77777777" w:rsidR="00152539" w:rsidRPr="00736D0B" w:rsidRDefault="00152539" w:rsidP="009345F8">
            <w:pPr>
              <w:pStyle w:val="Table"/>
              <w:rPr>
                <w:sz w:val="18"/>
                <w:szCs w:val="18"/>
              </w:rPr>
            </w:pPr>
          </w:p>
        </w:tc>
        <w:tc>
          <w:tcPr>
            <w:tcW w:w="1136" w:type="dxa"/>
            <w:tcBorders>
              <w:bottom w:val="single" w:sz="6" w:space="0" w:color="000000"/>
            </w:tcBorders>
            <w:vAlign w:val="center"/>
          </w:tcPr>
          <w:p w14:paraId="547F6319" w14:textId="77777777" w:rsidR="00152539" w:rsidRPr="00736D0B" w:rsidRDefault="00152539" w:rsidP="009345F8">
            <w:pPr>
              <w:pStyle w:val="Table"/>
              <w:rPr>
                <w:sz w:val="18"/>
                <w:szCs w:val="18"/>
              </w:rPr>
            </w:pPr>
          </w:p>
        </w:tc>
        <w:tc>
          <w:tcPr>
            <w:tcW w:w="1216" w:type="dxa"/>
            <w:tcBorders>
              <w:bottom w:val="single" w:sz="6" w:space="0" w:color="000000"/>
            </w:tcBorders>
            <w:vAlign w:val="center"/>
          </w:tcPr>
          <w:p w14:paraId="36099C6F" w14:textId="77777777" w:rsidR="00152539" w:rsidRPr="00736D0B" w:rsidRDefault="00152539" w:rsidP="009345F8">
            <w:pPr>
              <w:pStyle w:val="Table"/>
              <w:rPr>
                <w:sz w:val="18"/>
                <w:szCs w:val="18"/>
              </w:rPr>
            </w:pPr>
          </w:p>
        </w:tc>
        <w:tc>
          <w:tcPr>
            <w:tcW w:w="1203" w:type="dxa"/>
            <w:tcBorders>
              <w:bottom w:val="single" w:sz="6" w:space="0" w:color="000000"/>
            </w:tcBorders>
            <w:vAlign w:val="center"/>
          </w:tcPr>
          <w:p w14:paraId="29C32CCF" w14:textId="77777777" w:rsidR="00152539" w:rsidRPr="00736D0B" w:rsidRDefault="00152539" w:rsidP="009345F8">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12; 601)</w:t>
            </w:r>
          </w:p>
        </w:tc>
        <w:tc>
          <w:tcPr>
            <w:tcW w:w="1203" w:type="dxa"/>
            <w:tcBorders>
              <w:bottom w:val="single" w:sz="6" w:space="0" w:color="000000"/>
            </w:tcBorders>
            <w:vAlign w:val="center"/>
          </w:tcPr>
          <w:p w14:paraId="3F9ADCE9" w14:textId="77777777" w:rsidR="00152539" w:rsidRPr="00736D0B" w:rsidRDefault="00152539" w:rsidP="009345F8">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14; 599)</w:t>
            </w:r>
          </w:p>
        </w:tc>
      </w:tr>
    </w:tbl>
    <w:p w14:paraId="38F67639" w14:textId="77777777" w:rsidR="00CB4221" w:rsidRPr="001F001C" w:rsidRDefault="00CB4221" w:rsidP="00CB4221">
      <w:pPr>
        <w:rPr>
          <w:b/>
          <w:bCs/>
          <w:i/>
          <w:iCs/>
          <w:sz w:val="20"/>
          <w:szCs w:val="20"/>
          <w:lang w:val="en-US"/>
        </w:rPr>
      </w:pPr>
      <w:r w:rsidRPr="001F001C">
        <w:rPr>
          <w:b/>
          <w:bCs/>
          <w:i/>
          <w:iCs/>
          <w:sz w:val="20"/>
          <w:szCs w:val="20"/>
          <w:lang w:val="en-US"/>
        </w:rPr>
        <w:t>Robust Standard Errors in Brackets.</w:t>
      </w:r>
    </w:p>
    <w:p w14:paraId="622239ED" w14:textId="77777777" w:rsidR="00CB4221" w:rsidRPr="001F001C" w:rsidRDefault="00CB4221" w:rsidP="00CB4221">
      <w:pPr>
        <w:rPr>
          <w:b/>
          <w:bCs/>
          <w:i/>
          <w:iCs/>
          <w:sz w:val="20"/>
          <w:szCs w:val="20"/>
        </w:rPr>
      </w:pPr>
      <w:r w:rsidRPr="001F001C">
        <w:rPr>
          <w:b/>
          <w:bCs/>
          <w:i/>
          <w:iCs/>
          <w:sz w:val="20"/>
          <w:szCs w:val="20"/>
        </w:rPr>
        <w:t>¹F-statistic refers to a restricted model that only excludes the interaction terms.</w:t>
      </w:r>
    </w:p>
    <w:p w14:paraId="56153567" w14:textId="77777777" w:rsidR="00CB4221" w:rsidRPr="001F001C" w:rsidRDefault="00CB4221" w:rsidP="00CB4221">
      <w:pPr>
        <w:rPr>
          <w:b/>
          <w:bCs/>
          <w:i/>
          <w:iCs/>
          <w:sz w:val="20"/>
          <w:szCs w:val="20"/>
        </w:rPr>
      </w:pPr>
      <w:r w:rsidRPr="001F001C">
        <w:rPr>
          <w:b/>
          <w:bCs/>
          <w:i/>
          <w:iCs/>
          <w:sz w:val="20"/>
          <w:szCs w:val="20"/>
        </w:rPr>
        <w:t xml:space="preserve">²F-statistic is the conventional F-test.  </w:t>
      </w:r>
    </w:p>
    <w:p w14:paraId="06AE9760" w14:textId="77777777" w:rsidR="00CB4221" w:rsidRPr="001F001C" w:rsidRDefault="00CB4221" w:rsidP="00CB4221">
      <w:pPr>
        <w:rPr>
          <w:b/>
          <w:bCs/>
          <w:i/>
          <w:iCs/>
          <w:sz w:val="20"/>
          <w:szCs w:val="20"/>
          <w:lang/>
        </w:rPr>
      </w:pPr>
      <w:r w:rsidRPr="001F001C">
        <w:rPr>
          <w:b/>
          <w:bCs/>
          <w:i/>
          <w:iCs/>
          <w:sz w:val="20"/>
          <w:szCs w:val="20"/>
          <w:lang/>
        </w:rPr>
        <w:t>Source: Own Estimation based on data from TSE,</w:t>
      </w:r>
      <w:r w:rsidRPr="001F001C">
        <w:rPr>
          <w:b/>
          <w:bCs/>
          <w:i/>
          <w:iCs/>
          <w:sz w:val="20"/>
          <w:szCs w:val="20"/>
        </w:rPr>
        <w:t xml:space="preserve"> </w:t>
      </w:r>
      <w:r w:rsidRPr="001F001C">
        <w:rPr>
          <w:b/>
          <w:bCs/>
          <w:i/>
          <w:iCs/>
          <w:sz w:val="20"/>
          <w:szCs w:val="20"/>
          <w:lang/>
        </w:rPr>
        <w:t>São Paulo Metro (OD Survey, 1997), Centro de Estudos da Metrópole, IBGE (2000 Census) and Geo Sampa.</w:t>
      </w:r>
    </w:p>
    <w:p w14:paraId="72F1E103" w14:textId="77777777" w:rsidR="00CB4221" w:rsidRPr="001F001C" w:rsidRDefault="00CB4221" w:rsidP="00CB4221">
      <w:pPr>
        <w:rPr>
          <w:sz w:val="20"/>
          <w:szCs w:val="20"/>
        </w:rPr>
      </w:pPr>
    </w:p>
    <w:p w14:paraId="19CE6EE4" w14:textId="2F49DAD7" w:rsidR="00F66019" w:rsidRPr="00CB4221" w:rsidRDefault="00F66019">
      <w:pPr>
        <w:rPr>
          <w:lang/>
        </w:rPr>
      </w:pPr>
      <w:r w:rsidRPr="00CB4221">
        <w:rPr>
          <w:lang/>
        </w:rPr>
        <w:br w:type="page"/>
      </w:r>
    </w:p>
    <w:p w14:paraId="6663DF81" w14:textId="2A2793CB" w:rsidR="00F66019" w:rsidRDefault="00F66019" w:rsidP="00F66019">
      <w:pPr>
        <w:pStyle w:val="Legenda"/>
        <w:keepNext/>
      </w:pPr>
      <w:bookmarkStart w:id="3" w:name="_Ref151037785"/>
      <w:r>
        <w:lastRenderedPageBreak/>
        <w:t xml:space="preserve">Table </w:t>
      </w:r>
      <w:r w:rsidR="00A70866">
        <w:t>A.</w:t>
      </w:r>
      <w:r>
        <w:fldChar w:fldCharType="begin"/>
      </w:r>
      <w:r>
        <w:instrText xml:space="preserve"> SEQ Table \* ARABIC </w:instrText>
      </w:r>
      <w:r>
        <w:fldChar w:fldCharType="separate"/>
      </w:r>
      <w:r>
        <w:rPr>
          <w:noProof/>
        </w:rPr>
        <w:t>2</w:t>
      </w:r>
      <w:r>
        <w:rPr>
          <w:noProof/>
        </w:rPr>
        <w:fldChar w:fldCharType="end"/>
      </w:r>
      <w:bookmarkEnd w:id="3"/>
      <w:r>
        <w:t xml:space="preserve">. </w:t>
      </w:r>
      <w:r w:rsidRPr="00FB0472">
        <w:t xml:space="preserve">OLS estimates of incumbent party voting difference (2004-2000) </w:t>
      </w:r>
      <w:r w:rsidR="00A70866">
        <w:t>(</w:t>
      </w:r>
      <w:r w:rsidRPr="00FB0472">
        <w:t>matched sample</w:t>
      </w:r>
      <w:r w:rsidR="00A70866">
        <w:t>)</w:t>
      </w:r>
    </w:p>
    <w:tbl>
      <w:tblPr>
        <w:tblW w:w="9356" w:type="dxa"/>
        <w:tblInd w:w="147" w:type="dxa"/>
        <w:tblLayout w:type="fixed"/>
        <w:tblCellMar>
          <w:left w:w="0" w:type="dxa"/>
          <w:right w:w="0" w:type="dxa"/>
        </w:tblCellMar>
        <w:tblLook w:val="01E0" w:firstRow="1" w:lastRow="1" w:firstColumn="1" w:lastColumn="1" w:noHBand="0" w:noVBand="0"/>
      </w:tblPr>
      <w:tblGrid>
        <w:gridCol w:w="3503"/>
        <w:gridCol w:w="1095"/>
        <w:gridCol w:w="1149"/>
        <w:gridCol w:w="1175"/>
        <w:gridCol w:w="1217"/>
        <w:gridCol w:w="1217"/>
      </w:tblGrid>
      <w:tr w:rsidR="00F66019" w:rsidRPr="00657BE6" w14:paraId="1F71A4FC" w14:textId="77777777" w:rsidTr="009345F8">
        <w:trPr>
          <w:trHeight w:val="369"/>
        </w:trPr>
        <w:tc>
          <w:tcPr>
            <w:tcW w:w="3503" w:type="dxa"/>
            <w:tcBorders>
              <w:top w:val="single" w:sz="4" w:space="0" w:color="000000"/>
              <w:bottom w:val="single" w:sz="4" w:space="0" w:color="000000"/>
            </w:tcBorders>
          </w:tcPr>
          <w:p w14:paraId="20824257" w14:textId="77777777" w:rsidR="00F66019" w:rsidRPr="00657BE6" w:rsidRDefault="00F66019" w:rsidP="009345F8">
            <w:pPr>
              <w:pStyle w:val="Table"/>
              <w:rPr>
                <w:sz w:val="18"/>
                <w:szCs w:val="18"/>
              </w:rPr>
            </w:pPr>
          </w:p>
        </w:tc>
        <w:tc>
          <w:tcPr>
            <w:tcW w:w="1095" w:type="dxa"/>
            <w:tcBorders>
              <w:top w:val="single" w:sz="4" w:space="0" w:color="000000"/>
              <w:bottom w:val="single" w:sz="4" w:space="0" w:color="000000"/>
            </w:tcBorders>
          </w:tcPr>
          <w:p w14:paraId="4037BB5A" w14:textId="77777777" w:rsidR="00F66019" w:rsidRPr="00657BE6" w:rsidRDefault="00F66019" w:rsidP="009345F8">
            <w:pPr>
              <w:pStyle w:val="Table"/>
              <w:jc w:val="center"/>
              <w:rPr>
                <w:sz w:val="18"/>
                <w:szCs w:val="18"/>
              </w:rPr>
            </w:pPr>
            <w:r w:rsidRPr="00657BE6">
              <w:rPr>
                <w:sz w:val="18"/>
                <w:szCs w:val="18"/>
              </w:rPr>
              <w:t>(1)</w:t>
            </w:r>
          </w:p>
        </w:tc>
        <w:tc>
          <w:tcPr>
            <w:tcW w:w="1149" w:type="dxa"/>
            <w:tcBorders>
              <w:top w:val="single" w:sz="4" w:space="0" w:color="000000"/>
              <w:bottom w:val="single" w:sz="4" w:space="0" w:color="000000"/>
            </w:tcBorders>
          </w:tcPr>
          <w:p w14:paraId="351B4AEE" w14:textId="77777777" w:rsidR="00F66019" w:rsidRPr="00657BE6" w:rsidRDefault="00F66019" w:rsidP="009345F8">
            <w:pPr>
              <w:pStyle w:val="Table"/>
              <w:jc w:val="center"/>
              <w:rPr>
                <w:sz w:val="18"/>
                <w:szCs w:val="18"/>
              </w:rPr>
            </w:pPr>
            <w:r w:rsidRPr="00657BE6">
              <w:rPr>
                <w:sz w:val="18"/>
                <w:szCs w:val="18"/>
              </w:rPr>
              <w:t>(2)</w:t>
            </w:r>
          </w:p>
        </w:tc>
        <w:tc>
          <w:tcPr>
            <w:tcW w:w="1175" w:type="dxa"/>
            <w:tcBorders>
              <w:top w:val="single" w:sz="4" w:space="0" w:color="000000"/>
              <w:bottom w:val="single" w:sz="4" w:space="0" w:color="000000"/>
            </w:tcBorders>
          </w:tcPr>
          <w:p w14:paraId="73166121" w14:textId="77777777" w:rsidR="00F66019" w:rsidRPr="00657BE6" w:rsidRDefault="00F66019" w:rsidP="009345F8">
            <w:pPr>
              <w:pStyle w:val="Table"/>
              <w:jc w:val="center"/>
              <w:rPr>
                <w:sz w:val="18"/>
                <w:szCs w:val="18"/>
              </w:rPr>
            </w:pPr>
            <w:r w:rsidRPr="00657BE6">
              <w:rPr>
                <w:sz w:val="18"/>
                <w:szCs w:val="18"/>
              </w:rPr>
              <w:t>(3)</w:t>
            </w:r>
          </w:p>
        </w:tc>
        <w:tc>
          <w:tcPr>
            <w:tcW w:w="1217" w:type="dxa"/>
            <w:tcBorders>
              <w:top w:val="single" w:sz="4" w:space="0" w:color="000000"/>
              <w:bottom w:val="single" w:sz="4" w:space="0" w:color="000000"/>
            </w:tcBorders>
          </w:tcPr>
          <w:p w14:paraId="3C991292" w14:textId="77777777" w:rsidR="00F66019" w:rsidRPr="00657BE6" w:rsidRDefault="00F66019" w:rsidP="009345F8">
            <w:pPr>
              <w:pStyle w:val="Table"/>
              <w:jc w:val="center"/>
              <w:rPr>
                <w:sz w:val="18"/>
                <w:szCs w:val="18"/>
              </w:rPr>
            </w:pPr>
            <w:r w:rsidRPr="00657BE6">
              <w:rPr>
                <w:sz w:val="18"/>
                <w:szCs w:val="18"/>
              </w:rPr>
              <w:t>(4)</w:t>
            </w:r>
          </w:p>
        </w:tc>
        <w:tc>
          <w:tcPr>
            <w:tcW w:w="1217" w:type="dxa"/>
            <w:tcBorders>
              <w:top w:val="single" w:sz="4" w:space="0" w:color="000000"/>
              <w:bottom w:val="single" w:sz="4" w:space="0" w:color="000000"/>
            </w:tcBorders>
          </w:tcPr>
          <w:p w14:paraId="576A2DF3" w14:textId="77777777" w:rsidR="00F66019" w:rsidRPr="00657BE6" w:rsidRDefault="00F66019" w:rsidP="009345F8">
            <w:pPr>
              <w:pStyle w:val="Table"/>
              <w:jc w:val="center"/>
              <w:rPr>
                <w:sz w:val="18"/>
                <w:szCs w:val="18"/>
              </w:rPr>
            </w:pPr>
            <w:r w:rsidRPr="00657BE6">
              <w:rPr>
                <w:sz w:val="18"/>
                <w:szCs w:val="18"/>
              </w:rPr>
              <w:t>(5)</w:t>
            </w:r>
          </w:p>
        </w:tc>
      </w:tr>
      <w:tr w:rsidR="00F66019" w:rsidRPr="00657BE6" w14:paraId="15BEF9E4" w14:textId="77777777" w:rsidTr="009345F8">
        <w:trPr>
          <w:trHeight w:val="332"/>
        </w:trPr>
        <w:tc>
          <w:tcPr>
            <w:tcW w:w="3503" w:type="dxa"/>
            <w:tcBorders>
              <w:top w:val="single" w:sz="4" w:space="0" w:color="000000"/>
            </w:tcBorders>
            <w:vAlign w:val="center"/>
          </w:tcPr>
          <w:p w14:paraId="65D32BFD" w14:textId="77777777" w:rsidR="00F66019" w:rsidRPr="00657BE6" w:rsidRDefault="00F66019" w:rsidP="009345F8">
            <w:pPr>
              <w:pStyle w:val="Table"/>
              <w:rPr>
                <w:sz w:val="18"/>
                <w:szCs w:val="18"/>
              </w:rPr>
            </w:pPr>
            <w:r w:rsidRPr="00657BE6">
              <w:rPr>
                <w:sz w:val="18"/>
                <w:szCs w:val="18"/>
              </w:rPr>
              <w:t>Proportion of Smart Card Users</w:t>
            </w:r>
          </w:p>
        </w:tc>
        <w:tc>
          <w:tcPr>
            <w:tcW w:w="1095" w:type="dxa"/>
            <w:tcBorders>
              <w:top w:val="single" w:sz="4" w:space="0" w:color="000000"/>
            </w:tcBorders>
            <w:vAlign w:val="center"/>
          </w:tcPr>
          <w:p w14:paraId="714B7DF2" w14:textId="77777777" w:rsidR="00F66019" w:rsidRPr="00657BE6" w:rsidRDefault="00F66019" w:rsidP="009345F8">
            <w:pPr>
              <w:pStyle w:val="Table"/>
              <w:rPr>
                <w:sz w:val="18"/>
                <w:szCs w:val="18"/>
              </w:rPr>
            </w:pPr>
            <w:r w:rsidRPr="00657BE6">
              <w:rPr>
                <w:sz w:val="18"/>
                <w:szCs w:val="18"/>
              </w:rPr>
              <w:t>0.316 [0.088]</w:t>
            </w:r>
          </w:p>
        </w:tc>
        <w:tc>
          <w:tcPr>
            <w:tcW w:w="1149" w:type="dxa"/>
            <w:tcBorders>
              <w:top w:val="single" w:sz="4" w:space="0" w:color="000000"/>
            </w:tcBorders>
            <w:vAlign w:val="center"/>
          </w:tcPr>
          <w:p w14:paraId="782BA279" w14:textId="77777777" w:rsidR="00F66019" w:rsidRPr="00657BE6" w:rsidRDefault="00F66019" w:rsidP="009345F8">
            <w:pPr>
              <w:pStyle w:val="Table"/>
              <w:rPr>
                <w:sz w:val="18"/>
                <w:szCs w:val="18"/>
              </w:rPr>
            </w:pPr>
            <w:r w:rsidRPr="00657BE6">
              <w:rPr>
                <w:sz w:val="18"/>
                <w:szCs w:val="18"/>
              </w:rPr>
              <w:t>0.230 [0.079]</w:t>
            </w:r>
          </w:p>
        </w:tc>
        <w:tc>
          <w:tcPr>
            <w:tcW w:w="1175" w:type="dxa"/>
            <w:tcBorders>
              <w:top w:val="single" w:sz="4" w:space="0" w:color="000000"/>
            </w:tcBorders>
            <w:vAlign w:val="center"/>
          </w:tcPr>
          <w:p w14:paraId="3D04FC03" w14:textId="77777777" w:rsidR="00F66019" w:rsidRPr="00657BE6" w:rsidRDefault="00F66019" w:rsidP="009345F8">
            <w:pPr>
              <w:pStyle w:val="Table"/>
              <w:rPr>
                <w:sz w:val="18"/>
                <w:szCs w:val="18"/>
              </w:rPr>
            </w:pPr>
            <w:r w:rsidRPr="00657BE6">
              <w:rPr>
                <w:sz w:val="18"/>
                <w:szCs w:val="18"/>
              </w:rPr>
              <w:t>0.194 [0.078]</w:t>
            </w:r>
          </w:p>
        </w:tc>
        <w:tc>
          <w:tcPr>
            <w:tcW w:w="1217" w:type="dxa"/>
            <w:tcBorders>
              <w:top w:val="single" w:sz="4" w:space="0" w:color="000000"/>
            </w:tcBorders>
            <w:vAlign w:val="center"/>
          </w:tcPr>
          <w:p w14:paraId="0344C2E7" w14:textId="77777777" w:rsidR="00F66019" w:rsidRPr="00657BE6" w:rsidRDefault="00F66019" w:rsidP="009345F8">
            <w:pPr>
              <w:pStyle w:val="Table"/>
              <w:rPr>
                <w:sz w:val="18"/>
                <w:szCs w:val="18"/>
              </w:rPr>
            </w:pPr>
            <w:r w:rsidRPr="00657BE6">
              <w:rPr>
                <w:sz w:val="18"/>
                <w:szCs w:val="18"/>
              </w:rPr>
              <w:t>0.395 [1.306]</w:t>
            </w:r>
          </w:p>
        </w:tc>
        <w:tc>
          <w:tcPr>
            <w:tcW w:w="1217" w:type="dxa"/>
            <w:tcBorders>
              <w:top w:val="single" w:sz="4" w:space="0" w:color="000000"/>
            </w:tcBorders>
            <w:vAlign w:val="center"/>
          </w:tcPr>
          <w:p w14:paraId="7FF5DA27" w14:textId="77777777" w:rsidR="00F66019" w:rsidRPr="00657BE6" w:rsidRDefault="00F66019" w:rsidP="009345F8">
            <w:pPr>
              <w:pStyle w:val="Table"/>
              <w:rPr>
                <w:sz w:val="18"/>
                <w:szCs w:val="18"/>
              </w:rPr>
            </w:pPr>
            <w:r w:rsidRPr="00657BE6">
              <w:rPr>
                <w:sz w:val="18"/>
                <w:szCs w:val="18"/>
              </w:rPr>
              <w:t>-0.659 [1.713]</w:t>
            </w:r>
          </w:p>
        </w:tc>
      </w:tr>
      <w:tr w:rsidR="00F66019" w:rsidRPr="00657BE6" w14:paraId="72460050" w14:textId="77777777" w:rsidTr="009345F8">
        <w:trPr>
          <w:trHeight w:val="296"/>
        </w:trPr>
        <w:tc>
          <w:tcPr>
            <w:tcW w:w="3503" w:type="dxa"/>
            <w:vAlign w:val="center"/>
          </w:tcPr>
          <w:p w14:paraId="5A8563A3" w14:textId="77777777" w:rsidR="00F66019" w:rsidRPr="00657BE6" w:rsidRDefault="00F66019" w:rsidP="009345F8">
            <w:pPr>
              <w:pStyle w:val="Table"/>
              <w:rPr>
                <w:sz w:val="18"/>
                <w:szCs w:val="18"/>
              </w:rPr>
            </w:pPr>
            <w:r w:rsidRPr="00657BE6">
              <w:rPr>
                <w:sz w:val="18"/>
                <w:szCs w:val="18"/>
              </w:rPr>
              <w:t>Vote share Labor Party (2000)</w:t>
            </w:r>
          </w:p>
        </w:tc>
        <w:tc>
          <w:tcPr>
            <w:tcW w:w="1095" w:type="dxa"/>
            <w:vAlign w:val="center"/>
          </w:tcPr>
          <w:p w14:paraId="4A4C4CD0" w14:textId="77777777" w:rsidR="00F66019" w:rsidRPr="00657BE6" w:rsidRDefault="00F66019" w:rsidP="009345F8">
            <w:pPr>
              <w:pStyle w:val="Table"/>
              <w:rPr>
                <w:sz w:val="18"/>
                <w:szCs w:val="18"/>
              </w:rPr>
            </w:pPr>
            <w:r w:rsidRPr="00657BE6">
              <w:rPr>
                <w:sz w:val="18"/>
                <w:szCs w:val="18"/>
              </w:rPr>
              <w:t>0.795 [0.093]</w:t>
            </w:r>
          </w:p>
        </w:tc>
        <w:tc>
          <w:tcPr>
            <w:tcW w:w="1149" w:type="dxa"/>
            <w:vAlign w:val="center"/>
          </w:tcPr>
          <w:p w14:paraId="6C2BB747" w14:textId="77777777" w:rsidR="00F66019" w:rsidRPr="00657BE6" w:rsidRDefault="00F66019" w:rsidP="009345F8">
            <w:pPr>
              <w:pStyle w:val="Table"/>
              <w:rPr>
                <w:sz w:val="18"/>
                <w:szCs w:val="18"/>
              </w:rPr>
            </w:pPr>
            <w:r w:rsidRPr="00657BE6">
              <w:rPr>
                <w:sz w:val="18"/>
                <w:szCs w:val="18"/>
              </w:rPr>
              <w:t>0.209 [0.106]</w:t>
            </w:r>
          </w:p>
        </w:tc>
        <w:tc>
          <w:tcPr>
            <w:tcW w:w="1175" w:type="dxa"/>
            <w:vAlign w:val="center"/>
          </w:tcPr>
          <w:p w14:paraId="64231853" w14:textId="77777777" w:rsidR="00F66019" w:rsidRPr="00657BE6" w:rsidRDefault="00F66019" w:rsidP="009345F8">
            <w:pPr>
              <w:pStyle w:val="Table"/>
              <w:rPr>
                <w:sz w:val="18"/>
                <w:szCs w:val="18"/>
              </w:rPr>
            </w:pPr>
            <w:r w:rsidRPr="00657BE6">
              <w:rPr>
                <w:sz w:val="18"/>
                <w:szCs w:val="18"/>
              </w:rPr>
              <w:t>0.14 [0.109]</w:t>
            </w:r>
          </w:p>
        </w:tc>
        <w:tc>
          <w:tcPr>
            <w:tcW w:w="1217" w:type="dxa"/>
            <w:vAlign w:val="center"/>
          </w:tcPr>
          <w:p w14:paraId="316919F8" w14:textId="77777777" w:rsidR="00F66019" w:rsidRPr="00657BE6" w:rsidRDefault="00F66019" w:rsidP="009345F8">
            <w:pPr>
              <w:pStyle w:val="Table"/>
              <w:rPr>
                <w:sz w:val="18"/>
                <w:szCs w:val="18"/>
              </w:rPr>
            </w:pPr>
            <w:r w:rsidRPr="00657BE6">
              <w:rPr>
                <w:sz w:val="18"/>
                <w:szCs w:val="18"/>
              </w:rPr>
              <w:t>0.153 [0.109]</w:t>
            </w:r>
          </w:p>
        </w:tc>
        <w:tc>
          <w:tcPr>
            <w:tcW w:w="1217" w:type="dxa"/>
            <w:vAlign w:val="center"/>
          </w:tcPr>
          <w:p w14:paraId="28161590" w14:textId="77777777" w:rsidR="00F66019" w:rsidRPr="00657BE6" w:rsidRDefault="00F66019" w:rsidP="009345F8">
            <w:pPr>
              <w:pStyle w:val="Table"/>
              <w:rPr>
                <w:sz w:val="18"/>
                <w:szCs w:val="18"/>
              </w:rPr>
            </w:pPr>
            <w:r w:rsidRPr="00657BE6">
              <w:rPr>
                <w:sz w:val="18"/>
                <w:szCs w:val="18"/>
              </w:rPr>
              <w:t>0.169 [0.108]</w:t>
            </w:r>
          </w:p>
        </w:tc>
      </w:tr>
      <w:tr w:rsidR="00F66019" w:rsidRPr="00657BE6" w14:paraId="1140E415" w14:textId="77777777" w:rsidTr="009345F8">
        <w:trPr>
          <w:trHeight w:val="296"/>
        </w:trPr>
        <w:tc>
          <w:tcPr>
            <w:tcW w:w="3503" w:type="dxa"/>
            <w:vAlign w:val="center"/>
          </w:tcPr>
          <w:p w14:paraId="0286F673" w14:textId="77777777" w:rsidR="00F66019" w:rsidRPr="00657BE6" w:rsidRDefault="00F66019" w:rsidP="009345F8">
            <w:pPr>
              <w:pStyle w:val="Table"/>
              <w:rPr>
                <w:sz w:val="18"/>
                <w:szCs w:val="18"/>
              </w:rPr>
            </w:pPr>
            <w:r w:rsidRPr="00657BE6">
              <w:rPr>
                <w:sz w:val="18"/>
                <w:szCs w:val="18"/>
              </w:rPr>
              <w:t>Average Nominal Income (log)</w:t>
            </w:r>
          </w:p>
        </w:tc>
        <w:tc>
          <w:tcPr>
            <w:tcW w:w="1095" w:type="dxa"/>
            <w:vAlign w:val="center"/>
          </w:tcPr>
          <w:p w14:paraId="0EA95726" w14:textId="77777777" w:rsidR="00F66019" w:rsidRPr="00657BE6" w:rsidRDefault="00F66019" w:rsidP="009345F8">
            <w:pPr>
              <w:pStyle w:val="Table"/>
              <w:rPr>
                <w:sz w:val="18"/>
                <w:szCs w:val="18"/>
              </w:rPr>
            </w:pPr>
          </w:p>
        </w:tc>
        <w:tc>
          <w:tcPr>
            <w:tcW w:w="1149" w:type="dxa"/>
            <w:vAlign w:val="center"/>
          </w:tcPr>
          <w:p w14:paraId="1180F738" w14:textId="77777777" w:rsidR="00F66019" w:rsidRPr="00657BE6" w:rsidRDefault="00F66019" w:rsidP="009345F8">
            <w:pPr>
              <w:pStyle w:val="Table"/>
              <w:rPr>
                <w:sz w:val="18"/>
                <w:szCs w:val="18"/>
              </w:rPr>
            </w:pPr>
            <w:r w:rsidRPr="00657BE6">
              <w:rPr>
                <w:sz w:val="18"/>
                <w:szCs w:val="18"/>
              </w:rPr>
              <w:t>-0.075 [0.012]</w:t>
            </w:r>
          </w:p>
        </w:tc>
        <w:tc>
          <w:tcPr>
            <w:tcW w:w="1175" w:type="dxa"/>
            <w:vAlign w:val="center"/>
          </w:tcPr>
          <w:p w14:paraId="1B98E27B" w14:textId="77777777" w:rsidR="00F66019" w:rsidRPr="00657BE6" w:rsidRDefault="00F66019" w:rsidP="009345F8">
            <w:pPr>
              <w:pStyle w:val="Table"/>
              <w:rPr>
                <w:sz w:val="18"/>
                <w:szCs w:val="18"/>
              </w:rPr>
            </w:pPr>
            <w:r w:rsidRPr="00657BE6">
              <w:rPr>
                <w:sz w:val="18"/>
                <w:szCs w:val="18"/>
              </w:rPr>
              <w:t>-0.074 [0.012]</w:t>
            </w:r>
          </w:p>
        </w:tc>
        <w:tc>
          <w:tcPr>
            <w:tcW w:w="1217" w:type="dxa"/>
            <w:vAlign w:val="center"/>
          </w:tcPr>
          <w:p w14:paraId="533558EE" w14:textId="77777777" w:rsidR="00F66019" w:rsidRPr="00657BE6" w:rsidRDefault="00F66019" w:rsidP="009345F8">
            <w:pPr>
              <w:pStyle w:val="Table"/>
              <w:rPr>
                <w:sz w:val="18"/>
                <w:szCs w:val="18"/>
              </w:rPr>
            </w:pPr>
            <w:r w:rsidRPr="00657BE6">
              <w:rPr>
                <w:sz w:val="18"/>
                <w:szCs w:val="18"/>
              </w:rPr>
              <w:t>-0.071 [0.017]</w:t>
            </w:r>
          </w:p>
        </w:tc>
        <w:tc>
          <w:tcPr>
            <w:tcW w:w="1217" w:type="dxa"/>
            <w:vAlign w:val="center"/>
          </w:tcPr>
          <w:p w14:paraId="40A190E8" w14:textId="77777777" w:rsidR="00F66019" w:rsidRPr="00657BE6" w:rsidRDefault="00F66019" w:rsidP="009345F8">
            <w:pPr>
              <w:pStyle w:val="Table"/>
              <w:rPr>
                <w:sz w:val="18"/>
                <w:szCs w:val="18"/>
              </w:rPr>
            </w:pPr>
            <w:r w:rsidRPr="00657BE6">
              <w:rPr>
                <w:sz w:val="18"/>
                <w:szCs w:val="18"/>
              </w:rPr>
              <w:t>-0.078 [0.019]</w:t>
            </w:r>
          </w:p>
        </w:tc>
      </w:tr>
      <w:tr w:rsidR="00F66019" w:rsidRPr="00657BE6" w14:paraId="02A6B248" w14:textId="77777777" w:rsidTr="009345F8">
        <w:trPr>
          <w:trHeight w:val="296"/>
        </w:trPr>
        <w:tc>
          <w:tcPr>
            <w:tcW w:w="3503" w:type="dxa"/>
            <w:vAlign w:val="center"/>
          </w:tcPr>
          <w:p w14:paraId="017ABE44" w14:textId="77777777" w:rsidR="00F66019" w:rsidRPr="00657BE6" w:rsidRDefault="00F66019" w:rsidP="009345F8">
            <w:pPr>
              <w:pStyle w:val="Table"/>
              <w:rPr>
                <w:sz w:val="18"/>
                <w:szCs w:val="18"/>
              </w:rPr>
            </w:pPr>
            <w:r w:rsidRPr="00657BE6">
              <w:rPr>
                <w:sz w:val="18"/>
                <w:szCs w:val="18"/>
              </w:rPr>
              <w:t>Distance to the nearest rail station (Km)</w:t>
            </w:r>
          </w:p>
        </w:tc>
        <w:tc>
          <w:tcPr>
            <w:tcW w:w="1095" w:type="dxa"/>
            <w:vAlign w:val="center"/>
          </w:tcPr>
          <w:p w14:paraId="5CE1F8DD" w14:textId="77777777" w:rsidR="00F66019" w:rsidRPr="00657BE6" w:rsidRDefault="00F66019" w:rsidP="009345F8">
            <w:pPr>
              <w:pStyle w:val="Table"/>
              <w:rPr>
                <w:sz w:val="18"/>
                <w:szCs w:val="18"/>
              </w:rPr>
            </w:pPr>
          </w:p>
        </w:tc>
        <w:tc>
          <w:tcPr>
            <w:tcW w:w="1149" w:type="dxa"/>
            <w:vAlign w:val="center"/>
          </w:tcPr>
          <w:p w14:paraId="64151F09" w14:textId="77777777" w:rsidR="00F66019" w:rsidRPr="00657BE6" w:rsidRDefault="00F66019" w:rsidP="009345F8">
            <w:pPr>
              <w:pStyle w:val="Table"/>
              <w:rPr>
                <w:sz w:val="18"/>
                <w:szCs w:val="18"/>
              </w:rPr>
            </w:pPr>
            <w:r w:rsidRPr="00657BE6">
              <w:rPr>
                <w:sz w:val="18"/>
                <w:szCs w:val="18"/>
              </w:rPr>
              <w:t>0.004 [0.003]</w:t>
            </w:r>
          </w:p>
        </w:tc>
        <w:tc>
          <w:tcPr>
            <w:tcW w:w="1175" w:type="dxa"/>
            <w:vAlign w:val="center"/>
          </w:tcPr>
          <w:p w14:paraId="19547F07" w14:textId="77777777" w:rsidR="00F66019" w:rsidRPr="00657BE6" w:rsidRDefault="00F66019" w:rsidP="009345F8">
            <w:pPr>
              <w:pStyle w:val="Table"/>
              <w:rPr>
                <w:sz w:val="18"/>
                <w:szCs w:val="18"/>
              </w:rPr>
            </w:pPr>
            <w:r w:rsidRPr="00657BE6">
              <w:rPr>
                <w:sz w:val="18"/>
                <w:szCs w:val="18"/>
              </w:rPr>
              <w:t>0.004 [0.003]</w:t>
            </w:r>
          </w:p>
        </w:tc>
        <w:tc>
          <w:tcPr>
            <w:tcW w:w="1217" w:type="dxa"/>
            <w:vAlign w:val="center"/>
          </w:tcPr>
          <w:p w14:paraId="5999F274" w14:textId="77777777" w:rsidR="00F66019" w:rsidRPr="00657BE6" w:rsidRDefault="00F66019" w:rsidP="009345F8">
            <w:pPr>
              <w:pStyle w:val="Table"/>
              <w:rPr>
                <w:sz w:val="18"/>
                <w:szCs w:val="18"/>
              </w:rPr>
            </w:pPr>
            <w:r w:rsidRPr="00657BE6">
              <w:rPr>
                <w:sz w:val="18"/>
                <w:szCs w:val="18"/>
              </w:rPr>
              <w:t>0.003 [0.003]</w:t>
            </w:r>
          </w:p>
        </w:tc>
        <w:tc>
          <w:tcPr>
            <w:tcW w:w="1217" w:type="dxa"/>
            <w:vAlign w:val="center"/>
          </w:tcPr>
          <w:p w14:paraId="01F72DDA" w14:textId="77777777" w:rsidR="00F66019" w:rsidRPr="00657BE6" w:rsidRDefault="00F66019" w:rsidP="009345F8">
            <w:pPr>
              <w:pStyle w:val="Table"/>
              <w:rPr>
                <w:sz w:val="18"/>
                <w:szCs w:val="18"/>
              </w:rPr>
            </w:pPr>
            <w:r w:rsidRPr="00657BE6">
              <w:rPr>
                <w:sz w:val="18"/>
                <w:szCs w:val="18"/>
              </w:rPr>
              <w:t>0.0001 [0.006]</w:t>
            </w:r>
          </w:p>
        </w:tc>
      </w:tr>
      <w:tr w:rsidR="00F66019" w:rsidRPr="00657BE6" w14:paraId="36C05FC4" w14:textId="77777777" w:rsidTr="009345F8">
        <w:trPr>
          <w:trHeight w:val="296"/>
        </w:trPr>
        <w:tc>
          <w:tcPr>
            <w:tcW w:w="3503" w:type="dxa"/>
            <w:vAlign w:val="center"/>
          </w:tcPr>
          <w:p w14:paraId="50121C78" w14:textId="77777777" w:rsidR="00F66019" w:rsidRPr="00657BE6" w:rsidRDefault="00F66019" w:rsidP="009345F8">
            <w:pPr>
              <w:pStyle w:val="Table"/>
              <w:rPr>
                <w:sz w:val="18"/>
                <w:szCs w:val="18"/>
              </w:rPr>
            </w:pPr>
            <w:r w:rsidRPr="00657BE6">
              <w:rPr>
                <w:sz w:val="18"/>
                <w:szCs w:val="18"/>
              </w:rPr>
              <w:t>Distance to nearest bus corridor (Km)</w:t>
            </w:r>
          </w:p>
        </w:tc>
        <w:tc>
          <w:tcPr>
            <w:tcW w:w="1095" w:type="dxa"/>
            <w:vAlign w:val="center"/>
          </w:tcPr>
          <w:p w14:paraId="61DB0DCA" w14:textId="77777777" w:rsidR="00F66019" w:rsidRPr="00657BE6" w:rsidRDefault="00F66019" w:rsidP="009345F8">
            <w:pPr>
              <w:pStyle w:val="Table"/>
              <w:rPr>
                <w:sz w:val="18"/>
                <w:szCs w:val="18"/>
              </w:rPr>
            </w:pPr>
          </w:p>
        </w:tc>
        <w:tc>
          <w:tcPr>
            <w:tcW w:w="1149" w:type="dxa"/>
            <w:vAlign w:val="center"/>
          </w:tcPr>
          <w:p w14:paraId="2BACEDA7" w14:textId="77777777" w:rsidR="00F66019" w:rsidRPr="00657BE6" w:rsidRDefault="00F66019" w:rsidP="009345F8">
            <w:pPr>
              <w:pStyle w:val="Table"/>
              <w:rPr>
                <w:sz w:val="18"/>
                <w:szCs w:val="18"/>
              </w:rPr>
            </w:pPr>
          </w:p>
        </w:tc>
        <w:tc>
          <w:tcPr>
            <w:tcW w:w="1175" w:type="dxa"/>
            <w:vAlign w:val="center"/>
          </w:tcPr>
          <w:p w14:paraId="2425EF65" w14:textId="77777777" w:rsidR="00F66019" w:rsidRPr="00657BE6" w:rsidRDefault="00F66019" w:rsidP="009345F8">
            <w:pPr>
              <w:pStyle w:val="Table"/>
              <w:rPr>
                <w:sz w:val="18"/>
                <w:szCs w:val="18"/>
              </w:rPr>
            </w:pPr>
            <w:r w:rsidRPr="00657BE6">
              <w:rPr>
                <w:sz w:val="18"/>
                <w:szCs w:val="18"/>
              </w:rPr>
              <w:t>0.0001 [0.001]</w:t>
            </w:r>
          </w:p>
        </w:tc>
        <w:tc>
          <w:tcPr>
            <w:tcW w:w="1217" w:type="dxa"/>
            <w:vAlign w:val="center"/>
          </w:tcPr>
          <w:p w14:paraId="5E5DB35B" w14:textId="77777777" w:rsidR="00F66019" w:rsidRPr="00657BE6" w:rsidRDefault="00F66019" w:rsidP="009345F8">
            <w:pPr>
              <w:pStyle w:val="Table"/>
              <w:rPr>
                <w:sz w:val="18"/>
                <w:szCs w:val="18"/>
              </w:rPr>
            </w:pPr>
            <w:r w:rsidRPr="00657BE6">
              <w:rPr>
                <w:sz w:val="18"/>
                <w:szCs w:val="18"/>
              </w:rPr>
              <w:t>-0.001 [0.001]</w:t>
            </w:r>
          </w:p>
        </w:tc>
        <w:tc>
          <w:tcPr>
            <w:tcW w:w="1217" w:type="dxa"/>
            <w:vAlign w:val="center"/>
          </w:tcPr>
          <w:p w14:paraId="4BB696B4" w14:textId="77777777" w:rsidR="00F66019" w:rsidRPr="00657BE6" w:rsidRDefault="00F66019" w:rsidP="009345F8">
            <w:pPr>
              <w:pStyle w:val="Table"/>
              <w:rPr>
                <w:sz w:val="18"/>
                <w:szCs w:val="18"/>
              </w:rPr>
            </w:pPr>
            <w:r w:rsidRPr="00657BE6">
              <w:rPr>
                <w:sz w:val="18"/>
                <w:szCs w:val="18"/>
              </w:rPr>
              <w:t>-0.001 [0.002]</w:t>
            </w:r>
          </w:p>
        </w:tc>
      </w:tr>
      <w:tr w:rsidR="00F66019" w:rsidRPr="00657BE6" w14:paraId="23291754" w14:textId="77777777" w:rsidTr="009345F8">
        <w:trPr>
          <w:trHeight w:val="296"/>
        </w:trPr>
        <w:tc>
          <w:tcPr>
            <w:tcW w:w="3503" w:type="dxa"/>
            <w:vAlign w:val="center"/>
          </w:tcPr>
          <w:p w14:paraId="0D26BD05" w14:textId="77777777" w:rsidR="00F66019" w:rsidRPr="00657BE6" w:rsidRDefault="00F66019" w:rsidP="009345F8">
            <w:pPr>
              <w:pStyle w:val="Table"/>
              <w:rPr>
                <w:sz w:val="18"/>
                <w:szCs w:val="18"/>
              </w:rPr>
            </w:pPr>
            <w:r w:rsidRPr="00657BE6">
              <w:rPr>
                <w:sz w:val="18"/>
                <w:szCs w:val="18"/>
              </w:rPr>
              <w:t>The proportion of Transport Voucher users</w:t>
            </w:r>
          </w:p>
        </w:tc>
        <w:tc>
          <w:tcPr>
            <w:tcW w:w="1095" w:type="dxa"/>
            <w:vAlign w:val="center"/>
          </w:tcPr>
          <w:p w14:paraId="222E21FD" w14:textId="77777777" w:rsidR="00F66019" w:rsidRPr="00657BE6" w:rsidRDefault="00F66019" w:rsidP="009345F8">
            <w:pPr>
              <w:pStyle w:val="Table"/>
              <w:rPr>
                <w:sz w:val="18"/>
                <w:szCs w:val="18"/>
              </w:rPr>
            </w:pPr>
          </w:p>
        </w:tc>
        <w:tc>
          <w:tcPr>
            <w:tcW w:w="1149" w:type="dxa"/>
            <w:vAlign w:val="center"/>
          </w:tcPr>
          <w:p w14:paraId="5EDAB116" w14:textId="77777777" w:rsidR="00F66019" w:rsidRPr="00657BE6" w:rsidRDefault="00F66019" w:rsidP="009345F8">
            <w:pPr>
              <w:pStyle w:val="Table"/>
              <w:rPr>
                <w:sz w:val="18"/>
                <w:szCs w:val="18"/>
              </w:rPr>
            </w:pPr>
            <w:r w:rsidRPr="00657BE6">
              <w:rPr>
                <w:sz w:val="18"/>
                <w:szCs w:val="18"/>
              </w:rPr>
              <w:t>0.023 [0.041]</w:t>
            </w:r>
          </w:p>
        </w:tc>
        <w:tc>
          <w:tcPr>
            <w:tcW w:w="1175" w:type="dxa"/>
            <w:vAlign w:val="center"/>
          </w:tcPr>
          <w:p w14:paraId="06C89274" w14:textId="77777777" w:rsidR="00F66019" w:rsidRPr="00657BE6" w:rsidRDefault="00F66019" w:rsidP="009345F8">
            <w:pPr>
              <w:pStyle w:val="Table"/>
              <w:rPr>
                <w:sz w:val="18"/>
                <w:szCs w:val="18"/>
              </w:rPr>
            </w:pPr>
            <w:r w:rsidRPr="00657BE6">
              <w:rPr>
                <w:sz w:val="18"/>
                <w:szCs w:val="18"/>
              </w:rPr>
              <w:t>0.033 [0.042]</w:t>
            </w:r>
          </w:p>
        </w:tc>
        <w:tc>
          <w:tcPr>
            <w:tcW w:w="1217" w:type="dxa"/>
            <w:vAlign w:val="center"/>
          </w:tcPr>
          <w:p w14:paraId="57A73079" w14:textId="77777777" w:rsidR="00F66019" w:rsidRPr="00657BE6" w:rsidRDefault="00F66019" w:rsidP="009345F8">
            <w:pPr>
              <w:pStyle w:val="Table"/>
              <w:rPr>
                <w:sz w:val="18"/>
                <w:szCs w:val="18"/>
              </w:rPr>
            </w:pPr>
            <w:r w:rsidRPr="00657BE6">
              <w:rPr>
                <w:sz w:val="18"/>
                <w:szCs w:val="18"/>
              </w:rPr>
              <w:t>0.029 [0.042]</w:t>
            </w:r>
          </w:p>
        </w:tc>
        <w:tc>
          <w:tcPr>
            <w:tcW w:w="1217" w:type="dxa"/>
            <w:vAlign w:val="center"/>
          </w:tcPr>
          <w:p w14:paraId="43FB84F9" w14:textId="77777777" w:rsidR="00F66019" w:rsidRPr="00657BE6" w:rsidRDefault="00F66019" w:rsidP="009345F8">
            <w:pPr>
              <w:pStyle w:val="Table"/>
              <w:rPr>
                <w:sz w:val="18"/>
                <w:szCs w:val="18"/>
              </w:rPr>
            </w:pPr>
            <w:r w:rsidRPr="00657BE6">
              <w:rPr>
                <w:sz w:val="18"/>
                <w:szCs w:val="18"/>
              </w:rPr>
              <w:t>-0.023 [0.065]</w:t>
            </w:r>
          </w:p>
        </w:tc>
      </w:tr>
      <w:tr w:rsidR="00F66019" w:rsidRPr="00657BE6" w14:paraId="56841F92" w14:textId="77777777" w:rsidTr="009345F8">
        <w:trPr>
          <w:trHeight w:val="296"/>
        </w:trPr>
        <w:tc>
          <w:tcPr>
            <w:tcW w:w="3503" w:type="dxa"/>
            <w:vAlign w:val="center"/>
          </w:tcPr>
          <w:p w14:paraId="7A70C74E" w14:textId="77777777" w:rsidR="00F66019" w:rsidRPr="00657BE6" w:rsidRDefault="00F66019" w:rsidP="009345F8">
            <w:pPr>
              <w:pStyle w:val="Table"/>
              <w:rPr>
                <w:sz w:val="18"/>
                <w:szCs w:val="18"/>
              </w:rPr>
            </w:pPr>
            <w:r w:rsidRPr="00657BE6">
              <w:rPr>
                <w:sz w:val="18"/>
                <w:szCs w:val="18"/>
              </w:rPr>
              <w:t>Proportion of Students</w:t>
            </w:r>
          </w:p>
        </w:tc>
        <w:tc>
          <w:tcPr>
            <w:tcW w:w="1095" w:type="dxa"/>
            <w:vAlign w:val="center"/>
          </w:tcPr>
          <w:p w14:paraId="539AFAB7" w14:textId="77777777" w:rsidR="00F66019" w:rsidRPr="00657BE6" w:rsidRDefault="00F66019" w:rsidP="009345F8">
            <w:pPr>
              <w:pStyle w:val="Table"/>
              <w:rPr>
                <w:sz w:val="18"/>
                <w:szCs w:val="18"/>
              </w:rPr>
            </w:pPr>
          </w:p>
        </w:tc>
        <w:tc>
          <w:tcPr>
            <w:tcW w:w="1149" w:type="dxa"/>
            <w:vAlign w:val="center"/>
          </w:tcPr>
          <w:p w14:paraId="7B911039" w14:textId="77777777" w:rsidR="00F66019" w:rsidRPr="00657BE6" w:rsidRDefault="00F66019" w:rsidP="009345F8">
            <w:pPr>
              <w:pStyle w:val="Table"/>
              <w:rPr>
                <w:sz w:val="18"/>
                <w:szCs w:val="18"/>
              </w:rPr>
            </w:pPr>
          </w:p>
        </w:tc>
        <w:tc>
          <w:tcPr>
            <w:tcW w:w="1175" w:type="dxa"/>
            <w:vAlign w:val="center"/>
          </w:tcPr>
          <w:p w14:paraId="0728616F" w14:textId="77777777" w:rsidR="00F66019" w:rsidRPr="00657BE6" w:rsidRDefault="00F66019" w:rsidP="009345F8">
            <w:pPr>
              <w:pStyle w:val="Table"/>
              <w:rPr>
                <w:sz w:val="18"/>
                <w:szCs w:val="18"/>
              </w:rPr>
            </w:pPr>
            <w:r w:rsidRPr="00657BE6">
              <w:rPr>
                <w:sz w:val="18"/>
                <w:szCs w:val="18"/>
              </w:rPr>
              <w:t>0.080 [0.041]</w:t>
            </w:r>
          </w:p>
        </w:tc>
        <w:tc>
          <w:tcPr>
            <w:tcW w:w="1217" w:type="dxa"/>
            <w:vAlign w:val="center"/>
          </w:tcPr>
          <w:p w14:paraId="332E8337" w14:textId="77777777" w:rsidR="00F66019" w:rsidRPr="00657BE6" w:rsidRDefault="00F66019" w:rsidP="009345F8">
            <w:pPr>
              <w:pStyle w:val="Table"/>
              <w:rPr>
                <w:sz w:val="18"/>
                <w:szCs w:val="18"/>
              </w:rPr>
            </w:pPr>
            <w:r w:rsidRPr="00657BE6">
              <w:rPr>
                <w:sz w:val="18"/>
                <w:szCs w:val="18"/>
              </w:rPr>
              <w:t>0.080 [0.062]</w:t>
            </w:r>
          </w:p>
        </w:tc>
        <w:tc>
          <w:tcPr>
            <w:tcW w:w="1217" w:type="dxa"/>
            <w:vAlign w:val="center"/>
          </w:tcPr>
          <w:p w14:paraId="1A6CAF0C" w14:textId="77777777" w:rsidR="00F66019" w:rsidRPr="00657BE6" w:rsidRDefault="00F66019" w:rsidP="009345F8">
            <w:pPr>
              <w:pStyle w:val="Table"/>
              <w:rPr>
                <w:sz w:val="18"/>
                <w:szCs w:val="18"/>
              </w:rPr>
            </w:pPr>
            <w:r w:rsidRPr="00657BE6">
              <w:rPr>
                <w:sz w:val="18"/>
                <w:szCs w:val="18"/>
              </w:rPr>
              <w:t>0.090 [0.063]</w:t>
            </w:r>
          </w:p>
        </w:tc>
      </w:tr>
      <w:tr w:rsidR="00F66019" w:rsidRPr="00657BE6" w14:paraId="2C4501C8" w14:textId="77777777" w:rsidTr="009345F8">
        <w:trPr>
          <w:trHeight w:val="333"/>
        </w:trPr>
        <w:tc>
          <w:tcPr>
            <w:tcW w:w="3503" w:type="dxa"/>
            <w:tcBorders>
              <w:bottom w:val="single" w:sz="4" w:space="0" w:color="000000"/>
            </w:tcBorders>
            <w:vAlign w:val="center"/>
          </w:tcPr>
          <w:p w14:paraId="25BC176E" w14:textId="77777777" w:rsidR="00F66019" w:rsidRPr="00657BE6" w:rsidRDefault="00F66019" w:rsidP="009345F8">
            <w:pPr>
              <w:pStyle w:val="Table"/>
              <w:rPr>
                <w:sz w:val="18"/>
                <w:szCs w:val="18"/>
              </w:rPr>
            </w:pPr>
            <w:r w:rsidRPr="00657BE6">
              <w:rPr>
                <w:sz w:val="18"/>
                <w:szCs w:val="18"/>
              </w:rPr>
              <w:t>Presence of CEU unit (1 km radius, dummy)</w:t>
            </w:r>
          </w:p>
        </w:tc>
        <w:tc>
          <w:tcPr>
            <w:tcW w:w="1095" w:type="dxa"/>
            <w:tcBorders>
              <w:bottom w:val="single" w:sz="4" w:space="0" w:color="000000"/>
            </w:tcBorders>
            <w:vAlign w:val="center"/>
          </w:tcPr>
          <w:p w14:paraId="3BDBA650" w14:textId="77777777" w:rsidR="00F66019" w:rsidRPr="00657BE6" w:rsidRDefault="00F66019" w:rsidP="009345F8">
            <w:pPr>
              <w:pStyle w:val="Table"/>
              <w:rPr>
                <w:sz w:val="18"/>
                <w:szCs w:val="18"/>
              </w:rPr>
            </w:pPr>
          </w:p>
        </w:tc>
        <w:tc>
          <w:tcPr>
            <w:tcW w:w="1149" w:type="dxa"/>
            <w:tcBorders>
              <w:bottom w:val="single" w:sz="4" w:space="0" w:color="000000"/>
            </w:tcBorders>
            <w:vAlign w:val="center"/>
          </w:tcPr>
          <w:p w14:paraId="74880C3F" w14:textId="77777777" w:rsidR="00F66019" w:rsidRPr="00657BE6" w:rsidRDefault="00F66019" w:rsidP="009345F8">
            <w:pPr>
              <w:pStyle w:val="Table"/>
              <w:rPr>
                <w:sz w:val="18"/>
                <w:szCs w:val="18"/>
              </w:rPr>
            </w:pPr>
          </w:p>
        </w:tc>
        <w:tc>
          <w:tcPr>
            <w:tcW w:w="1175" w:type="dxa"/>
            <w:tcBorders>
              <w:bottom w:val="single" w:sz="4" w:space="0" w:color="000000"/>
            </w:tcBorders>
            <w:vAlign w:val="center"/>
          </w:tcPr>
          <w:p w14:paraId="224ACE24" w14:textId="77777777" w:rsidR="00F66019" w:rsidRPr="00657BE6" w:rsidRDefault="00F66019" w:rsidP="009345F8">
            <w:pPr>
              <w:pStyle w:val="Table"/>
              <w:rPr>
                <w:sz w:val="18"/>
                <w:szCs w:val="18"/>
              </w:rPr>
            </w:pPr>
            <w:r w:rsidRPr="00657BE6">
              <w:rPr>
                <w:sz w:val="18"/>
                <w:szCs w:val="18"/>
              </w:rPr>
              <w:t>0.053 [0.019]</w:t>
            </w:r>
          </w:p>
        </w:tc>
        <w:tc>
          <w:tcPr>
            <w:tcW w:w="1217" w:type="dxa"/>
            <w:tcBorders>
              <w:bottom w:val="single" w:sz="4" w:space="0" w:color="000000"/>
            </w:tcBorders>
            <w:vAlign w:val="center"/>
          </w:tcPr>
          <w:p w14:paraId="2AD2FB4B" w14:textId="77777777" w:rsidR="00F66019" w:rsidRPr="00657BE6" w:rsidRDefault="00F66019" w:rsidP="009345F8">
            <w:pPr>
              <w:pStyle w:val="Table"/>
              <w:rPr>
                <w:sz w:val="18"/>
                <w:szCs w:val="18"/>
              </w:rPr>
            </w:pPr>
            <w:r w:rsidRPr="00657BE6">
              <w:rPr>
                <w:sz w:val="18"/>
                <w:szCs w:val="18"/>
              </w:rPr>
              <w:t>0.025 [0.032]</w:t>
            </w:r>
          </w:p>
        </w:tc>
        <w:tc>
          <w:tcPr>
            <w:tcW w:w="1217" w:type="dxa"/>
            <w:tcBorders>
              <w:bottom w:val="single" w:sz="4" w:space="0" w:color="000000"/>
            </w:tcBorders>
            <w:vAlign w:val="center"/>
          </w:tcPr>
          <w:p w14:paraId="7AFF3945" w14:textId="77777777" w:rsidR="00F66019" w:rsidRPr="00657BE6" w:rsidRDefault="00F66019" w:rsidP="009345F8">
            <w:pPr>
              <w:pStyle w:val="Table"/>
              <w:rPr>
                <w:sz w:val="18"/>
                <w:szCs w:val="18"/>
              </w:rPr>
            </w:pPr>
            <w:r w:rsidRPr="00657BE6">
              <w:rPr>
                <w:sz w:val="18"/>
                <w:szCs w:val="18"/>
              </w:rPr>
              <w:t>0.028 [0.032]</w:t>
            </w:r>
          </w:p>
        </w:tc>
      </w:tr>
      <w:tr w:rsidR="00F66019" w:rsidRPr="00657BE6" w14:paraId="75A757B9" w14:textId="77777777" w:rsidTr="009345F8">
        <w:trPr>
          <w:trHeight w:val="369"/>
        </w:trPr>
        <w:tc>
          <w:tcPr>
            <w:tcW w:w="3503" w:type="dxa"/>
            <w:tcBorders>
              <w:top w:val="single" w:sz="4" w:space="0" w:color="000000"/>
              <w:bottom w:val="single" w:sz="4" w:space="0" w:color="000000"/>
            </w:tcBorders>
            <w:vAlign w:val="center"/>
          </w:tcPr>
          <w:p w14:paraId="6E6216EB" w14:textId="77777777" w:rsidR="00F66019" w:rsidRPr="00657BE6" w:rsidRDefault="00F66019" w:rsidP="009345F8">
            <w:pPr>
              <w:pStyle w:val="Table"/>
              <w:rPr>
                <w:sz w:val="18"/>
                <w:szCs w:val="18"/>
              </w:rPr>
            </w:pPr>
            <w:r w:rsidRPr="00657BE6">
              <w:rPr>
                <w:sz w:val="18"/>
                <w:szCs w:val="18"/>
              </w:rPr>
              <w:t>Interaction terms:</w:t>
            </w:r>
          </w:p>
        </w:tc>
        <w:tc>
          <w:tcPr>
            <w:tcW w:w="1095" w:type="dxa"/>
            <w:tcBorders>
              <w:top w:val="single" w:sz="4" w:space="0" w:color="000000"/>
              <w:bottom w:val="single" w:sz="4" w:space="0" w:color="000000"/>
            </w:tcBorders>
            <w:vAlign w:val="center"/>
          </w:tcPr>
          <w:p w14:paraId="4416173A" w14:textId="77777777" w:rsidR="00F66019" w:rsidRPr="00657BE6" w:rsidRDefault="00F66019" w:rsidP="009345F8">
            <w:pPr>
              <w:pStyle w:val="Table"/>
              <w:rPr>
                <w:sz w:val="18"/>
                <w:szCs w:val="18"/>
              </w:rPr>
            </w:pPr>
          </w:p>
        </w:tc>
        <w:tc>
          <w:tcPr>
            <w:tcW w:w="1149" w:type="dxa"/>
            <w:tcBorders>
              <w:top w:val="single" w:sz="4" w:space="0" w:color="000000"/>
              <w:bottom w:val="single" w:sz="4" w:space="0" w:color="000000"/>
            </w:tcBorders>
            <w:vAlign w:val="center"/>
          </w:tcPr>
          <w:p w14:paraId="1E85EE9A" w14:textId="77777777" w:rsidR="00F66019" w:rsidRPr="00657BE6" w:rsidRDefault="00F66019" w:rsidP="009345F8">
            <w:pPr>
              <w:pStyle w:val="Table"/>
              <w:rPr>
                <w:sz w:val="18"/>
                <w:szCs w:val="18"/>
              </w:rPr>
            </w:pPr>
          </w:p>
        </w:tc>
        <w:tc>
          <w:tcPr>
            <w:tcW w:w="1175" w:type="dxa"/>
            <w:tcBorders>
              <w:top w:val="single" w:sz="4" w:space="0" w:color="000000"/>
              <w:bottom w:val="single" w:sz="4" w:space="0" w:color="000000"/>
            </w:tcBorders>
            <w:vAlign w:val="center"/>
          </w:tcPr>
          <w:p w14:paraId="131F5E51" w14:textId="77777777" w:rsidR="00F66019" w:rsidRPr="00657BE6" w:rsidRDefault="00F66019" w:rsidP="009345F8">
            <w:pPr>
              <w:pStyle w:val="Table"/>
              <w:rPr>
                <w:sz w:val="18"/>
                <w:szCs w:val="18"/>
              </w:rPr>
            </w:pPr>
          </w:p>
        </w:tc>
        <w:tc>
          <w:tcPr>
            <w:tcW w:w="1217" w:type="dxa"/>
            <w:tcBorders>
              <w:top w:val="single" w:sz="4" w:space="0" w:color="000000"/>
              <w:bottom w:val="single" w:sz="4" w:space="0" w:color="000000"/>
            </w:tcBorders>
            <w:vAlign w:val="center"/>
          </w:tcPr>
          <w:p w14:paraId="35721122" w14:textId="77777777" w:rsidR="00F66019" w:rsidRPr="00657BE6" w:rsidRDefault="00F66019" w:rsidP="009345F8">
            <w:pPr>
              <w:pStyle w:val="Table"/>
              <w:rPr>
                <w:sz w:val="18"/>
                <w:szCs w:val="18"/>
              </w:rPr>
            </w:pPr>
          </w:p>
        </w:tc>
        <w:tc>
          <w:tcPr>
            <w:tcW w:w="1217" w:type="dxa"/>
            <w:tcBorders>
              <w:top w:val="single" w:sz="4" w:space="0" w:color="000000"/>
              <w:bottom w:val="single" w:sz="4" w:space="0" w:color="000000"/>
            </w:tcBorders>
            <w:vAlign w:val="center"/>
          </w:tcPr>
          <w:p w14:paraId="740818AB" w14:textId="77777777" w:rsidR="00F66019" w:rsidRPr="00657BE6" w:rsidRDefault="00F66019" w:rsidP="009345F8">
            <w:pPr>
              <w:pStyle w:val="Table"/>
              <w:rPr>
                <w:sz w:val="18"/>
                <w:szCs w:val="18"/>
              </w:rPr>
            </w:pPr>
          </w:p>
        </w:tc>
      </w:tr>
      <w:tr w:rsidR="00F66019" w:rsidRPr="00657BE6" w14:paraId="0469A4E5" w14:textId="77777777" w:rsidTr="009345F8">
        <w:trPr>
          <w:trHeight w:val="332"/>
        </w:trPr>
        <w:tc>
          <w:tcPr>
            <w:tcW w:w="3503" w:type="dxa"/>
            <w:tcBorders>
              <w:top w:val="single" w:sz="4" w:space="0" w:color="000000"/>
            </w:tcBorders>
            <w:vAlign w:val="center"/>
          </w:tcPr>
          <w:p w14:paraId="2FDD3AEF" w14:textId="77777777" w:rsidR="00F66019" w:rsidRPr="00657BE6" w:rsidRDefault="00F66019" w:rsidP="009345F8">
            <w:pPr>
              <w:pStyle w:val="Table"/>
              <w:rPr>
                <w:sz w:val="18"/>
                <w:szCs w:val="18"/>
              </w:rPr>
            </w:pPr>
            <w:r w:rsidRPr="00657BE6">
              <w:rPr>
                <w:sz w:val="18"/>
                <w:szCs w:val="18"/>
              </w:rPr>
              <w:t>Smart card x Income</w:t>
            </w:r>
          </w:p>
        </w:tc>
        <w:tc>
          <w:tcPr>
            <w:tcW w:w="1095" w:type="dxa"/>
            <w:tcBorders>
              <w:top w:val="single" w:sz="4" w:space="0" w:color="000000"/>
            </w:tcBorders>
            <w:vAlign w:val="center"/>
          </w:tcPr>
          <w:p w14:paraId="552ABDDC" w14:textId="77777777" w:rsidR="00F66019" w:rsidRPr="00657BE6" w:rsidRDefault="00F66019" w:rsidP="009345F8">
            <w:pPr>
              <w:pStyle w:val="Table"/>
              <w:rPr>
                <w:sz w:val="18"/>
                <w:szCs w:val="18"/>
              </w:rPr>
            </w:pPr>
          </w:p>
        </w:tc>
        <w:tc>
          <w:tcPr>
            <w:tcW w:w="1149" w:type="dxa"/>
            <w:tcBorders>
              <w:top w:val="single" w:sz="4" w:space="0" w:color="000000"/>
            </w:tcBorders>
            <w:vAlign w:val="center"/>
          </w:tcPr>
          <w:p w14:paraId="63C2955C" w14:textId="77777777" w:rsidR="00F66019" w:rsidRPr="00657BE6" w:rsidRDefault="00F66019" w:rsidP="009345F8">
            <w:pPr>
              <w:pStyle w:val="Table"/>
              <w:rPr>
                <w:sz w:val="18"/>
                <w:szCs w:val="18"/>
              </w:rPr>
            </w:pPr>
          </w:p>
        </w:tc>
        <w:tc>
          <w:tcPr>
            <w:tcW w:w="1175" w:type="dxa"/>
            <w:tcBorders>
              <w:top w:val="single" w:sz="4" w:space="0" w:color="000000"/>
            </w:tcBorders>
            <w:vAlign w:val="center"/>
          </w:tcPr>
          <w:p w14:paraId="3AE8CE9A" w14:textId="77777777" w:rsidR="00F66019" w:rsidRPr="00657BE6" w:rsidRDefault="00F66019" w:rsidP="009345F8">
            <w:pPr>
              <w:pStyle w:val="Table"/>
              <w:rPr>
                <w:sz w:val="18"/>
                <w:szCs w:val="18"/>
              </w:rPr>
            </w:pPr>
          </w:p>
        </w:tc>
        <w:tc>
          <w:tcPr>
            <w:tcW w:w="1217" w:type="dxa"/>
            <w:tcBorders>
              <w:top w:val="single" w:sz="4" w:space="0" w:color="000000"/>
            </w:tcBorders>
            <w:vAlign w:val="center"/>
          </w:tcPr>
          <w:p w14:paraId="104ABE2B" w14:textId="77777777" w:rsidR="00F66019" w:rsidRPr="00657BE6" w:rsidRDefault="00F66019" w:rsidP="009345F8">
            <w:pPr>
              <w:pStyle w:val="Table"/>
              <w:rPr>
                <w:sz w:val="18"/>
                <w:szCs w:val="18"/>
              </w:rPr>
            </w:pPr>
            <w:r w:rsidRPr="00657BE6">
              <w:rPr>
                <w:sz w:val="18"/>
                <w:szCs w:val="18"/>
              </w:rPr>
              <w:t>-0.045 [0.179]</w:t>
            </w:r>
          </w:p>
        </w:tc>
        <w:tc>
          <w:tcPr>
            <w:tcW w:w="1217" w:type="dxa"/>
            <w:tcBorders>
              <w:top w:val="single" w:sz="4" w:space="0" w:color="000000"/>
            </w:tcBorders>
            <w:vAlign w:val="center"/>
          </w:tcPr>
          <w:p w14:paraId="1E6E3165" w14:textId="77777777" w:rsidR="00F66019" w:rsidRPr="00657BE6" w:rsidRDefault="00F66019" w:rsidP="009345F8">
            <w:pPr>
              <w:pStyle w:val="Table"/>
              <w:rPr>
                <w:sz w:val="18"/>
                <w:szCs w:val="18"/>
              </w:rPr>
            </w:pPr>
            <w:r w:rsidRPr="00657BE6">
              <w:rPr>
                <w:sz w:val="18"/>
                <w:szCs w:val="18"/>
              </w:rPr>
              <w:t>0.073 [0.217]</w:t>
            </w:r>
          </w:p>
        </w:tc>
      </w:tr>
      <w:tr w:rsidR="00F66019" w:rsidRPr="00657BE6" w14:paraId="06DD5E2B" w14:textId="77777777" w:rsidTr="009345F8">
        <w:trPr>
          <w:trHeight w:val="296"/>
        </w:trPr>
        <w:tc>
          <w:tcPr>
            <w:tcW w:w="3503" w:type="dxa"/>
            <w:vAlign w:val="center"/>
          </w:tcPr>
          <w:p w14:paraId="63E79751" w14:textId="77777777" w:rsidR="00F66019" w:rsidRPr="00657BE6" w:rsidRDefault="00F66019" w:rsidP="009345F8">
            <w:pPr>
              <w:pStyle w:val="Table"/>
              <w:rPr>
                <w:sz w:val="18"/>
                <w:szCs w:val="18"/>
              </w:rPr>
            </w:pPr>
            <w:r w:rsidRPr="00657BE6">
              <w:rPr>
                <w:sz w:val="18"/>
                <w:szCs w:val="18"/>
              </w:rPr>
              <w:t>Smart card x bus corridor</w:t>
            </w:r>
          </w:p>
        </w:tc>
        <w:tc>
          <w:tcPr>
            <w:tcW w:w="1095" w:type="dxa"/>
            <w:vAlign w:val="center"/>
          </w:tcPr>
          <w:p w14:paraId="46A4EC1F" w14:textId="77777777" w:rsidR="00F66019" w:rsidRPr="00657BE6" w:rsidRDefault="00F66019" w:rsidP="009345F8">
            <w:pPr>
              <w:pStyle w:val="Table"/>
              <w:rPr>
                <w:sz w:val="18"/>
                <w:szCs w:val="18"/>
              </w:rPr>
            </w:pPr>
          </w:p>
        </w:tc>
        <w:tc>
          <w:tcPr>
            <w:tcW w:w="1149" w:type="dxa"/>
            <w:vAlign w:val="center"/>
          </w:tcPr>
          <w:p w14:paraId="4003381B" w14:textId="77777777" w:rsidR="00F66019" w:rsidRPr="00657BE6" w:rsidRDefault="00F66019" w:rsidP="009345F8">
            <w:pPr>
              <w:pStyle w:val="Table"/>
              <w:rPr>
                <w:sz w:val="18"/>
                <w:szCs w:val="18"/>
              </w:rPr>
            </w:pPr>
          </w:p>
        </w:tc>
        <w:tc>
          <w:tcPr>
            <w:tcW w:w="1175" w:type="dxa"/>
            <w:vAlign w:val="center"/>
          </w:tcPr>
          <w:p w14:paraId="568C2B4A" w14:textId="77777777" w:rsidR="00F66019" w:rsidRPr="00657BE6" w:rsidRDefault="00F66019" w:rsidP="009345F8">
            <w:pPr>
              <w:pStyle w:val="Table"/>
              <w:rPr>
                <w:sz w:val="18"/>
                <w:szCs w:val="18"/>
              </w:rPr>
            </w:pPr>
          </w:p>
        </w:tc>
        <w:tc>
          <w:tcPr>
            <w:tcW w:w="1217" w:type="dxa"/>
            <w:vAlign w:val="center"/>
          </w:tcPr>
          <w:p w14:paraId="5A659AA9" w14:textId="77777777" w:rsidR="00F66019" w:rsidRPr="00657BE6" w:rsidRDefault="00F66019" w:rsidP="009345F8">
            <w:pPr>
              <w:pStyle w:val="Table"/>
              <w:rPr>
                <w:sz w:val="18"/>
                <w:szCs w:val="18"/>
              </w:rPr>
            </w:pPr>
            <w:r w:rsidRPr="00657BE6">
              <w:rPr>
                <w:sz w:val="18"/>
                <w:szCs w:val="18"/>
              </w:rPr>
              <w:t>0.010 [0.013]</w:t>
            </w:r>
          </w:p>
        </w:tc>
        <w:tc>
          <w:tcPr>
            <w:tcW w:w="1217" w:type="dxa"/>
            <w:vAlign w:val="center"/>
          </w:tcPr>
          <w:p w14:paraId="06EB2B00" w14:textId="77777777" w:rsidR="00F66019" w:rsidRPr="00657BE6" w:rsidRDefault="00F66019" w:rsidP="009345F8">
            <w:pPr>
              <w:pStyle w:val="Table"/>
              <w:rPr>
                <w:sz w:val="18"/>
                <w:szCs w:val="18"/>
              </w:rPr>
            </w:pPr>
            <w:r w:rsidRPr="00657BE6">
              <w:rPr>
                <w:sz w:val="18"/>
                <w:szCs w:val="18"/>
              </w:rPr>
              <w:t>0.013 [0.014]</w:t>
            </w:r>
          </w:p>
        </w:tc>
      </w:tr>
      <w:tr w:rsidR="00F66019" w:rsidRPr="00657BE6" w14:paraId="41B9CEC9" w14:textId="77777777" w:rsidTr="009345F8">
        <w:trPr>
          <w:trHeight w:val="296"/>
        </w:trPr>
        <w:tc>
          <w:tcPr>
            <w:tcW w:w="3503" w:type="dxa"/>
            <w:vAlign w:val="center"/>
          </w:tcPr>
          <w:p w14:paraId="75724FD0" w14:textId="77777777" w:rsidR="00F66019" w:rsidRPr="00657BE6" w:rsidRDefault="00F66019" w:rsidP="009345F8">
            <w:pPr>
              <w:pStyle w:val="Table"/>
              <w:rPr>
                <w:sz w:val="18"/>
                <w:szCs w:val="18"/>
              </w:rPr>
            </w:pPr>
            <w:r w:rsidRPr="00657BE6">
              <w:rPr>
                <w:sz w:val="18"/>
                <w:szCs w:val="18"/>
              </w:rPr>
              <w:t>Smart card x students</w:t>
            </w:r>
          </w:p>
        </w:tc>
        <w:tc>
          <w:tcPr>
            <w:tcW w:w="1095" w:type="dxa"/>
            <w:vAlign w:val="center"/>
          </w:tcPr>
          <w:p w14:paraId="3D6CE79B" w14:textId="77777777" w:rsidR="00F66019" w:rsidRPr="00657BE6" w:rsidRDefault="00F66019" w:rsidP="009345F8">
            <w:pPr>
              <w:pStyle w:val="Table"/>
              <w:rPr>
                <w:sz w:val="18"/>
                <w:szCs w:val="18"/>
              </w:rPr>
            </w:pPr>
          </w:p>
        </w:tc>
        <w:tc>
          <w:tcPr>
            <w:tcW w:w="1149" w:type="dxa"/>
            <w:vAlign w:val="center"/>
          </w:tcPr>
          <w:p w14:paraId="15FE07B1" w14:textId="77777777" w:rsidR="00F66019" w:rsidRPr="00657BE6" w:rsidRDefault="00F66019" w:rsidP="009345F8">
            <w:pPr>
              <w:pStyle w:val="Table"/>
              <w:rPr>
                <w:sz w:val="18"/>
                <w:szCs w:val="18"/>
              </w:rPr>
            </w:pPr>
          </w:p>
        </w:tc>
        <w:tc>
          <w:tcPr>
            <w:tcW w:w="1175" w:type="dxa"/>
            <w:vAlign w:val="center"/>
          </w:tcPr>
          <w:p w14:paraId="4D79D7BC" w14:textId="77777777" w:rsidR="00F66019" w:rsidRPr="00657BE6" w:rsidRDefault="00F66019" w:rsidP="009345F8">
            <w:pPr>
              <w:pStyle w:val="Table"/>
              <w:rPr>
                <w:sz w:val="18"/>
                <w:szCs w:val="18"/>
              </w:rPr>
            </w:pPr>
          </w:p>
        </w:tc>
        <w:tc>
          <w:tcPr>
            <w:tcW w:w="1217" w:type="dxa"/>
            <w:vAlign w:val="center"/>
          </w:tcPr>
          <w:p w14:paraId="5656173F" w14:textId="77777777" w:rsidR="00F66019" w:rsidRPr="00657BE6" w:rsidRDefault="00F66019" w:rsidP="009345F8">
            <w:pPr>
              <w:pStyle w:val="Table"/>
              <w:rPr>
                <w:sz w:val="18"/>
                <w:szCs w:val="18"/>
              </w:rPr>
            </w:pPr>
            <w:r w:rsidRPr="00657BE6">
              <w:rPr>
                <w:sz w:val="18"/>
                <w:szCs w:val="18"/>
              </w:rPr>
              <w:t>0.024 [0.775]</w:t>
            </w:r>
          </w:p>
        </w:tc>
        <w:tc>
          <w:tcPr>
            <w:tcW w:w="1217" w:type="dxa"/>
            <w:vAlign w:val="center"/>
          </w:tcPr>
          <w:p w14:paraId="3FC69E75" w14:textId="77777777" w:rsidR="00F66019" w:rsidRPr="00657BE6" w:rsidRDefault="00F66019" w:rsidP="009345F8">
            <w:pPr>
              <w:pStyle w:val="Table"/>
              <w:rPr>
                <w:sz w:val="18"/>
                <w:szCs w:val="18"/>
              </w:rPr>
            </w:pPr>
            <w:r w:rsidRPr="00657BE6">
              <w:rPr>
                <w:sz w:val="18"/>
                <w:szCs w:val="18"/>
              </w:rPr>
              <w:t>-0.086 [0.762]</w:t>
            </w:r>
          </w:p>
        </w:tc>
      </w:tr>
      <w:tr w:rsidR="00F66019" w:rsidRPr="00657BE6" w14:paraId="0E44DC17" w14:textId="77777777" w:rsidTr="009345F8">
        <w:trPr>
          <w:trHeight w:val="296"/>
        </w:trPr>
        <w:tc>
          <w:tcPr>
            <w:tcW w:w="3503" w:type="dxa"/>
            <w:vAlign w:val="center"/>
          </w:tcPr>
          <w:p w14:paraId="103EDE86" w14:textId="77777777" w:rsidR="00F66019" w:rsidRPr="00657BE6" w:rsidRDefault="00F66019" w:rsidP="009345F8">
            <w:pPr>
              <w:pStyle w:val="Table"/>
              <w:rPr>
                <w:sz w:val="18"/>
                <w:szCs w:val="18"/>
              </w:rPr>
            </w:pPr>
            <w:r w:rsidRPr="00657BE6">
              <w:rPr>
                <w:sz w:val="18"/>
                <w:szCs w:val="18"/>
              </w:rPr>
              <w:t>Smart card x CEU</w:t>
            </w:r>
          </w:p>
        </w:tc>
        <w:tc>
          <w:tcPr>
            <w:tcW w:w="1095" w:type="dxa"/>
            <w:vAlign w:val="center"/>
          </w:tcPr>
          <w:p w14:paraId="56EB6490" w14:textId="77777777" w:rsidR="00F66019" w:rsidRPr="00657BE6" w:rsidRDefault="00F66019" w:rsidP="009345F8">
            <w:pPr>
              <w:pStyle w:val="Table"/>
              <w:rPr>
                <w:sz w:val="18"/>
                <w:szCs w:val="18"/>
              </w:rPr>
            </w:pPr>
          </w:p>
        </w:tc>
        <w:tc>
          <w:tcPr>
            <w:tcW w:w="1149" w:type="dxa"/>
            <w:vAlign w:val="center"/>
          </w:tcPr>
          <w:p w14:paraId="1F7DD6C2" w14:textId="77777777" w:rsidR="00F66019" w:rsidRPr="00657BE6" w:rsidRDefault="00F66019" w:rsidP="009345F8">
            <w:pPr>
              <w:pStyle w:val="Table"/>
              <w:rPr>
                <w:sz w:val="18"/>
                <w:szCs w:val="18"/>
              </w:rPr>
            </w:pPr>
          </w:p>
        </w:tc>
        <w:tc>
          <w:tcPr>
            <w:tcW w:w="1175" w:type="dxa"/>
            <w:vAlign w:val="center"/>
          </w:tcPr>
          <w:p w14:paraId="39A4A047" w14:textId="77777777" w:rsidR="00F66019" w:rsidRPr="00657BE6" w:rsidRDefault="00F66019" w:rsidP="009345F8">
            <w:pPr>
              <w:pStyle w:val="Table"/>
              <w:rPr>
                <w:sz w:val="18"/>
                <w:szCs w:val="18"/>
              </w:rPr>
            </w:pPr>
          </w:p>
        </w:tc>
        <w:tc>
          <w:tcPr>
            <w:tcW w:w="1217" w:type="dxa"/>
            <w:vAlign w:val="center"/>
          </w:tcPr>
          <w:p w14:paraId="7BA5886D" w14:textId="77777777" w:rsidR="00F66019" w:rsidRPr="00657BE6" w:rsidRDefault="00F66019" w:rsidP="009345F8">
            <w:pPr>
              <w:pStyle w:val="Table"/>
              <w:rPr>
                <w:sz w:val="18"/>
                <w:szCs w:val="18"/>
              </w:rPr>
            </w:pPr>
            <w:r w:rsidRPr="00657BE6">
              <w:rPr>
                <w:sz w:val="18"/>
                <w:szCs w:val="18"/>
              </w:rPr>
              <w:t>0.237 [0.253]</w:t>
            </w:r>
          </w:p>
        </w:tc>
        <w:tc>
          <w:tcPr>
            <w:tcW w:w="1217" w:type="dxa"/>
            <w:vAlign w:val="center"/>
          </w:tcPr>
          <w:p w14:paraId="186FA620" w14:textId="77777777" w:rsidR="00F66019" w:rsidRPr="00657BE6" w:rsidRDefault="00F66019" w:rsidP="009345F8">
            <w:pPr>
              <w:pStyle w:val="Table"/>
              <w:rPr>
                <w:sz w:val="18"/>
                <w:szCs w:val="18"/>
              </w:rPr>
            </w:pPr>
            <w:r w:rsidRPr="00657BE6">
              <w:rPr>
                <w:sz w:val="18"/>
                <w:szCs w:val="18"/>
              </w:rPr>
              <w:t>0.215 [0.264]</w:t>
            </w:r>
          </w:p>
        </w:tc>
      </w:tr>
      <w:tr w:rsidR="00F66019" w:rsidRPr="00657BE6" w14:paraId="16DF5BAD" w14:textId="77777777" w:rsidTr="009345F8">
        <w:trPr>
          <w:trHeight w:val="296"/>
        </w:trPr>
        <w:tc>
          <w:tcPr>
            <w:tcW w:w="3503" w:type="dxa"/>
            <w:vAlign w:val="center"/>
          </w:tcPr>
          <w:p w14:paraId="02BC1642" w14:textId="77777777" w:rsidR="00F66019" w:rsidRPr="00657BE6" w:rsidRDefault="00F66019" w:rsidP="009345F8">
            <w:pPr>
              <w:pStyle w:val="Table"/>
              <w:rPr>
                <w:sz w:val="18"/>
                <w:szCs w:val="18"/>
              </w:rPr>
            </w:pPr>
            <w:r w:rsidRPr="00657BE6">
              <w:rPr>
                <w:sz w:val="18"/>
                <w:szCs w:val="18"/>
              </w:rPr>
              <w:t>Smart card x rail station</w:t>
            </w:r>
          </w:p>
        </w:tc>
        <w:tc>
          <w:tcPr>
            <w:tcW w:w="1095" w:type="dxa"/>
            <w:vAlign w:val="center"/>
          </w:tcPr>
          <w:p w14:paraId="04AE826D" w14:textId="77777777" w:rsidR="00F66019" w:rsidRPr="00657BE6" w:rsidRDefault="00F66019" w:rsidP="009345F8">
            <w:pPr>
              <w:pStyle w:val="Table"/>
              <w:rPr>
                <w:sz w:val="18"/>
                <w:szCs w:val="18"/>
              </w:rPr>
            </w:pPr>
          </w:p>
        </w:tc>
        <w:tc>
          <w:tcPr>
            <w:tcW w:w="1149" w:type="dxa"/>
            <w:vAlign w:val="center"/>
          </w:tcPr>
          <w:p w14:paraId="35CE35AA" w14:textId="77777777" w:rsidR="00F66019" w:rsidRPr="00657BE6" w:rsidRDefault="00F66019" w:rsidP="009345F8">
            <w:pPr>
              <w:pStyle w:val="Table"/>
              <w:rPr>
                <w:sz w:val="18"/>
                <w:szCs w:val="18"/>
              </w:rPr>
            </w:pPr>
          </w:p>
        </w:tc>
        <w:tc>
          <w:tcPr>
            <w:tcW w:w="1175" w:type="dxa"/>
            <w:vAlign w:val="center"/>
          </w:tcPr>
          <w:p w14:paraId="42ED8FB8" w14:textId="77777777" w:rsidR="00F66019" w:rsidRPr="00657BE6" w:rsidRDefault="00F66019" w:rsidP="009345F8">
            <w:pPr>
              <w:pStyle w:val="Table"/>
              <w:rPr>
                <w:sz w:val="18"/>
                <w:szCs w:val="18"/>
              </w:rPr>
            </w:pPr>
          </w:p>
        </w:tc>
        <w:tc>
          <w:tcPr>
            <w:tcW w:w="1217" w:type="dxa"/>
            <w:vAlign w:val="center"/>
          </w:tcPr>
          <w:p w14:paraId="2EAF4FA6" w14:textId="77777777" w:rsidR="00F66019" w:rsidRPr="00657BE6" w:rsidRDefault="00F66019" w:rsidP="009345F8">
            <w:pPr>
              <w:pStyle w:val="Table"/>
              <w:rPr>
                <w:sz w:val="18"/>
                <w:szCs w:val="18"/>
              </w:rPr>
            </w:pPr>
          </w:p>
        </w:tc>
        <w:tc>
          <w:tcPr>
            <w:tcW w:w="1217" w:type="dxa"/>
            <w:vAlign w:val="center"/>
          </w:tcPr>
          <w:p w14:paraId="168F69ED" w14:textId="77777777" w:rsidR="00F66019" w:rsidRPr="00657BE6" w:rsidRDefault="00F66019" w:rsidP="009345F8">
            <w:pPr>
              <w:pStyle w:val="Table"/>
              <w:rPr>
                <w:sz w:val="18"/>
                <w:szCs w:val="18"/>
              </w:rPr>
            </w:pPr>
            <w:r w:rsidRPr="00657BE6">
              <w:rPr>
                <w:sz w:val="18"/>
                <w:szCs w:val="18"/>
              </w:rPr>
              <w:t>0.040 [0.057]</w:t>
            </w:r>
          </w:p>
        </w:tc>
      </w:tr>
      <w:tr w:rsidR="00F66019" w:rsidRPr="00657BE6" w14:paraId="779DC733" w14:textId="77777777" w:rsidTr="009345F8">
        <w:trPr>
          <w:trHeight w:val="296"/>
        </w:trPr>
        <w:tc>
          <w:tcPr>
            <w:tcW w:w="3503" w:type="dxa"/>
            <w:vAlign w:val="center"/>
          </w:tcPr>
          <w:p w14:paraId="11CCC6A1" w14:textId="77777777" w:rsidR="00F66019" w:rsidRPr="00657BE6" w:rsidRDefault="00F66019" w:rsidP="009345F8">
            <w:pPr>
              <w:pStyle w:val="Table"/>
              <w:rPr>
                <w:sz w:val="18"/>
                <w:szCs w:val="18"/>
              </w:rPr>
            </w:pPr>
            <w:r w:rsidRPr="00657BE6">
              <w:rPr>
                <w:sz w:val="18"/>
                <w:szCs w:val="18"/>
              </w:rPr>
              <w:t>Smart card x Transport Voucher</w:t>
            </w:r>
          </w:p>
        </w:tc>
        <w:tc>
          <w:tcPr>
            <w:tcW w:w="1095" w:type="dxa"/>
            <w:vAlign w:val="center"/>
          </w:tcPr>
          <w:p w14:paraId="77ECCC9A" w14:textId="77777777" w:rsidR="00F66019" w:rsidRPr="00657BE6" w:rsidRDefault="00F66019" w:rsidP="009345F8">
            <w:pPr>
              <w:pStyle w:val="Table"/>
              <w:rPr>
                <w:sz w:val="18"/>
                <w:szCs w:val="18"/>
              </w:rPr>
            </w:pPr>
          </w:p>
        </w:tc>
        <w:tc>
          <w:tcPr>
            <w:tcW w:w="1149" w:type="dxa"/>
            <w:vAlign w:val="center"/>
          </w:tcPr>
          <w:p w14:paraId="5272200A" w14:textId="77777777" w:rsidR="00F66019" w:rsidRPr="00657BE6" w:rsidRDefault="00F66019" w:rsidP="009345F8">
            <w:pPr>
              <w:pStyle w:val="Table"/>
              <w:rPr>
                <w:sz w:val="18"/>
                <w:szCs w:val="18"/>
              </w:rPr>
            </w:pPr>
          </w:p>
        </w:tc>
        <w:tc>
          <w:tcPr>
            <w:tcW w:w="1175" w:type="dxa"/>
            <w:vAlign w:val="center"/>
          </w:tcPr>
          <w:p w14:paraId="7F43EF47" w14:textId="77777777" w:rsidR="00F66019" w:rsidRPr="00657BE6" w:rsidRDefault="00F66019" w:rsidP="009345F8">
            <w:pPr>
              <w:pStyle w:val="Table"/>
              <w:rPr>
                <w:sz w:val="18"/>
                <w:szCs w:val="18"/>
              </w:rPr>
            </w:pPr>
          </w:p>
        </w:tc>
        <w:tc>
          <w:tcPr>
            <w:tcW w:w="1217" w:type="dxa"/>
            <w:vAlign w:val="center"/>
          </w:tcPr>
          <w:p w14:paraId="6C3F7A37" w14:textId="77777777" w:rsidR="00F66019" w:rsidRPr="00657BE6" w:rsidRDefault="00F66019" w:rsidP="009345F8">
            <w:pPr>
              <w:pStyle w:val="Table"/>
              <w:rPr>
                <w:sz w:val="18"/>
                <w:szCs w:val="18"/>
              </w:rPr>
            </w:pPr>
          </w:p>
        </w:tc>
        <w:tc>
          <w:tcPr>
            <w:tcW w:w="1217" w:type="dxa"/>
            <w:vAlign w:val="center"/>
          </w:tcPr>
          <w:p w14:paraId="5A4080E5" w14:textId="77777777" w:rsidR="00F66019" w:rsidRPr="00657BE6" w:rsidRDefault="00F66019" w:rsidP="009345F8">
            <w:pPr>
              <w:pStyle w:val="Table"/>
              <w:rPr>
                <w:sz w:val="18"/>
                <w:szCs w:val="18"/>
              </w:rPr>
            </w:pPr>
            <w:r w:rsidRPr="00657BE6">
              <w:rPr>
                <w:sz w:val="18"/>
                <w:szCs w:val="18"/>
              </w:rPr>
              <w:t>0.833 [0.871]</w:t>
            </w:r>
          </w:p>
        </w:tc>
      </w:tr>
      <w:tr w:rsidR="00F66019" w:rsidRPr="00657BE6" w14:paraId="741CE546" w14:textId="77777777" w:rsidTr="001F001C">
        <w:trPr>
          <w:trHeight w:val="333"/>
        </w:trPr>
        <w:tc>
          <w:tcPr>
            <w:tcW w:w="3503" w:type="dxa"/>
            <w:tcBorders>
              <w:bottom w:val="single" w:sz="4" w:space="0" w:color="000000"/>
            </w:tcBorders>
            <w:vAlign w:val="center"/>
          </w:tcPr>
          <w:p w14:paraId="7AEFF2F3" w14:textId="77777777" w:rsidR="00F66019" w:rsidRPr="00657BE6" w:rsidRDefault="00F66019" w:rsidP="009345F8">
            <w:pPr>
              <w:pStyle w:val="Table"/>
              <w:rPr>
                <w:sz w:val="18"/>
                <w:szCs w:val="18"/>
              </w:rPr>
            </w:pPr>
            <w:r w:rsidRPr="00657BE6">
              <w:rPr>
                <w:sz w:val="18"/>
                <w:szCs w:val="18"/>
              </w:rPr>
              <w:t>Constant</w:t>
            </w:r>
          </w:p>
        </w:tc>
        <w:tc>
          <w:tcPr>
            <w:tcW w:w="1095" w:type="dxa"/>
            <w:tcBorders>
              <w:bottom w:val="single" w:sz="4" w:space="0" w:color="000000"/>
            </w:tcBorders>
            <w:vAlign w:val="center"/>
          </w:tcPr>
          <w:p w14:paraId="62484531" w14:textId="77777777" w:rsidR="00F66019" w:rsidRPr="00657BE6" w:rsidRDefault="00F66019" w:rsidP="009345F8">
            <w:pPr>
              <w:pStyle w:val="Table"/>
              <w:rPr>
                <w:sz w:val="18"/>
                <w:szCs w:val="18"/>
              </w:rPr>
            </w:pPr>
            <w:r w:rsidRPr="00657BE6">
              <w:rPr>
                <w:sz w:val="18"/>
                <w:szCs w:val="18"/>
              </w:rPr>
              <w:t>-0.311 [0.03]</w:t>
            </w:r>
          </w:p>
        </w:tc>
        <w:tc>
          <w:tcPr>
            <w:tcW w:w="1149" w:type="dxa"/>
            <w:tcBorders>
              <w:bottom w:val="single" w:sz="4" w:space="0" w:color="000000"/>
            </w:tcBorders>
            <w:vAlign w:val="center"/>
          </w:tcPr>
          <w:p w14:paraId="09935ED1" w14:textId="77777777" w:rsidR="00F66019" w:rsidRPr="00657BE6" w:rsidRDefault="00F66019" w:rsidP="009345F8">
            <w:pPr>
              <w:pStyle w:val="Table"/>
              <w:rPr>
                <w:sz w:val="18"/>
                <w:szCs w:val="18"/>
              </w:rPr>
            </w:pPr>
            <w:r w:rsidRPr="00657BE6">
              <w:rPr>
                <w:sz w:val="18"/>
                <w:szCs w:val="18"/>
              </w:rPr>
              <w:t>0.410 [0.109]</w:t>
            </w:r>
          </w:p>
        </w:tc>
        <w:tc>
          <w:tcPr>
            <w:tcW w:w="1175" w:type="dxa"/>
            <w:tcBorders>
              <w:bottom w:val="single" w:sz="4" w:space="0" w:color="000000"/>
            </w:tcBorders>
            <w:vAlign w:val="center"/>
          </w:tcPr>
          <w:p w14:paraId="75A92E9F" w14:textId="77777777" w:rsidR="00F66019" w:rsidRPr="00657BE6" w:rsidRDefault="00F66019" w:rsidP="009345F8">
            <w:pPr>
              <w:pStyle w:val="Table"/>
              <w:rPr>
                <w:sz w:val="18"/>
                <w:szCs w:val="18"/>
              </w:rPr>
            </w:pPr>
            <w:r w:rsidRPr="00657BE6">
              <w:rPr>
                <w:sz w:val="18"/>
                <w:szCs w:val="18"/>
              </w:rPr>
              <w:t>0.400 [0.108]</w:t>
            </w:r>
          </w:p>
        </w:tc>
        <w:tc>
          <w:tcPr>
            <w:tcW w:w="1217" w:type="dxa"/>
            <w:tcBorders>
              <w:bottom w:val="single" w:sz="4" w:space="0" w:color="000000"/>
            </w:tcBorders>
            <w:vAlign w:val="center"/>
          </w:tcPr>
          <w:p w14:paraId="766E7A87" w14:textId="77777777" w:rsidR="00F66019" w:rsidRPr="00657BE6" w:rsidRDefault="00F66019" w:rsidP="009345F8">
            <w:pPr>
              <w:pStyle w:val="Table"/>
              <w:rPr>
                <w:sz w:val="18"/>
                <w:szCs w:val="18"/>
              </w:rPr>
            </w:pPr>
            <w:r w:rsidRPr="00657BE6">
              <w:rPr>
                <w:sz w:val="18"/>
                <w:szCs w:val="18"/>
              </w:rPr>
              <w:t>0.383 [0.135]</w:t>
            </w:r>
          </w:p>
        </w:tc>
        <w:tc>
          <w:tcPr>
            <w:tcW w:w="1217" w:type="dxa"/>
            <w:tcBorders>
              <w:bottom w:val="single" w:sz="4" w:space="0" w:color="000000"/>
            </w:tcBorders>
            <w:vAlign w:val="center"/>
          </w:tcPr>
          <w:p w14:paraId="075F751F" w14:textId="77777777" w:rsidR="00F66019" w:rsidRPr="00657BE6" w:rsidRDefault="00F66019" w:rsidP="009345F8">
            <w:pPr>
              <w:pStyle w:val="Table"/>
              <w:rPr>
                <w:sz w:val="18"/>
                <w:szCs w:val="18"/>
              </w:rPr>
            </w:pPr>
            <w:r w:rsidRPr="00657BE6">
              <w:rPr>
                <w:sz w:val="18"/>
                <w:szCs w:val="18"/>
              </w:rPr>
              <w:t>0.444 [0.155]</w:t>
            </w:r>
          </w:p>
        </w:tc>
      </w:tr>
      <w:tr w:rsidR="001F001C" w:rsidRPr="00657BE6" w14:paraId="471E3ED3" w14:textId="77777777" w:rsidTr="001F001C">
        <w:trPr>
          <w:trHeight w:val="296"/>
        </w:trPr>
        <w:tc>
          <w:tcPr>
            <w:tcW w:w="3503" w:type="dxa"/>
            <w:tcBorders>
              <w:top w:val="single" w:sz="4" w:space="0" w:color="000000"/>
            </w:tcBorders>
            <w:vAlign w:val="center"/>
          </w:tcPr>
          <w:p w14:paraId="327A6243" w14:textId="77777777" w:rsidR="001F001C" w:rsidRPr="00657BE6" w:rsidRDefault="001F001C" w:rsidP="009345F8">
            <w:pPr>
              <w:pStyle w:val="Table"/>
              <w:rPr>
                <w:sz w:val="18"/>
                <w:szCs w:val="18"/>
              </w:rPr>
            </w:pPr>
            <w:r w:rsidRPr="00657BE6">
              <w:rPr>
                <w:sz w:val="18"/>
                <w:szCs w:val="18"/>
              </w:rPr>
              <w:t>Observations</w:t>
            </w:r>
          </w:p>
        </w:tc>
        <w:tc>
          <w:tcPr>
            <w:tcW w:w="1095" w:type="dxa"/>
            <w:tcBorders>
              <w:top w:val="single" w:sz="4" w:space="0" w:color="000000"/>
            </w:tcBorders>
            <w:vAlign w:val="center"/>
          </w:tcPr>
          <w:p w14:paraId="1C188467" w14:textId="77777777" w:rsidR="001F001C" w:rsidRPr="00657BE6" w:rsidRDefault="001F001C" w:rsidP="009345F8">
            <w:pPr>
              <w:pStyle w:val="Table"/>
              <w:rPr>
                <w:sz w:val="18"/>
                <w:szCs w:val="18"/>
              </w:rPr>
            </w:pPr>
            <w:r w:rsidRPr="00657BE6">
              <w:rPr>
                <w:sz w:val="18"/>
                <w:szCs w:val="18"/>
              </w:rPr>
              <w:t>422</w:t>
            </w:r>
          </w:p>
        </w:tc>
        <w:tc>
          <w:tcPr>
            <w:tcW w:w="1149" w:type="dxa"/>
            <w:tcBorders>
              <w:top w:val="single" w:sz="4" w:space="0" w:color="000000"/>
            </w:tcBorders>
            <w:vAlign w:val="center"/>
          </w:tcPr>
          <w:p w14:paraId="739C11A5" w14:textId="77777777" w:rsidR="001F001C" w:rsidRPr="00657BE6" w:rsidRDefault="001F001C" w:rsidP="009345F8">
            <w:pPr>
              <w:pStyle w:val="Table"/>
              <w:rPr>
                <w:sz w:val="18"/>
                <w:szCs w:val="18"/>
              </w:rPr>
            </w:pPr>
            <w:r w:rsidRPr="00657BE6">
              <w:rPr>
                <w:sz w:val="18"/>
                <w:szCs w:val="18"/>
              </w:rPr>
              <w:t>422</w:t>
            </w:r>
          </w:p>
        </w:tc>
        <w:tc>
          <w:tcPr>
            <w:tcW w:w="1175" w:type="dxa"/>
            <w:tcBorders>
              <w:top w:val="single" w:sz="4" w:space="0" w:color="000000"/>
            </w:tcBorders>
            <w:vAlign w:val="center"/>
          </w:tcPr>
          <w:p w14:paraId="455DE9EB" w14:textId="77777777" w:rsidR="001F001C" w:rsidRPr="00657BE6" w:rsidRDefault="001F001C" w:rsidP="009345F8">
            <w:pPr>
              <w:pStyle w:val="Table"/>
              <w:rPr>
                <w:sz w:val="18"/>
                <w:szCs w:val="18"/>
              </w:rPr>
            </w:pPr>
            <w:r w:rsidRPr="00657BE6">
              <w:rPr>
                <w:sz w:val="18"/>
                <w:szCs w:val="18"/>
              </w:rPr>
              <w:t>422</w:t>
            </w:r>
          </w:p>
        </w:tc>
        <w:tc>
          <w:tcPr>
            <w:tcW w:w="1217" w:type="dxa"/>
            <w:tcBorders>
              <w:top w:val="single" w:sz="4" w:space="0" w:color="000000"/>
            </w:tcBorders>
            <w:vAlign w:val="center"/>
          </w:tcPr>
          <w:p w14:paraId="3EE3A354" w14:textId="77777777" w:rsidR="001F001C" w:rsidRPr="00657BE6" w:rsidRDefault="001F001C" w:rsidP="009345F8">
            <w:pPr>
              <w:pStyle w:val="Table"/>
              <w:rPr>
                <w:sz w:val="18"/>
                <w:szCs w:val="18"/>
              </w:rPr>
            </w:pPr>
            <w:r w:rsidRPr="00657BE6">
              <w:rPr>
                <w:sz w:val="18"/>
                <w:szCs w:val="18"/>
              </w:rPr>
              <w:t>422</w:t>
            </w:r>
          </w:p>
        </w:tc>
        <w:tc>
          <w:tcPr>
            <w:tcW w:w="1217" w:type="dxa"/>
            <w:tcBorders>
              <w:top w:val="single" w:sz="4" w:space="0" w:color="000000"/>
            </w:tcBorders>
            <w:vAlign w:val="center"/>
          </w:tcPr>
          <w:p w14:paraId="3DFDA7E1" w14:textId="77777777" w:rsidR="001F001C" w:rsidRPr="00657BE6" w:rsidRDefault="001F001C" w:rsidP="009345F8">
            <w:pPr>
              <w:pStyle w:val="Table"/>
              <w:rPr>
                <w:sz w:val="18"/>
                <w:szCs w:val="18"/>
              </w:rPr>
            </w:pPr>
            <w:r w:rsidRPr="00657BE6">
              <w:rPr>
                <w:sz w:val="18"/>
                <w:szCs w:val="18"/>
              </w:rPr>
              <w:t>422</w:t>
            </w:r>
          </w:p>
        </w:tc>
      </w:tr>
      <w:tr w:rsidR="001F001C" w:rsidRPr="00657BE6" w14:paraId="1B25F290" w14:textId="77777777" w:rsidTr="009345F8">
        <w:trPr>
          <w:trHeight w:val="296"/>
        </w:trPr>
        <w:tc>
          <w:tcPr>
            <w:tcW w:w="3503" w:type="dxa"/>
            <w:vAlign w:val="center"/>
          </w:tcPr>
          <w:p w14:paraId="4F20F50A" w14:textId="77777777" w:rsidR="001F001C" w:rsidRPr="00657BE6" w:rsidRDefault="001F001C" w:rsidP="009345F8">
            <w:pPr>
              <w:pStyle w:val="Table"/>
              <w:rPr>
                <w:sz w:val="18"/>
                <w:szCs w:val="18"/>
              </w:rPr>
            </w:pPr>
            <w:r w:rsidRPr="00657BE6">
              <w:rPr>
                <w:sz w:val="18"/>
                <w:szCs w:val="18"/>
              </w:rPr>
              <w:t>Adjusted R-squared</w:t>
            </w:r>
          </w:p>
        </w:tc>
        <w:tc>
          <w:tcPr>
            <w:tcW w:w="1095" w:type="dxa"/>
            <w:vAlign w:val="center"/>
          </w:tcPr>
          <w:p w14:paraId="3E656BC8" w14:textId="77777777" w:rsidR="001F001C" w:rsidRPr="00657BE6" w:rsidRDefault="001F001C" w:rsidP="009345F8">
            <w:pPr>
              <w:pStyle w:val="Table"/>
              <w:rPr>
                <w:sz w:val="18"/>
                <w:szCs w:val="18"/>
              </w:rPr>
            </w:pPr>
            <w:r w:rsidRPr="00657BE6">
              <w:rPr>
                <w:sz w:val="18"/>
                <w:szCs w:val="18"/>
              </w:rPr>
              <w:t>0.251</w:t>
            </w:r>
          </w:p>
        </w:tc>
        <w:tc>
          <w:tcPr>
            <w:tcW w:w="1149" w:type="dxa"/>
            <w:vAlign w:val="center"/>
          </w:tcPr>
          <w:p w14:paraId="53E4A7C1" w14:textId="77777777" w:rsidR="001F001C" w:rsidRPr="00657BE6" w:rsidRDefault="001F001C" w:rsidP="009345F8">
            <w:pPr>
              <w:pStyle w:val="Table"/>
              <w:rPr>
                <w:sz w:val="18"/>
                <w:szCs w:val="18"/>
              </w:rPr>
            </w:pPr>
            <w:r w:rsidRPr="00657BE6">
              <w:rPr>
                <w:sz w:val="18"/>
                <w:szCs w:val="18"/>
              </w:rPr>
              <w:t>0.386</w:t>
            </w:r>
          </w:p>
        </w:tc>
        <w:tc>
          <w:tcPr>
            <w:tcW w:w="1175" w:type="dxa"/>
            <w:vAlign w:val="center"/>
          </w:tcPr>
          <w:p w14:paraId="060477A0" w14:textId="77777777" w:rsidR="001F001C" w:rsidRPr="00657BE6" w:rsidRDefault="001F001C" w:rsidP="009345F8">
            <w:pPr>
              <w:pStyle w:val="Table"/>
              <w:rPr>
                <w:sz w:val="18"/>
                <w:szCs w:val="18"/>
              </w:rPr>
            </w:pPr>
            <w:r w:rsidRPr="00657BE6">
              <w:rPr>
                <w:sz w:val="18"/>
                <w:szCs w:val="18"/>
              </w:rPr>
              <w:t>0.402</w:t>
            </w:r>
          </w:p>
        </w:tc>
        <w:tc>
          <w:tcPr>
            <w:tcW w:w="1217" w:type="dxa"/>
            <w:vAlign w:val="center"/>
          </w:tcPr>
          <w:p w14:paraId="746DE6CD" w14:textId="77777777" w:rsidR="001F001C" w:rsidRPr="00657BE6" w:rsidRDefault="001F001C" w:rsidP="009345F8">
            <w:pPr>
              <w:pStyle w:val="Table"/>
              <w:rPr>
                <w:sz w:val="18"/>
                <w:szCs w:val="18"/>
              </w:rPr>
            </w:pPr>
            <w:r w:rsidRPr="00657BE6">
              <w:rPr>
                <w:sz w:val="18"/>
                <w:szCs w:val="18"/>
              </w:rPr>
              <w:t>0.401</w:t>
            </w:r>
          </w:p>
        </w:tc>
        <w:tc>
          <w:tcPr>
            <w:tcW w:w="1217" w:type="dxa"/>
            <w:vAlign w:val="center"/>
          </w:tcPr>
          <w:p w14:paraId="373C30B9" w14:textId="77777777" w:rsidR="001F001C" w:rsidRPr="00657BE6" w:rsidRDefault="001F001C" w:rsidP="009345F8">
            <w:pPr>
              <w:pStyle w:val="Table"/>
              <w:rPr>
                <w:sz w:val="18"/>
                <w:szCs w:val="18"/>
              </w:rPr>
            </w:pPr>
            <w:r w:rsidRPr="00657BE6">
              <w:rPr>
                <w:sz w:val="18"/>
                <w:szCs w:val="18"/>
              </w:rPr>
              <w:t>0.401</w:t>
            </w:r>
          </w:p>
        </w:tc>
      </w:tr>
      <w:tr w:rsidR="00F66019" w:rsidRPr="00657BE6" w14:paraId="00B3CCF6" w14:textId="77777777" w:rsidTr="001F001C">
        <w:trPr>
          <w:trHeight w:val="332"/>
        </w:trPr>
        <w:tc>
          <w:tcPr>
            <w:tcW w:w="3503" w:type="dxa"/>
            <w:vAlign w:val="center"/>
          </w:tcPr>
          <w:p w14:paraId="1394A56B" w14:textId="7DA494AA" w:rsidR="00F66019" w:rsidRPr="00657BE6" w:rsidRDefault="00F66019" w:rsidP="009345F8">
            <w:pPr>
              <w:pStyle w:val="Table"/>
              <w:rPr>
                <w:sz w:val="18"/>
                <w:szCs w:val="18"/>
              </w:rPr>
            </w:pPr>
            <w:r w:rsidRPr="00657BE6">
              <w:rPr>
                <w:sz w:val="18"/>
                <w:szCs w:val="18"/>
              </w:rPr>
              <w:t>Interaction terms F-test statistic</w:t>
            </w:r>
            <w:r w:rsidR="001F001C" w:rsidRPr="001F001C">
              <w:rPr>
                <w:sz w:val="18"/>
                <w:szCs w:val="18"/>
                <w:vertAlign w:val="superscript"/>
              </w:rPr>
              <w:t>1</w:t>
            </w:r>
          </w:p>
        </w:tc>
        <w:tc>
          <w:tcPr>
            <w:tcW w:w="1095" w:type="dxa"/>
            <w:vAlign w:val="center"/>
          </w:tcPr>
          <w:p w14:paraId="489ABE6E" w14:textId="77777777" w:rsidR="00F66019" w:rsidRPr="00657BE6" w:rsidRDefault="00F66019" w:rsidP="009345F8">
            <w:pPr>
              <w:pStyle w:val="Table"/>
              <w:rPr>
                <w:sz w:val="18"/>
                <w:szCs w:val="18"/>
              </w:rPr>
            </w:pPr>
          </w:p>
        </w:tc>
        <w:tc>
          <w:tcPr>
            <w:tcW w:w="1149" w:type="dxa"/>
            <w:vAlign w:val="center"/>
          </w:tcPr>
          <w:p w14:paraId="73886384" w14:textId="77777777" w:rsidR="00F66019" w:rsidRPr="00657BE6" w:rsidRDefault="00F66019" w:rsidP="009345F8">
            <w:pPr>
              <w:pStyle w:val="Table"/>
              <w:rPr>
                <w:sz w:val="18"/>
                <w:szCs w:val="18"/>
              </w:rPr>
            </w:pPr>
          </w:p>
        </w:tc>
        <w:tc>
          <w:tcPr>
            <w:tcW w:w="1175" w:type="dxa"/>
            <w:vAlign w:val="center"/>
          </w:tcPr>
          <w:p w14:paraId="525EABD3" w14:textId="77777777" w:rsidR="00F66019" w:rsidRPr="00657BE6" w:rsidRDefault="00F66019" w:rsidP="009345F8">
            <w:pPr>
              <w:pStyle w:val="Table"/>
              <w:rPr>
                <w:sz w:val="18"/>
                <w:szCs w:val="18"/>
              </w:rPr>
            </w:pPr>
          </w:p>
        </w:tc>
        <w:tc>
          <w:tcPr>
            <w:tcW w:w="1217" w:type="dxa"/>
            <w:vAlign w:val="center"/>
          </w:tcPr>
          <w:p w14:paraId="14F294A6" w14:textId="77777777" w:rsidR="00F66019" w:rsidRPr="00657BE6" w:rsidRDefault="00F66019" w:rsidP="009345F8">
            <w:pPr>
              <w:pStyle w:val="Table"/>
              <w:rPr>
                <w:sz w:val="18"/>
                <w:szCs w:val="18"/>
              </w:rPr>
            </w:pPr>
            <w:r w:rsidRPr="00657BE6">
              <w:rPr>
                <w:sz w:val="18"/>
                <w:szCs w:val="18"/>
              </w:rPr>
              <w:t>2.65</w:t>
            </w:r>
          </w:p>
        </w:tc>
        <w:tc>
          <w:tcPr>
            <w:tcW w:w="1217" w:type="dxa"/>
            <w:vAlign w:val="center"/>
          </w:tcPr>
          <w:p w14:paraId="393D535C" w14:textId="77777777" w:rsidR="00F66019" w:rsidRPr="00657BE6" w:rsidRDefault="00F66019" w:rsidP="009345F8">
            <w:pPr>
              <w:pStyle w:val="Table"/>
              <w:rPr>
                <w:sz w:val="18"/>
                <w:szCs w:val="18"/>
              </w:rPr>
            </w:pPr>
            <w:r w:rsidRPr="00657BE6">
              <w:rPr>
                <w:sz w:val="18"/>
                <w:szCs w:val="18"/>
              </w:rPr>
              <w:t>2.12</w:t>
            </w:r>
          </w:p>
        </w:tc>
      </w:tr>
      <w:tr w:rsidR="00F66019" w:rsidRPr="00657BE6" w14:paraId="0699BE2D" w14:textId="77777777" w:rsidTr="009345F8">
        <w:trPr>
          <w:trHeight w:val="296"/>
        </w:trPr>
        <w:tc>
          <w:tcPr>
            <w:tcW w:w="3503" w:type="dxa"/>
            <w:vAlign w:val="center"/>
          </w:tcPr>
          <w:p w14:paraId="0CCAB95C" w14:textId="77777777" w:rsidR="00F66019" w:rsidRPr="00657BE6" w:rsidRDefault="00F66019" w:rsidP="009345F8">
            <w:pPr>
              <w:pStyle w:val="Table"/>
              <w:rPr>
                <w:sz w:val="18"/>
                <w:szCs w:val="18"/>
              </w:rPr>
            </w:pPr>
            <w:r w:rsidRPr="00657BE6">
              <w:rPr>
                <w:sz w:val="18"/>
                <w:szCs w:val="18"/>
              </w:rPr>
              <w:t>degrees of freedom F-test</w:t>
            </w:r>
          </w:p>
        </w:tc>
        <w:tc>
          <w:tcPr>
            <w:tcW w:w="1095" w:type="dxa"/>
            <w:vAlign w:val="center"/>
          </w:tcPr>
          <w:p w14:paraId="5835B68B" w14:textId="77777777" w:rsidR="00F66019" w:rsidRPr="00657BE6" w:rsidRDefault="00F66019" w:rsidP="009345F8">
            <w:pPr>
              <w:pStyle w:val="Table"/>
              <w:rPr>
                <w:sz w:val="18"/>
                <w:szCs w:val="18"/>
              </w:rPr>
            </w:pPr>
          </w:p>
        </w:tc>
        <w:tc>
          <w:tcPr>
            <w:tcW w:w="1149" w:type="dxa"/>
            <w:vAlign w:val="center"/>
          </w:tcPr>
          <w:p w14:paraId="1FA8D9B6" w14:textId="77777777" w:rsidR="00F66019" w:rsidRPr="00657BE6" w:rsidRDefault="00F66019" w:rsidP="009345F8">
            <w:pPr>
              <w:pStyle w:val="Table"/>
              <w:rPr>
                <w:sz w:val="18"/>
                <w:szCs w:val="18"/>
              </w:rPr>
            </w:pPr>
          </w:p>
        </w:tc>
        <w:tc>
          <w:tcPr>
            <w:tcW w:w="1175" w:type="dxa"/>
            <w:vAlign w:val="center"/>
          </w:tcPr>
          <w:p w14:paraId="2BB4E9CB" w14:textId="77777777" w:rsidR="00F66019" w:rsidRPr="00657BE6" w:rsidRDefault="00F66019" w:rsidP="009345F8">
            <w:pPr>
              <w:pStyle w:val="Table"/>
              <w:rPr>
                <w:sz w:val="18"/>
                <w:szCs w:val="18"/>
              </w:rPr>
            </w:pPr>
          </w:p>
        </w:tc>
        <w:tc>
          <w:tcPr>
            <w:tcW w:w="1217" w:type="dxa"/>
            <w:vAlign w:val="center"/>
          </w:tcPr>
          <w:p w14:paraId="5679DFF2" w14:textId="77777777" w:rsidR="00F66019" w:rsidRPr="00657BE6" w:rsidRDefault="00F66019" w:rsidP="009345F8">
            <w:pPr>
              <w:pStyle w:val="Table"/>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5; 409)</w:t>
            </w:r>
          </w:p>
        </w:tc>
        <w:tc>
          <w:tcPr>
            <w:tcW w:w="1217" w:type="dxa"/>
            <w:vAlign w:val="center"/>
          </w:tcPr>
          <w:p w14:paraId="1C912088" w14:textId="77777777" w:rsidR="00F66019" w:rsidRPr="00657BE6" w:rsidRDefault="00F66019" w:rsidP="009345F8">
            <w:pPr>
              <w:pStyle w:val="Table"/>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7; 407)</w:t>
            </w:r>
          </w:p>
        </w:tc>
      </w:tr>
      <w:tr w:rsidR="00F66019" w:rsidRPr="00657BE6" w14:paraId="4416291E" w14:textId="77777777" w:rsidTr="009345F8">
        <w:trPr>
          <w:trHeight w:val="296"/>
        </w:trPr>
        <w:tc>
          <w:tcPr>
            <w:tcW w:w="3503" w:type="dxa"/>
            <w:vAlign w:val="center"/>
          </w:tcPr>
          <w:p w14:paraId="3EB27B82" w14:textId="6E54D770" w:rsidR="00F66019" w:rsidRPr="00657BE6" w:rsidRDefault="00F66019" w:rsidP="009345F8">
            <w:pPr>
              <w:pStyle w:val="Table"/>
              <w:rPr>
                <w:sz w:val="18"/>
                <w:szCs w:val="18"/>
              </w:rPr>
            </w:pPr>
            <w:r w:rsidRPr="00657BE6">
              <w:rPr>
                <w:sz w:val="18"/>
                <w:szCs w:val="18"/>
              </w:rPr>
              <w:t>Full model F-test statistic</w:t>
            </w:r>
            <w:r w:rsidR="001F001C" w:rsidRPr="001F001C">
              <w:rPr>
                <w:sz w:val="18"/>
                <w:szCs w:val="18"/>
                <w:vertAlign w:val="superscript"/>
              </w:rPr>
              <w:t>2</w:t>
            </w:r>
          </w:p>
        </w:tc>
        <w:tc>
          <w:tcPr>
            <w:tcW w:w="1095" w:type="dxa"/>
            <w:vAlign w:val="center"/>
          </w:tcPr>
          <w:p w14:paraId="603903C4" w14:textId="77777777" w:rsidR="00F66019" w:rsidRPr="00657BE6" w:rsidRDefault="00F66019" w:rsidP="009345F8">
            <w:pPr>
              <w:pStyle w:val="Table"/>
              <w:rPr>
                <w:sz w:val="18"/>
                <w:szCs w:val="18"/>
              </w:rPr>
            </w:pPr>
          </w:p>
        </w:tc>
        <w:tc>
          <w:tcPr>
            <w:tcW w:w="1149" w:type="dxa"/>
            <w:vAlign w:val="center"/>
          </w:tcPr>
          <w:p w14:paraId="0652525E" w14:textId="77777777" w:rsidR="00F66019" w:rsidRPr="00657BE6" w:rsidRDefault="00F66019" w:rsidP="009345F8">
            <w:pPr>
              <w:pStyle w:val="Table"/>
              <w:rPr>
                <w:sz w:val="18"/>
                <w:szCs w:val="18"/>
              </w:rPr>
            </w:pPr>
          </w:p>
        </w:tc>
        <w:tc>
          <w:tcPr>
            <w:tcW w:w="1175" w:type="dxa"/>
            <w:vAlign w:val="center"/>
          </w:tcPr>
          <w:p w14:paraId="1F2EA3A9" w14:textId="77777777" w:rsidR="00F66019" w:rsidRPr="00657BE6" w:rsidRDefault="00F66019" w:rsidP="009345F8">
            <w:pPr>
              <w:pStyle w:val="Table"/>
              <w:rPr>
                <w:sz w:val="18"/>
                <w:szCs w:val="18"/>
              </w:rPr>
            </w:pPr>
          </w:p>
        </w:tc>
        <w:tc>
          <w:tcPr>
            <w:tcW w:w="1217" w:type="dxa"/>
            <w:vAlign w:val="center"/>
          </w:tcPr>
          <w:p w14:paraId="5B49571F" w14:textId="77777777" w:rsidR="00F66019" w:rsidRPr="00657BE6" w:rsidRDefault="00F66019" w:rsidP="009345F8">
            <w:pPr>
              <w:pStyle w:val="Table"/>
              <w:rPr>
                <w:sz w:val="18"/>
                <w:szCs w:val="18"/>
              </w:rPr>
            </w:pPr>
            <w:r w:rsidRPr="00657BE6">
              <w:rPr>
                <w:sz w:val="18"/>
                <w:szCs w:val="18"/>
              </w:rPr>
              <w:t>24.46</w:t>
            </w:r>
          </w:p>
        </w:tc>
        <w:tc>
          <w:tcPr>
            <w:tcW w:w="1217" w:type="dxa"/>
            <w:vAlign w:val="center"/>
          </w:tcPr>
          <w:p w14:paraId="27A01A1A" w14:textId="77777777" w:rsidR="00F66019" w:rsidRPr="00657BE6" w:rsidRDefault="00F66019" w:rsidP="009345F8">
            <w:pPr>
              <w:pStyle w:val="Table"/>
              <w:rPr>
                <w:sz w:val="18"/>
                <w:szCs w:val="18"/>
              </w:rPr>
            </w:pPr>
            <w:r w:rsidRPr="00657BE6">
              <w:rPr>
                <w:sz w:val="18"/>
                <w:szCs w:val="18"/>
              </w:rPr>
              <w:t>21.12</w:t>
            </w:r>
          </w:p>
        </w:tc>
      </w:tr>
      <w:tr w:rsidR="00F66019" w:rsidRPr="00657BE6" w14:paraId="2C1D2EB9" w14:textId="77777777" w:rsidTr="009345F8">
        <w:trPr>
          <w:trHeight w:val="333"/>
        </w:trPr>
        <w:tc>
          <w:tcPr>
            <w:tcW w:w="3503" w:type="dxa"/>
            <w:tcBorders>
              <w:bottom w:val="single" w:sz="6" w:space="0" w:color="000000"/>
            </w:tcBorders>
            <w:vAlign w:val="center"/>
          </w:tcPr>
          <w:p w14:paraId="21343D4A" w14:textId="0D9405B7" w:rsidR="00F66019" w:rsidRPr="00657BE6" w:rsidRDefault="00F66019" w:rsidP="009345F8">
            <w:pPr>
              <w:pStyle w:val="Table"/>
              <w:rPr>
                <w:sz w:val="18"/>
                <w:szCs w:val="18"/>
              </w:rPr>
            </w:pPr>
            <w:r w:rsidRPr="00657BE6">
              <w:rPr>
                <w:sz w:val="18"/>
                <w:szCs w:val="18"/>
              </w:rPr>
              <w:t xml:space="preserve">degrees of freedom </w:t>
            </w:r>
            <w:r w:rsidR="006A7FFB">
              <w:rPr>
                <w:sz w:val="18"/>
                <w:szCs w:val="18"/>
              </w:rPr>
              <w:t xml:space="preserve">full model </w:t>
            </w:r>
            <w:r w:rsidRPr="00657BE6">
              <w:rPr>
                <w:sz w:val="18"/>
                <w:szCs w:val="18"/>
              </w:rPr>
              <w:t>F-test</w:t>
            </w:r>
          </w:p>
        </w:tc>
        <w:tc>
          <w:tcPr>
            <w:tcW w:w="1095" w:type="dxa"/>
            <w:tcBorders>
              <w:bottom w:val="single" w:sz="6" w:space="0" w:color="000000"/>
            </w:tcBorders>
            <w:vAlign w:val="center"/>
          </w:tcPr>
          <w:p w14:paraId="6C200E1B" w14:textId="77777777" w:rsidR="00F66019" w:rsidRPr="00657BE6" w:rsidRDefault="00F66019" w:rsidP="009345F8">
            <w:pPr>
              <w:pStyle w:val="Table"/>
              <w:rPr>
                <w:sz w:val="18"/>
                <w:szCs w:val="18"/>
              </w:rPr>
            </w:pPr>
          </w:p>
        </w:tc>
        <w:tc>
          <w:tcPr>
            <w:tcW w:w="1149" w:type="dxa"/>
            <w:tcBorders>
              <w:bottom w:val="single" w:sz="6" w:space="0" w:color="000000"/>
            </w:tcBorders>
            <w:vAlign w:val="center"/>
          </w:tcPr>
          <w:p w14:paraId="24CA13ED" w14:textId="77777777" w:rsidR="00F66019" w:rsidRPr="00657BE6" w:rsidRDefault="00F66019" w:rsidP="009345F8">
            <w:pPr>
              <w:pStyle w:val="Table"/>
              <w:rPr>
                <w:sz w:val="18"/>
                <w:szCs w:val="18"/>
              </w:rPr>
            </w:pPr>
          </w:p>
        </w:tc>
        <w:tc>
          <w:tcPr>
            <w:tcW w:w="1175" w:type="dxa"/>
            <w:tcBorders>
              <w:bottom w:val="single" w:sz="6" w:space="0" w:color="000000"/>
            </w:tcBorders>
            <w:vAlign w:val="center"/>
          </w:tcPr>
          <w:p w14:paraId="776B3726" w14:textId="77777777" w:rsidR="00F66019" w:rsidRPr="00657BE6" w:rsidRDefault="00F66019" w:rsidP="009345F8">
            <w:pPr>
              <w:pStyle w:val="Table"/>
              <w:rPr>
                <w:sz w:val="18"/>
                <w:szCs w:val="18"/>
              </w:rPr>
            </w:pPr>
          </w:p>
        </w:tc>
        <w:tc>
          <w:tcPr>
            <w:tcW w:w="1217" w:type="dxa"/>
            <w:tcBorders>
              <w:bottom w:val="single" w:sz="6" w:space="0" w:color="000000"/>
            </w:tcBorders>
            <w:vAlign w:val="center"/>
          </w:tcPr>
          <w:p w14:paraId="672F94A7" w14:textId="77777777" w:rsidR="00F66019" w:rsidRPr="00657BE6" w:rsidRDefault="00F66019" w:rsidP="009345F8">
            <w:pPr>
              <w:pStyle w:val="Table"/>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12; 409)</w:t>
            </w:r>
          </w:p>
        </w:tc>
        <w:tc>
          <w:tcPr>
            <w:tcW w:w="1217" w:type="dxa"/>
            <w:tcBorders>
              <w:bottom w:val="single" w:sz="6" w:space="0" w:color="000000"/>
            </w:tcBorders>
            <w:vAlign w:val="center"/>
          </w:tcPr>
          <w:p w14:paraId="2766C195" w14:textId="77777777" w:rsidR="00F66019" w:rsidRPr="00657BE6" w:rsidRDefault="00F66019" w:rsidP="009345F8">
            <w:pPr>
              <w:pStyle w:val="Table"/>
              <w:keepNext/>
              <w:rPr>
                <w:sz w:val="18"/>
                <w:szCs w:val="18"/>
              </w:rPr>
            </w:pPr>
            <w:r w:rsidRPr="00657BE6">
              <w:rPr>
                <w:sz w:val="18"/>
                <w:szCs w:val="18"/>
              </w:rPr>
              <w:t>(</w:t>
            </w:r>
            <w:proofErr w:type="spellStart"/>
            <w:r w:rsidRPr="00657BE6">
              <w:rPr>
                <w:sz w:val="18"/>
                <w:szCs w:val="18"/>
              </w:rPr>
              <w:t>df</w:t>
            </w:r>
            <w:proofErr w:type="spellEnd"/>
            <w:r w:rsidRPr="00657BE6">
              <w:rPr>
                <w:sz w:val="18"/>
                <w:szCs w:val="18"/>
              </w:rPr>
              <w:t xml:space="preserve"> = 14; 407)</w:t>
            </w:r>
          </w:p>
        </w:tc>
      </w:tr>
    </w:tbl>
    <w:p w14:paraId="2FB083F2" w14:textId="77777777" w:rsidR="00F66019" w:rsidRPr="001F001C" w:rsidRDefault="00F66019" w:rsidP="00F66019">
      <w:pPr>
        <w:rPr>
          <w:b/>
          <w:bCs/>
          <w:i/>
          <w:iCs/>
          <w:sz w:val="20"/>
          <w:szCs w:val="20"/>
          <w:lang w:val="en-US"/>
        </w:rPr>
      </w:pPr>
      <w:r w:rsidRPr="001F001C">
        <w:rPr>
          <w:b/>
          <w:bCs/>
          <w:i/>
          <w:iCs/>
          <w:sz w:val="20"/>
          <w:szCs w:val="20"/>
          <w:lang w:val="en-US"/>
        </w:rPr>
        <w:t>Robust Standard Errors in Brackets.</w:t>
      </w:r>
    </w:p>
    <w:p w14:paraId="08F1125B" w14:textId="77777777" w:rsidR="001F001C" w:rsidRPr="001F001C" w:rsidRDefault="001F001C" w:rsidP="001F001C">
      <w:pPr>
        <w:rPr>
          <w:b/>
          <w:bCs/>
          <w:i/>
          <w:iCs/>
          <w:sz w:val="20"/>
          <w:szCs w:val="20"/>
        </w:rPr>
      </w:pPr>
      <w:r w:rsidRPr="001F001C">
        <w:rPr>
          <w:b/>
          <w:bCs/>
          <w:i/>
          <w:iCs/>
          <w:sz w:val="20"/>
          <w:szCs w:val="20"/>
        </w:rPr>
        <w:t>¹F-statistic refers to a restricted model that only excludes the interaction terms.</w:t>
      </w:r>
    </w:p>
    <w:p w14:paraId="2359EEC6" w14:textId="77777777" w:rsidR="001F001C" w:rsidRPr="001F001C" w:rsidRDefault="001F001C" w:rsidP="001F001C">
      <w:pPr>
        <w:rPr>
          <w:b/>
          <w:bCs/>
          <w:i/>
          <w:iCs/>
          <w:sz w:val="20"/>
          <w:szCs w:val="20"/>
        </w:rPr>
      </w:pPr>
      <w:r w:rsidRPr="001F001C">
        <w:rPr>
          <w:b/>
          <w:bCs/>
          <w:i/>
          <w:iCs/>
          <w:sz w:val="20"/>
          <w:szCs w:val="20"/>
        </w:rPr>
        <w:t xml:space="preserve">²F-statistic is the conventional F-test.  </w:t>
      </w:r>
    </w:p>
    <w:p w14:paraId="21C297FC" w14:textId="77777777" w:rsidR="00F66019" w:rsidRPr="001F001C" w:rsidRDefault="00F66019" w:rsidP="00F66019">
      <w:pPr>
        <w:rPr>
          <w:b/>
          <w:bCs/>
          <w:i/>
          <w:iCs/>
          <w:sz w:val="20"/>
          <w:szCs w:val="20"/>
          <w:lang/>
        </w:rPr>
      </w:pPr>
      <w:r w:rsidRPr="001F001C">
        <w:rPr>
          <w:b/>
          <w:bCs/>
          <w:i/>
          <w:iCs/>
          <w:sz w:val="20"/>
          <w:szCs w:val="20"/>
          <w:lang/>
        </w:rPr>
        <w:t>Source: Own Estimation based on data from TSE,</w:t>
      </w:r>
      <w:r w:rsidRPr="001F001C">
        <w:rPr>
          <w:b/>
          <w:bCs/>
          <w:i/>
          <w:iCs/>
          <w:sz w:val="20"/>
          <w:szCs w:val="20"/>
        </w:rPr>
        <w:t xml:space="preserve"> </w:t>
      </w:r>
      <w:r w:rsidRPr="001F001C">
        <w:rPr>
          <w:b/>
          <w:bCs/>
          <w:i/>
          <w:iCs/>
          <w:sz w:val="20"/>
          <w:szCs w:val="20"/>
          <w:lang/>
        </w:rPr>
        <w:t>São Paulo Metro (OD Survey, 1997), Centro de Estudos da Metrópole, IBGE (2000 Census) and Geo Sampa.</w:t>
      </w:r>
    </w:p>
    <w:p w14:paraId="414D5372" w14:textId="77777777" w:rsidR="00F66019" w:rsidRPr="001F001C" w:rsidRDefault="00F66019" w:rsidP="00F66019">
      <w:pPr>
        <w:rPr>
          <w:sz w:val="20"/>
          <w:szCs w:val="20"/>
        </w:rPr>
      </w:pPr>
    </w:p>
    <w:sectPr w:rsidR="00F66019" w:rsidRPr="001F001C" w:rsidSect="00B35A07">
      <w:footerReference w:type="even" r:id="rId8"/>
      <w:footerReference w:type="default" r:id="rId9"/>
      <w:pgSz w:w="12240" w:h="15840"/>
      <w:pgMar w:top="1418" w:right="1418" w:bottom="1418" w:left="1418" w:header="0" w:footer="851"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B8FF" w14:textId="77777777" w:rsidR="00B35A07" w:rsidRDefault="00B35A07" w:rsidP="00564DB0">
      <w:r>
        <w:separator/>
      </w:r>
    </w:p>
  </w:endnote>
  <w:endnote w:type="continuationSeparator" w:id="0">
    <w:p w14:paraId="5B0D0C10" w14:textId="77777777" w:rsidR="00B35A07" w:rsidRDefault="00B35A07" w:rsidP="0056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eXGyrePagella">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17902835"/>
      <w:docPartObj>
        <w:docPartGallery w:val="Page Numbers (Bottom of Page)"/>
        <w:docPartUnique/>
      </w:docPartObj>
    </w:sdtPr>
    <w:sdtContent>
      <w:p w14:paraId="3635C9F4" w14:textId="65FC2425" w:rsidR="00564DB0" w:rsidRDefault="00564DB0" w:rsidP="00471F03">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BD49A71" w14:textId="77777777" w:rsidR="00564DB0" w:rsidRDefault="00564DB0" w:rsidP="00564DB0">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81650235"/>
      <w:docPartObj>
        <w:docPartGallery w:val="Page Numbers (Bottom of Page)"/>
        <w:docPartUnique/>
      </w:docPartObj>
    </w:sdtPr>
    <w:sdtContent>
      <w:p w14:paraId="177C34EA" w14:textId="14551BB8" w:rsidR="00564DB0" w:rsidRDefault="00564DB0" w:rsidP="00471F03">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39508B7" w14:textId="77777777" w:rsidR="00564DB0" w:rsidRDefault="00564DB0" w:rsidP="00564DB0">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6924" w14:textId="77777777" w:rsidR="00B35A07" w:rsidRDefault="00B35A07" w:rsidP="00564DB0">
      <w:r>
        <w:separator/>
      </w:r>
    </w:p>
  </w:footnote>
  <w:footnote w:type="continuationSeparator" w:id="0">
    <w:p w14:paraId="24ED82D6" w14:textId="77777777" w:rsidR="00B35A07" w:rsidRDefault="00B35A07" w:rsidP="00564DB0">
      <w:r>
        <w:continuationSeparator/>
      </w:r>
    </w:p>
  </w:footnote>
  <w:footnote w:id="1">
    <w:p w14:paraId="6350AEF3" w14:textId="0CAB1AF9" w:rsidR="001B5B5F" w:rsidRPr="001B5B5F" w:rsidRDefault="001B5B5F">
      <w:pPr>
        <w:pStyle w:val="Textodenotaderodap"/>
        <w:rPr>
          <w:lang w:val="en-US"/>
        </w:rPr>
      </w:pPr>
      <w:r>
        <w:rPr>
          <w:rStyle w:val="Refdenotaderodap"/>
        </w:rPr>
        <w:t>*</w:t>
      </w:r>
      <w:r>
        <w:t xml:space="preserve"> </w:t>
      </w:r>
      <w:r w:rsidRPr="001B5B5F">
        <w:t xml:space="preserve">This </w:t>
      </w:r>
      <w:r w:rsidR="00C97F92">
        <w:rPr>
          <w:lang w:val="en-US"/>
        </w:rPr>
        <w:t xml:space="preserve">article </w:t>
      </w:r>
      <w:r w:rsidR="00EF7D0C">
        <w:rPr>
          <w:lang w:val="en-US"/>
        </w:rPr>
        <w:t xml:space="preserve">subsumed </w:t>
      </w:r>
      <w:r>
        <w:rPr>
          <w:lang w:val="en-US"/>
        </w:rPr>
        <w:t>Bueno (2018) master thesis</w:t>
      </w:r>
      <w:r w:rsidR="00EF7D0C">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B746A"/>
    <w:multiLevelType w:val="multilevel"/>
    <w:tmpl w:val="AA1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9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mirrorMargins/>
  <w:proofState w:spelling="clean" w:grammar="clean"/>
  <w:defaultTabStop w:val="720"/>
  <w:hyphenationZone w:val="425"/>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58"/>
    <w:rsid w:val="0002158F"/>
    <w:rsid w:val="00063BA5"/>
    <w:rsid w:val="000904EB"/>
    <w:rsid w:val="000937FF"/>
    <w:rsid w:val="000F4A77"/>
    <w:rsid w:val="00113932"/>
    <w:rsid w:val="00130A34"/>
    <w:rsid w:val="00134B28"/>
    <w:rsid w:val="00141AD1"/>
    <w:rsid w:val="00152539"/>
    <w:rsid w:val="00153B08"/>
    <w:rsid w:val="00162808"/>
    <w:rsid w:val="00171A66"/>
    <w:rsid w:val="0017752E"/>
    <w:rsid w:val="001814C3"/>
    <w:rsid w:val="00184B3A"/>
    <w:rsid w:val="001B5B5F"/>
    <w:rsid w:val="001C5434"/>
    <w:rsid w:val="001D4A04"/>
    <w:rsid w:val="001E078F"/>
    <w:rsid w:val="001F001C"/>
    <w:rsid w:val="001F41C4"/>
    <w:rsid w:val="002068B1"/>
    <w:rsid w:val="002156F9"/>
    <w:rsid w:val="00220E5C"/>
    <w:rsid w:val="002408E9"/>
    <w:rsid w:val="0026311E"/>
    <w:rsid w:val="0028356E"/>
    <w:rsid w:val="002A0149"/>
    <w:rsid w:val="002A6EA8"/>
    <w:rsid w:val="002C5376"/>
    <w:rsid w:val="002C7DD0"/>
    <w:rsid w:val="002D2834"/>
    <w:rsid w:val="002D6793"/>
    <w:rsid w:val="002F6782"/>
    <w:rsid w:val="00315594"/>
    <w:rsid w:val="0032153F"/>
    <w:rsid w:val="00323AD1"/>
    <w:rsid w:val="00355F8F"/>
    <w:rsid w:val="00363BC4"/>
    <w:rsid w:val="00370B43"/>
    <w:rsid w:val="00376DBB"/>
    <w:rsid w:val="003A550A"/>
    <w:rsid w:val="003A6AEB"/>
    <w:rsid w:val="003C3FFD"/>
    <w:rsid w:val="003D1781"/>
    <w:rsid w:val="003E1D19"/>
    <w:rsid w:val="003E6028"/>
    <w:rsid w:val="0040064C"/>
    <w:rsid w:val="00403A85"/>
    <w:rsid w:val="00430D33"/>
    <w:rsid w:val="00436B70"/>
    <w:rsid w:val="00473092"/>
    <w:rsid w:val="004803C3"/>
    <w:rsid w:val="004C0143"/>
    <w:rsid w:val="004D6DD9"/>
    <w:rsid w:val="004E5745"/>
    <w:rsid w:val="00507E03"/>
    <w:rsid w:val="00511E30"/>
    <w:rsid w:val="0052028A"/>
    <w:rsid w:val="00535163"/>
    <w:rsid w:val="005452FF"/>
    <w:rsid w:val="00545973"/>
    <w:rsid w:val="00564DB0"/>
    <w:rsid w:val="00566AE9"/>
    <w:rsid w:val="005746F3"/>
    <w:rsid w:val="0058101C"/>
    <w:rsid w:val="00585727"/>
    <w:rsid w:val="005937AF"/>
    <w:rsid w:val="005A338B"/>
    <w:rsid w:val="005B30BA"/>
    <w:rsid w:val="005C115B"/>
    <w:rsid w:val="005C7D16"/>
    <w:rsid w:val="005E6516"/>
    <w:rsid w:val="005F20C1"/>
    <w:rsid w:val="005F5C18"/>
    <w:rsid w:val="00600623"/>
    <w:rsid w:val="00606D75"/>
    <w:rsid w:val="006239AA"/>
    <w:rsid w:val="00633A5D"/>
    <w:rsid w:val="006534D4"/>
    <w:rsid w:val="0065467E"/>
    <w:rsid w:val="006603BA"/>
    <w:rsid w:val="006630EE"/>
    <w:rsid w:val="006635B8"/>
    <w:rsid w:val="00666CB5"/>
    <w:rsid w:val="0068757F"/>
    <w:rsid w:val="006A7FFB"/>
    <w:rsid w:val="006C11B6"/>
    <w:rsid w:val="006E2569"/>
    <w:rsid w:val="006E5491"/>
    <w:rsid w:val="00733F61"/>
    <w:rsid w:val="00740AC3"/>
    <w:rsid w:val="00743C46"/>
    <w:rsid w:val="007726D4"/>
    <w:rsid w:val="00776722"/>
    <w:rsid w:val="0078174E"/>
    <w:rsid w:val="007839D3"/>
    <w:rsid w:val="00791276"/>
    <w:rsid w:val="00792FB7"/>
    <w:rsid w:val="00794729"/>
    <w:rsid w:val="007A1556"/>
    <w:rsid w:val="007A226E"/>
    <w:rsid w:val="007B77C7"/>
    <w:rsid w:val="007B7A84"/>
    <w:rsid w:val="007E2A6B"/>
    <w:rsid w:val="007F2AA7"/>
    <w:rsid w:val="00840E6D"/>
    <w:rsid w:val="00850C3E"/>
    <w:rsid w:val="00874F6E"/>
    <w:rsid w:val="00891A05"/>
    <w:rsid w:val="008A37A7"/>
    <w:rsid w:val="008C0B01"/>
    <w:rsid w:val="008C58C1"/>
    <w:rsid w:val="00911D2C"/>
    <w:rsid w:val="0091422B"/>
    <w:rsid w:val="00926602"/>
    <w:rsid w:val="009334DB"/>
    <w:rsid w:val="00935123"/>
    <w:rsid w:val="00964141"/>
    <w:rsid w:val="00971AD5"/>
    <w:rsid w:val="0098396F"/>
    <w:rsid w:val="009861BA"/>
    <w:rsid w:val="00991579"/>
    <w:rsid w:val="00996CCA"/>
    <w:rsid w:val="009B47EF"/>
    <w:rsid w:val="009C1A76"/>
    <w:rsid w:val="009D07CB"/>
    <w:rsid w:val="009D5371"/>
    <w:rsid w:val="009D57C0"/>
    <w:rsid w:val="009D797A"/>
    <w:rsid w:val="009E5198"/>
    <w:rsid w:val="009E7F53"/>
    <w:rsid w:val="009F7637"/>
    <w:rsid w:val="00A12349"/>
    <w:rsid w:val="00A352C4"/>
    <w:rsid w:val="00A45317"/>
    <w:rsid w:val="00A47CD6"/>
    <w:rsid w:val="00A70866"/>
    <w:rsid w:val="00A70A4F"/>
    <w:rsid w:val="00A804FE"/>
    <w:rsid w:val="00AA1024"/>
    <w:rsid w:val="00AA1595"/>
    <w:rsid w:val="00AC109E"/>
    <w:rsid w:val="00AC2D19"/>
    <w:rsid w:val="00AC5211"/>
    <w:rsid w:val="00AC67A2"/>
    <w:rsid w:val="00AE7F35"/>
    <w:rsid w:val="00AF502F"/>
    <w:rsid w:val="00B02723"/>
    <w:rsid w:val="00B04D73"/>
    <w:rsid w:val="00B11F4F"/>
    <w:rsid w:val="00B271EB"/>
    <w:rsid w:val="00B35A07"/>
    <w:rsid w:val="00B67F0B"/>
    <w:rsid w:val="00B87B43"/>
    <w:rsid w:val="00B921EE"/>
    <w:rsid w:val="00B926F1"/>
    <w:rsid w:val="00BB0B1B"/>
    <w:rsid w:val="00BE1444"/>
    <w:rsid w:val="00C1683A"/>
    <w:rsid w:val="00C35917"/>
    <w:rsid w:val="00C72181"/>
    <w:rsid w:val="00C8391F"/>
    <w:rsid w:val="00C97F92"/>
    <w:rsid w:val="00CA2767"/>
    <w:rsid w:val="00CB4221"/>
    <w:rsid w:val="00CB65F4"/>
    <w:rsid w:val="00D0058B"/>
    <w:rsid w:val="00D02FB3"/>
    <w:rsid w:val="00D27D15"/>
    <w:rsid w:val="00D3153A"/>
    <w:rsid w:val="00D31D47"/>
    <w:rsid w:val="00D32CBB"/>
    <w:rsid w:val="00D35B58"/>
    <w:rsid w:val="00D44473"/>
    <w:rsid w:val="00D5746E"/>
    <w:rsid w:val="00D628AA"/>
    <w:rsid w:val="00D64971"/>
    <w:rsid w:val="00D75555"/>
    <w:rsid w:val="00DA3261"/>
    <w:rsid w:val="00DB6A1F"/>
    <w:rsid w:val="00DD4DAC"/>
    <w:rsid w:val="00DF1674"/>
    <w:rsid w:val="00E10BB6"/>
    <w:rsid w:val="00E23BBE"/>
    <w:rsid w:val="00E31F09"/>
    <w:rsid w:val="00E509A3"/>
    <w:rsid w:val="00E50EA9"/>
    <w:rsid w:val="00E61254"/>
    <w:rsid w:val="00E80E7F"/>
    <w:rsid w:val="00E823C4"/>
    <w:rsid w:val="00EB4953"/>
    <w:rsid w:val="00EB4AFE"/>
    <w:rsid w:val="00EC4707"/>
    <w:rsid w:val="00EE5AA7"/>
    <w:rsid w:val="00EF7D0C"/>
    <w:rsid w:val="00F11191"/>
    <w:rsid w:val="00F11374"/>
    <w:rsid w:val="00F11FFA"/>
    <w:rsid w:val="00F13A69"/>
    <w:rsid w:val="00F17BD1"/>
    <w:rsid w:val="00F51370"/>
    <w:rsid w:val="00F55C26"/>
    <w:rsid w:val="00F63685"/>
    <w:rsid w:val="00F66019"/>
    <w:rsid w:val="00F806FA"/>
    <w:rsid w:val="00F822EF"/>
    <w:rsid w:val="00F853BB"/>
    <w:rsid w:val="00FA64E9"/>
    <w:rsid w:val="00FB47D5"/>
    <w:rsid w:val="00FD2CDE"/>
    <w:rsid w:val="00FF1BD2"/>
    <w:rsid w:val="00FF46E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D59A"/>
  <w15:chartTrackingRefBased/>
  <w15:docId w15:val="{EE191F5D-D21D-9F45-89ED-042C30F4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eXGyrePagella"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7A"/>
    <w:rPr>
      <w:rFonts w:ascii="Times New Roman" w:eastAsia="Times New Roman" w:hAnsi="Times New Roman" w:cs="Times New Roman"/>
      <w:kern w:val="0"/>
      <w:lang w:val="pt-BR" w:eastAsia="pt-BR"/>
      <w14:ligatures w14:val="none"/>
    </w:rPr>
  </w:style>
  <w:style w:type="paragraph" w:styleId="Ttulo1">
    <w:name w:val="heading 1"/>
    <w:basedOn w:val="Normal"/>
    <w:next w:val="Normal"/>
    <w:link w:val="Ttulo1Char"/>
    <w:uiPriority w:val="9"/>
    <w:qFormat/>
    <w:rsid w:val="00D35B58"/>
    <w:pPr>
      <w:keepNext/>
      <w:keepLines/>
      <w:spacing w:before="120" w:after="120" w:line="360" w:lineRule="auto"/>
      <w:outlineLvl w:val="0"/>
    </w:pPr>
    <w:rPr>
      <w:rFonts w:eastAsiaTheme="majorEastAsia" w:cstheme="majorBidi"/>
      <w:b/>
      <w:sz w:val="28"/>
      <w:szCs w:val="32"/>
      <w:lang w:val="en-US"/>
    </w:rPr>
  </w:style>
  <w:style w:type="paragraph" w:styleId="Ttulo2">
    <w:name w:val="heading 2"/>
    <w:basedOn w:val="Normal"/>
    <w:next w:val="Normal"/>
    <w:link w:val="Ttulo2Char"/>
    <w:uiPriority w:val="9"/>
    <w:unhideWhenUsed/>
    <w:qFormat/>
    <w:rsid w:val="000904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5B58"/>
    <w:rPr>
      <w:rFonts w:ascii="Times New Roman" w:eastAsiaTheme="majorEastAsia" w:hAnsi="Times New Roman" w:cstheme="majorBidi"/>
      <w:b/>
      <w:kern w:val="0"/>
      <w:sz w:val="28"/>
      <w:szCs w:val="32"/>
      <w:lang w:val="en-US"/>
      <w14:ligatures w14:val="none"/>
    </w:rPr>
  </w:style>
  <w:style w:type="paragraph" w:styleId="Ttulo">
    <w:name w:val="Title"/>
    <w:basedOn w:val="Normal"/>
    <w:next w:val="Normal"/>
    <w:link w:val="TtuloChar"/>
    <w:uiPriority w:val="10"/>
    <w:qFormat/>
    <w:rsid w:val="00D35B58"/>
    <w:pPr>
      <w:spacing w:before="120" w:after="120" w:line="360" w:lineRule="auto"/>
      <w:contextualSpacing/>
      <w:jc w:val="center"/>
    </w:pPr>
    <w:rPr>
      <w:rFonts w:eastAsiaTheme="majorEastAsia" w:cstheme="majorBidi"/>
      <w:b/>
      <w:spacing w:val="-10"/>
      <w:kern w:val="28"/>
      <w:sz w:val="32"/>
      <w:szCs w:val="56"/>
      <w:lang w:val="en-US"/>
    </w:rPr>
  </w:style>
  <w:style w:type="character" w:customStyle="1" w:styleId="TtuloChar">
    <w:name w:val="Título Char"/>
    <w:basedOn w:val="Fontepargpadro"/>
    <w:link w:val="Ttulo"/>
    <w:uiPriority w:val="10"/>
    <w:rsid w:val="00D35B58"/>
    <w:rPr>
      <w:rFonts w:ascii="Times New Roman" w:eastAsiaTheme="majorEastAsia" w:hAnsi="Times New Roman" w:cstheme="majorBidi"/>
      <w:b/>
      <w:spacing w:val="-10"/>
      <w:kern w:val="28"/>
      <w:sz w:val="32"/>
      <w:szCs w:val="56"/>
      <w:lang w:val="en-US"/>
      <w14:ligatures w14:val="none"/>
    </w:rPr>
  </w:style>
  <w:style w:type="character" w:customStyle="1" w:styleId="Ttulo2Char">
    <w:name w:val="Título 2 Char"/>
    <w:basedOn w:val="Fontepargpadro"/>
    <w:link w:val="Ttulo2"/>
    <w:uiPriority w:val="9"/>
    <w:rsid w:val="000904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A226E"/>
    <w:pPr>
      <w:spacing w:before="100" w:beforeAutospacing="1" w:after="100" w:afterAutospacing="1"/>
    </w:pPr>
  </w:style>
  <w:style w:type="character" w:styleId="nfase">
    <w:name w:val="Emphasis"/>
    <w:basedOn w:val="Fontepargpadro"/>
    <w:uiPriority w:val="20"/>
    <w:qFormat/>
    <w:rsid w:val="007A226E"/>
    <w:rPr>
      <w:i/>
      <w:iCs/>
    </w:rPr>
  </w:style>
  <w:style w:type="table" w:styleId="Tabelacomgrade">
    <w:name w:val="Table Grid"/>
    <w:basedOn w:val="Tabelanormal"/>
    <w:uiPriority w:val="39"/>
    <w:rsid w:val="004D6DD9"/>
    <w:rPr>
      <w:rFonts w:eastAsiaTheme="minorHAnsi"/>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4D6DD9"/>
    <w:rPr>
      <w:rFonts w:eastAsiaTheme="minorHAnsi"/>
      <w:lang w:val="en-US"/>
    </w:rPr>
  </w:style>
  <w:style w:type="character" w:styleId="Refdecomentrio">
    <w:name w:val="annotation reference"/>
    <w:basedOn w:val="Fontepargpadro"/>
    <w:uiPriority w:val="99"/>
    <w:semiHidden/>
    <w:unhideWhenUsed/>
    <w:rsid w:val="004D6DD9"/>
    <w:rPr>
      <w:sz w:val="16"/>
      <w:szCs w:val="16"/>
    </w:rPr>
  </w:style>
  <w:style w:type="paragraph" w:styleId="Legenda">
    <w:name w:val="caption"/>
    <w:basedOn w:val="Normal"/>
    <w:next w:val="Normal"/>
    <w:uiPriority w:val="35"/>
    <w:unhideWhenUsed/>
    <w:qFormat/>
    <w:rsid w:val="003A550A"/>
    <w:pPr>
      <w:spacing w:before="120" w:after="120" w:line="360" w:lineRule="auto"/>
    </w:pPr>
    <w:rPr>
      <w:rFonts w:eastAsiaTheme="minorHAnsi"/>
      <w:b/>
      <w:iCs/>
      <w:szCs w:val="18"/>
      <w:lang w:val="en-US"/>
    </w:rPr>
  </w:style>
  <w:style w:type="paragraph" w:styleId="Bibliografia">
    <w:name w:val="Bibliography"/>
    <w:basedOn w:val="Normal"/>
    <w:next w:val="Normal"/>
    <w:uiPriority w:val="37"/>
    <w:semiHidden/>
    <w:unhideWhenUsed/>
    <w:rsid w:val="0002158F"/>
  </w:style>
  <w:style w:type="paragraph" w:styleId="Rodap">
    <w:name w:val="footer"/>
    <w:basedOn w:val="Normal"/>
    <w:link w:val="RodapChar"/>
    <w:uiPriority w:val="99"/>
    <w:unhideWhenUsed/>
    <w:rsid w:val="00564DB0"/>
    <w:pPr>
      <w:tabs>
        <w:tab w:val="center" w:pos="4680"/>
        <w:tab w:val="right" w:pos="9360"/>
      </w:tabs>
    </w:pPr>
  </w:style>
  <w:style w:type="character" w:customStyle="1" w:styleId="RodapChar">
    <w:name w:val="Rodapé Char"/>
    <w:basedOn w:val="Fontepargpadro"/>
    <w:link w:val="Rodap"/>
    <w:uiPriority w:val="99"/>
    <w:rsid w:val="00564DB0"/>
    <w:rPr>
      <w:sz w:val="22"/>
    </w:rPr>
  </w:style>
  <w:style w:type="character" w:styleId="Nmerodepgina">
    <w:name w:val="page number"/>
    <w:basedOn w:val="Fontepargpadro"/>
    <w:uiPriority w:val="99"/>
    <w:semiHidden/>
    <w:unhideWhenUsed/>
    <w:rsid w:val="00564DB0"/>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styleId="Textodenotaderodap">
    <w:name w:val="footnote text"/>
    <w:basedOn w:val="Normal"/>
    <w:link w:val="TextodenotaderodapChar"/>
    <w:uiPriority w:val="99"/>
    <w:semiHidden/>
    <w:unhideWhenUsed/>
    <w:rsid w:val="00AA1595"/>
    <w:rPr>
      <w:sz w:val="20"/>
      <w:szCs w:val="20"/>
    </w:rPr>
  </w:style>
  <w:style w:type="character" w:customStyle="1" w:styleId="TextodenotaderodapChar">
    <w:name w:val="Texto de nota de rodapé Char"/>
    <w:basedOn w:val="Fontepargpadro"/>
    <w:link w:val="Textodenotaderodap"/>
    <w:uiPriority w:val="99"/>
    <w:semiHidden/>
    <w:rsid w:val="00AA1595"/>
    <w:rPr>
      <w:sz w:val="20"/>
      <w:szCs w:val="20"/>
    </w:rPr>
  </w:style>
  <w:style w:type="character" w:styleId="Refdenotaderodap">
    <w:name w:val="footnote reference"/>
    <w:basedOn w:val="Fontepargpadro"/>
    <w:uiPriority w:val="99"/>
    <w:semiHidden/>
    <w:unhideWhenUsed/>
    <w:rsid w:val="00AA1595"/>
    <w:rPr>
      <w:vertAlign w:val="superscript"/>
    </w:rPr>
  </w:style>
  <w:style w:type="character" w:styleId="TextodoEspaoReservado">
    <w:name w:val="Placeholder Text"/>
    <w:basedOn w:val="Fontepargpadro"/>
    <w:uiPriority w:val="99"/>
    <w:semiHidden/>
    <w:rsid w:val="00E10BB6"/>
    <w:rPr>
      <w:color w:val="666666"/>
    </w:rPr>
  </w:style>
  <w:style w:type="character" w:styleId="Forte">
    <w:name w:val="Strong"/>
    <w:basedOn w:val="Fontepargpadro"/>
    <w:uiPriority w:val="22"/>
    <w:qFormat/>
    <w:rsid w:val="00A47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6815">
      <w:bodyDiv w:val="1"/>
      <w:marLeft w:val="0"/>
      <w:marRight w:val="0"/>
      <w:marTop w:val="0"/>
      <w:marBottom w:val="0"/>
      <w:divBdr>
        <w:top w:val="none" w:sz="0" w:space="0" w:color="auto"/>
        <w:left w:val="none" w:sz="0" w:space="0" w:color="auto"/>
        <w:bottom w:val="none" w:sz="0" w:space="0" w:color="auto"/>
        <w:right w:val="none" w:sz="0" w:space="0" w:color="auto"/>
      </w:divBdr>
    </w:div>
    <w:div w:id="326137047">
      <w:bodyDiv w:val="1"/>
      <w:marLeft w:val="0"/>
      <w:marRight w:val="0"/>
      <w:marTop w:val="0"/>
      <w:marBottom w:val="0"/>
      <w:divBdr>
        <w:top w:val="none" w:sz="0" w:space="0" w:color="auto"/>
        <w:left w:val="none" w:sz="0" w:space="0" w:color="auto"/>
        <w:bottom w:val="none" w:sz="0" w:space="0" w:color="auto"/>
        <w:right w:val="none" w:sz="0" w:space="0" w:color="auto"/>
      </w:divBdr>
    </w:div>
    <w:div w:id="378937050">
      <w:bodyDiv w:val="1"/>
      <w:marLeft w:val="0"/>
      <w:marRight w:val="0"/>
      <w:marTop w:val="0"/>
      <w:marBottom w:val="0"/>
      <w:divBdr>
        <w:top w:val="none" w:sz="0" w:space="0" w:color="auto"/>
        <w:left w:val="none" w:sz="0" w:space="0" w:color="auto"/>
        <w:bottom w:val="none" w:sz="0" w:space="0" w:color="auto"/>
        <w:right w:val="none" w:sz="0" w:space="0" w:color="auto"/>
      </w:divBdr>
    </w:div>
    <w:div w:id="579411989">
      <w:bodyDiv w:val="1"/>
      <w:marLeft w:val="0"/>
      <w:marRight w:val="0"/>
      <w:marTop w:val="0"/>
      <w:marBottom w:val="0"/>
      <w:divBdr>
        <w:top w:val="none" w:sz="0" w:space="0" w:color="auto"/>
        <w:left w:val="none" w:sz="0" w:space="0" w:color="auto"/>
        <w:bottom w:val="none" w:sz="0" w:space="0" w:color="auto"/>
        <w:right w:val="none" w:sz="0" w:space="0" w:color="auto"/>
      </w:divBdr>
    </w:div>
    <w:div w:id="766733378">
      <w:bodyDiv w:val="1"/>
      <w:marLeft w:val="0"/>
      <w:marRight w:val="0"/>
      <w:marTop w:val="0"/>
      <w:marBottom w:val="0"/>
      <w:divBdr>
        <w:top w:val="none" w:sz="0" w:space="0" w:color="auto"/>
        <w:left w:val="none" w:sz="0" w:space="0" w:color="auto"/>
        <w:bottom w:val="none" w:sz="0" w:space="0" w:color="auto"/>
        <w:right w:val="none" w:sz="0" w:space="0" w:color="auto"/>
      </w:divBdr>
    </w:div>
    <w:div w:id="801731505">
      <w:bodyDiv w:val="1"/>
      <w:marLeft w:val="0"/>
      <w:marRight w:val="0"/>
      <w:marTop w:val="0"/>
      <w:marBottom w:val="0"/>
      <w:divBdr>
        <w:top w:val="none" w:sz="0" w:space="0" w:color="auto"/>
        <w:left w:val="none" w:sz="0" w:space="0" w:color="auto"/>
        <w:bottom w:val="none" w:sz="0" w:space="0" w:color="auto"/>
        <w:right w:val="none" w:sz="0" w:space="0" w:color="auto"/>
      </w:divBdr>
    </w:div>
    <w:div w:id="1115758637">
      <w:bodyDiv w:val="1"/>
      <w:marLeft w:val="0"/>
      <w:marRight w:val="0"/>
      <w:marTop w:val="0"/>
      <w:marBottom w:val="0"/>
      <w:divBdr>
        <w:top w:val="none" w:sz="0" w:space="0" w:color="auto"/>
        <w:left w:val="none" w:sz="0" w:space="0" w:color="auto"/>
        <w:bottom w:val="none" w:sz="0" w:space="0" w:color="auto"/>
        <w:right w:val="none" w:sz="0" w:space="0" w:color="auto"/>
      </w:divBdr>
    </w:div>
    <w:div w:id="1294169815">
      <w:bodyDiv w:val="1"/>
      <w:marLeft w:val="0"/>
      <w:marRight w:val="0"/>
      <w:marTop w:val="0"/>
      <w:marBottom w:val="0"/>
      <w:divBdr>
        <w:top w:val="none" w:sz="0" w:space="0" w:color="auto"/>
        <w:left w:val="none" w:sz="0" w:space="0" w:color="auto"/>
        <w:bottom w:val="none" w:sz="0" w:space="0" w:color="auto"/>
        <w:right w:val="none" w:sz="0" w:space="0" w:color="auto"/>
      </w:divBdr>
    </w:div>
    <w:div w:id="1372535811">
      <w:bodyDiv w:val="1"/>
      <w:marLeft w:val="0"/>
      <w:marRight w:val="0"/>
      <w:marTop w:val="0"/>
      <w:marBottom w:val="0"/>
      <w:divBdr>
        <w:top w:val="none" w:sz="0" w:space="0" w:color="auto"/>
        <w:left w:val="none" w:sz="0" w:space="0" w:color="auto"/>
        <w:bottom w:val="none" w:sz="0" w:space="0" w:color="auto"/>
        <w:right w:val="none" w:sz="0" w:space="0" w:color="auto"/>
      </w:divBdr>
    </w:div>
    <w:div w:id="1397120975">
      <w:bodyDiv w:val="1"/>
      <w:marLeft w:val="0"/>
      <w:marRight w:val="0"/>
      <w:marTop w:val="0"/>
      <w:marBottom w:val="0"/>
      <w:divBdr>
        <w:top w:val="none" w:sz="0" w:space="0" w:color="auto"/>
        <w:left w:val="none" w:sz="0" w:space="0" w:color="auto"/>
        <w:bottom w:val="none" w:sz="0" w:space="0" w:color="auto"/>
        <w:right w:val="none" w:sz="0" w:space="0" w:color="auto"/>
      </w:divBdr>
    </w:div>
    <w:div w:id="1440027307">
      <w:bodyDiv w:val="1"/>
      <w:marLeft w:val="0"/>
      <w:marRight w:val="0"/>
      <w:marTop w:val="0"/>
      <w:marBottom w:val="0"/>
      <w:divBdr>
        <w:top w:val="none" w:sz="0" w:space="0" w:color="auto"/>
        <w:left w:val="none" w:sz="0" w:space="0" w:color="auto"/>
        <w:bottom w:val="none" w:sz="0" w:space="0" w:color="auto"/>
        <w:right w:val="none" w:sz="0" w:space="0" w:color="auto"/>
      </w:divBdr>
    </w:div>
    <w:div w:id="1464494133">
      <w:bodyDiv w:val="1"/>
      <w:marLeft w:val="0"/>
      <w:marRight w:val="0"/>
      <w:marTop w:val="0"/>
      <w:marBottom w:val="0"/>
      <w:divBdr>
        <w:top w:val="none" w:sz="0" w:space="0" w:color="auto"/>
        <w:left w:val="none" w:sz="0" w:space="0" w:color="auto"/>
        <w:bottom w:val="none" w:sz="0" w:space="0" w:color="auto"/>
        <w:right w:val="none" w:sz="0" w:space="0" w:color="auto"/>
      </w:divBdr>
    </w:div>
    <w:div w:id="1537355157">
      <w:bodyDiv w:val="1"/>
      <w:marLeft w:val="0"/>
      <w:marRight w:val="0"/>
      <w:marTop w:val="0"/>
      <w:marBottom w:val="0"/>
      <w:divBdr>
        <w:top w:val="none" w:sz="0" w:space="0" w:color="auto"/>
        <w:left w:val="none" w:sz="0" w:space="0" w:color="auto"/>
        <w:bottom w:val="none" w:sz="0" w:space="0" w:color="auto"/>
        <w:right w:val="none" w:sz="0" w:space="0" w:color="auto"/>
      </w:divBdr>
    </w:div>
    <w:div w:id="1789161206">
      <w:bodyDiv w:val="1"/>
      <w:marLeft w:val="0"/>
      <w:marRight w:val="0"/>
      <w:marTop w:val="0"/>
      <w:marBottom w:val="0"/>
      <w:divBdr>
        <w:top w:val="none" w:sz="0" w:space="0" w:color="auto"/>
        <w:left w:val="none" w:sz="0" w:space="0" w:color="auto"/>
        <w:bottom w:val="none" w:sz="0" w:space="0" w:color="auto"/>
        <w:right w:val="none" w:sz="0" w:space="0" w:color="auto"/>
      </w:divBdr>
    </w:div>
    <w:div w:id="1799226311">
      <w:bodyDiv w:val="1"/>
      <w:marLeft w:val="0"/>
      <w:marRight w:val="0"/>
      <w:marTop w:val="0"/>
      <w:marBottom w:val="0"/>
      <w:divBdr>
        <w:top w:val="none" w:sz="0" w:space="0" w:color="auto"/>
        <w:left w:val="none" w:sz="0" w:space="0" w:color="auto"/>
        <w:bottom w:val="none" w:sz="0" w:space="0" w:color="auto"/>
        <w:right w:val="none" w:sz="0" w:space="0" w:color="auto"/>
      </w:divBdr>
    </w:div>
    <w:div w:id="1993021124">
      <w:bodyDiv w:val="1"/>
      <w:marLeft w:val="0"/>
      <w:marRight w:val="0"/>
      <w:marTop w:val="0"/>
      <w:marBottom w:val="0"/>
      <w:divBdr>
        <w:top w:val="none" w:sz="0" w:space="0" w:color="auto"/>
        <w:left w:val="none" w:sz="0" w:space="0" w:color="auto"/>
        <w:bottom w:val="none" w:sz="0" w:space="0" w:color="auto"/>
        <w:right w:val="none" w:sz="0" w:space="0" w:color="auto"/>
      </w:divBdr>
    </w:div>
    <w:div w:id="205083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19</Pages>
  <Words>6144</Words>
  <Characters>35515</Characters>
  <Application>Microsoft Office Word</Application>
  <DocSecurity>0</DocSecurity>
  <Lines>634</Lines>
  <Paragraphs>242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Avelino</dc:creator>
  <cp:keywords/>
  <dc:description/>
  <cp:lastModifiedBy>Ciro Biderman</cp:lastModifiedBy>
  <cp:revision>50</cp:revision>
  <dcterms:created xsi:type="dcterms:W3CDTF">2024-01-09T01:08:00Z</dcterms:created>
  <dcterms:modified xsi:type="dcterms:W3CDTF">2024-01-10T20:14:00Z</dcterms:modified>
</cp:coreProperties>
</file>