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Épicas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Website Alqui.AR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23-003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 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171450</wp:posOffset>
                  </wp:positionV>
                  <wp:extent cx="1982735" cy="1972772"/>
                  <wp:effectExtent b="0" l="0" r="0" t="0"/>
                  <wp:wrapNone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35" cy="1972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bookmarkStart w:colFirst="0" w:colLast="0" w:name="_heading=h.1tllj3sbfxl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16"/>
          <w:szCs w:val="16"/>
        </w:rPr>
        <w:sectPr>
          <w:headerReference r:id="rId8" w:type="first"/>
          <w:footerReference r:id="rId9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ehweyz3q1306" w:id="1"/>
      <w:bookmarkEnd w:id="1"/>
      <w:r w:rsidDel="00000000" w:rsidR="00000000" w:rsidRPr="00000000">
        <w:rPr>
          <w:sz w:val="16"/>
          <w:szCs w:val="16"/>
          <w:rtl w:val="0"/>
        </w:rPr>
        <w:t xml:space="preserve">IV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 de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usuarios necesarias para la creación, eliminación, edición, recuperación de contraseña, inicio y cierre de sesiones. También incluye el listado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maquinaria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épica incluye todas las historias de usuario necesarias para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agregar, modificar, eliminar, listar y visualizar maquinaria (individual).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36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 Administración de sucursales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épica incluye todas las historias de usuario necesarias para la creación, modificación, eliminación, visualización y listado de sucursales.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relacionadas a la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historias de usuario necesarias para la creación y cancelación de reservas,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listados de próximas reservas y visualización de los listados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vinculadas a los alquileres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 necesarias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listado, valoración y la devolución (finalización de un alquiler).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Funciones vinculadas a las estadísticas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épica incluye todas las historias de usuario necesarias para el listado de estadísticas y la configuración de las mismas.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60" w:before="240" w:line="36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épica: Funciones vinculadas a los pagos y facturación.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Esta épica incluye todas las historias de usuario necesarias para la realización de pagos con sus distintos métodos y la facturación de los mismos.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Marzo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OHnzlMhHSbikwrgY7ywt39NTA==">CgMxLjAyDmguMXRsbGozc2JmeGw5Mg5oLmVod2V5ejNxMTMwNjgAciExcUtGcDk1V2dTcEdDNW1RWHBIa0J0TnV0Y1JkTWlGOWI=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2016-09-09T17:19:00Z</dcterms:created>
  <dc:creator>Autor</dc:creator>
</cp:coreProperties>
</file>