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8E29C">
      <w:pPr>
        <w:rPr>
          <w:rFonts w:hint="default" w:ascii="Arial" w:hAnsi="Arial" w:cs="Arial"/>
          <w:b/>
          <w:bCs/>
          <w:sz w:val="24"/>
          <w:szCs w:val="24"/>
        </w:rPr>
      </w:pPr>
      <w:r>
        <w:rPr>
          <w:rFonts w:hint="default" w:ascii="Arial" w:hAnsi="Arial" w:cs="Arial"/>
          <w:b/>
          <w:bCs/>
          <w:sz w:val="24"/>
          <w:szCs w:val="24"/>
        </w:rPr>
        <w:t>1. Contexto del Proyecto</w:t>
      </w:r>
    </w:p>
    <w:p w14:paraId="565A4633">
      <w:pPr>
        <w:rPr>
          <w:rFonts w:hint="default" w:ascii="Arial" w:hAnsi="Arial" w:cs="Arial"/>
          <w:b/>
          <w:bCs/>
          <w:sz w:val="24"/>
          <w:szCs w:val="24"/>
        </w:rPr>
      </w:pPr>
      <w:r>
        <w:rPr>
          <w:rFonts w:hint="default" w:ascii="Arial" w:hAnsi="Arial" w:cs="Arial"/>
          <w:b/>
          <w:bCs/>
          <w:sz w:val="24"/>
          <w:szCs w:val="24"/>
        </w:rPr>
        <w:t>1.1 Antecedentes y Motivación</w:t>
      </w:r>
    </w:p>
    <w:p w14:paraId="6043EFF6">
      <w:pPr>
        <w:rPr>
          <w:rFonts w:hint="default" w:ascii="Arial" w:hAnsi="Arial" w:cs="Arial"/>
          <w:sz w:val="24"/>
          <w:szCs w:val="24"/>
        </w:rPr>
      </w:pPr>
      <w:r>
        <w:rPr>
          <w:rFonts w:hint="default" w:ascii="Arial" w:hAnsi="Arial" w:cs="Arial"/>
          <w:sz w:val="24"/>
          <w:szCs w:val="24"/>
        </w:rPr>
        <w:t>A pesar del rápido avance tecnológico, una cantidad significativa de establecimientos educacionales en Chile aún administra su información crítica —asistencia, calificaciones y comunicaciones— mediante registros físicos, como el clásico "Libro de Clases" en papel. Esta situación genera ineficiencias administrativas, alto riesgo de pérdida o deterioro de información y un impacto ecológico negativo.</w:t>
      </w:r>
    </w:p>
    <w:p w14:paraId="29599D9D">
      <w:pPr>
        <w:rPr>
          <w:rFonts w:hint="default" w:ascii="Arial" w:hAnsi="Arial" w:cs="Arial"/>
          <w:sz w:val="24"/>
          <w:szCs w:val="24"/>
        </w:rPr>
      </w:pPr>
      <w:r>
        <w:rPr>
          <w:rFonts w:hint="default" w:ascii="Arial" w:hAnsi="Arial" w:cs="Arial"/>
          <w:sz w:val="24"/>
          <w:szCs w:val="24"/>
        </w:rPr>
        <w:t>La motivación principal de este proyecto es impulsar la transformación digital en estos espacios educativos, democratizando el acceso a tecnologías de vanguardia como la computación en la nube y la Inteligencia Artificial. Se busca eliminar la burocracia del papel, reducir los tiempos administrativos de los docentes y transparentar la información hacia las familias, creando un ecosistema escolar más conectado y eficiente.</w:t>
      </w:r>
    </w:p>
    <w:p w14:paraId="6E00636E">
      <w:pPr>
        <w:rPr>
          <w:rFonts w:hint="default" w:ascii="Arial" w:hAnsi="Arial" w:cs="Arial"/>
          <w:sz w:val="24"/>
          <w:szCs w:val="24"/>
        </w:rPr>
      </w:pPr>
      <w:r>
        <w:rPr>
          <w:rFonts w:hint="default" w:ascii="Arial" w:hAnsi="Arial" w:cs="Arial"/>
          <w:b/>
          <w:bCs/>
          <w:sz w:val="24"/>
          <w:szCs w:val="24"/>
        </w:rPr>
        <w:t>Contexto del mercado chileno:</w:t>
      </w:r>
      <w:r>
        <w:rPr>
          <w:rFonts w:hint="default" w:ascii="Arial" w:hAnsi="Arial" w:cs="Arial"/>
          <w:sz w:val="24"/>
          <w:szCs w:val="24"/>
        </w:rPr>
        <w:t> Según información del Ministerio de Educación, para 2026 Chile cuenta con </w:t>
      </w:r>
      <w:r>
        <w:rPr>
          <w:rFonts w:hint="default" w:ascii="Arial" w:hAnsi="Arial" w:cs="Arial"/>
          <w:b/>
          <w:bCs/>
          <w:sz w:val="24"/>
          <w:szCs w:val="24"/>
        </w:rPr>
        <w:t>36 Servicios Locales de Educación Pública (SLEP)</w:t>
      </w:r>
      <w:r>
        <w:rPr>
          <w:rFonts w:hint="default" w:ascii="Arial" w:hAnsi="Arial" w:cs="Arial"/>
          <w:sz w:val="24"/>
          <w:szCs w:val="24"/>
        </w:rPr>
        <w:t> en funcionamiento, administrando más de </w:t>
      </w:r>
      <w:r>
        <w:rPr>
          <w:rFonts w:hint="default" w:ascii="Arial" w:hAnsi="Arial" w:cs="Arial"/>
          <w:b/>
          <w:bCs/>
          <w:sz w:val="24"/>
          <w:szCs w:val="24"/>
        </w:rPr>
        <w:t>3,000 establecimientos y jardines infantiles</w:t>
      </w:r>
      <w:r>
        <w:rPr>
          <w:rFonts w:hint="default" w:ascii="Arial" w:hAnsi="Arial" w:cs="Arial"/>
          <w:sz w:val="24"/>
          <w:szCs w:val="24"/>
        </w:rPr>
        <w:t>, y cubriendo a más de </w:t>
      </w:r>
      <w:r>
        <w:rPr>
          <w:rFonts w:hint="default" w:ascii="Arial" w:hAnsi="Arial" w:cs="Arial"/>
          <w:b/>
          <w:bCs/>
          <w:sz w:val="24"/>
          <w:szCs w:val="24"/>
        </w:rPr>
        <w:t>642,000 estudiantes</w:t>
      </w:r>
      <w:r>
        <w:rPr>
          <w:rFonts w:hint="default" w:ascii="Arial" w:hAnsi="Arial" w:cs="Arial"/>
          <w:sz w:val="24"/>
          <w:szCs w:val="24"/>
        </w:rPr>
        <w:t>. Esta nueva institucionalidad busca profesionalizar la gestión educativa, alejándola de la administración municipal. EduSync se posiciona como una herramienta clave para apoyar esta transformación, ofreciendo una solución centralizada en la nube que permite estandarizar procesos y facilitar la toma de decisiones basada en datos a nivel de servicio local.</w:t>
      </w:r>
    </w:p>
    <w:p w14:paraId="1FF3532C">
      <w:pPr>
        <w:rPr>
          <w:rFonts w:hint="default" w:ascii="Arial" w:hAnsi="Arial" w:cs="Arial"/>
          <w:b/>
          <w:bCs/>
          <w:sz w:val="24"/>
          <w:szCs w:val="24"/>
        </w:rPr>
      </w:pPr>
      <w:r>
        <w:rPr>
          <w:rFonts w:hint="default" w:ascii="Arial" w:hAnsi="Arial" w:cs="Arial"/>
          <w:b/>
          <w:bCs/>
          <w:sz w:val="24"/>
          <w:szCs w:val="24"/>
        </w:rPr>
        <w:t>1.2 Público Objetivo (Mercado Objetivo)</w:t>
      </w:r>
    </w:p>
    <w:p w14:paraId="54CA7B27">
      <w:pPr>
        <w:rPr>
          <w:rFonts w:hint="default" w:ascii="Arial" w:hAnsi="Arial" w:cs="Arial"/>
          <w:sz w:val="24"/>
          <w:szCs w:val="24"/>
        </w:rPr>
      </w:pPr>
      <w:r>
        <w:rPr>
          <w:rFonts w:hint="default" w:ascii="Arial" w:hAnsi="Arial" w:cs="Arial"/>
          <w:sz w:val="24"/>
          <w:szCs w:val="24"/>
        </w:rPr>
        <w:t>El sistema está diseñado para tres perfiles de usuarios directos dentro de la comunidad escolar:</w:t>
      </w:r>
    </w:p>
    <w:tbl>
      <w:tblPr>
        <w:tblStyle w:val="12"/>
        <w:tblW w:w="8099" w:type="dxa"/>
        <w:tblInd w:w="0" w:type="dxa"/>
        <w:tblLayout w:type="autofit"/>
        <w:tblCellMar>
          <w:top w:w="15" w:type="dxa"/>
          <w:left w:w="15" w:type="dxa"/>
          <w:bottom w:w="15" w:type="dxa"/>
          <w:right w:w="15" w:type="dxa"/>
        </w:tblCellMar>
      </w:tblPr>
      <w:tblGrid>
        <w:gridCol w:w="2333"/>
        <w:gridCol w:w="2054"/>
        <w:gridCol w:w="3712"/>
      </w:tblGrid>
      <w:tr w14:paraId="684DB1B5">
        <w:tblPrEx>
          <w:tblCellMar>
            <w:top w:w="15" w:type="dxa"/>
            <w:left w:w="15" w:type="dxa"/>
            <w:bottom w:w="15" w:type="dxa"/>
            <w:right w:w="15" w:type="dxa"/>
          </w:tblCellMar>
        </w:tblPrEx>
        <w:trPr>
          <w:trHeight w:val="1000" w:hRule="atLeast"/>
          <w:tblHeader/>
        </w:trPr>
        <w:tc>
          <w:tcPr>
            <w:tcW w:w="0" w:type="auto"/>
            <w:tcBorders>
              <w:top w:val="nil"/>
            </w:tcBorders>
            <w:tcMar>
              <w:top w:w="150" w:type="dxa"/>
              <w:left w:w="0" w:type="dxa"/>
              <w:bottom w:w="150" w:type="dxa"/>
              <w:right w:w="240" w:type="dxa"/>
            </w:tcMar>
            <w:vAlign w:val="center"/>
          </w:tcPr>
          <w:p w14:paraId="76E35B89">
            <w:pPr>
              <w:rPr>
                <w:rFonts w:hint="default" w:ascii="Arial" w:hAnsi="Arial" w:cs="Arial"/>
                <w:sz w:val="24"/>
                <w:szCs w:val="24"/>
              </w:rPr>
            </w:pPr>
            <w:r>
              <w:rPr>
                <w:rFonts w:hint="default" w:ascii="Arial" w:hAnsi="Arial" w:cs="Arial"/>
                <w:b/>
                <w:bCs/>
                <w:sz w:val="24"/>
                <w:szCs w:val="24"/>
              </w:rPr>
              <w:t>Perfil de Usuario</w:t>
            </w:r>
          </w:p>
        </w:tc>
        <w:tc>
          <w:tcPr>
            <w:tcW w:w="0" w:type="auto"/>
            <w:tcBorders>
              <w:top w:val="nil"/>
            </w:tcBorders>
            <w:tcMar>
              <w:top w:w="150" w:type="dxa"/>
              <w:left w:w="240" w:type="dxa"/>
              <w:bottom w:w="150" w:type="dxa"/>
              <w:right w:w="240" w:type="dxa"/>
            </w:tcMar>
            <w:vAlign w:val="center"/>
          </w:tcPr>
          <w:p w14:paraId="0B3B84D8">
            <w:pPr>
              <w:rPr>
                <w:rFonts w:hint="default" w:ascii="Arial" w:hAnsi="Arial" w:cs="Arial"/>
                <w:sz w:val="24"/>
                <w:szCs w:val="24"/>
              </w:rPr>
            </w:pPr>
            <w:r>
              <w:rPr>
                <w:rFonts w:hint="default" w:ascii="Arial" w:hAnsi="Arial" w:cs="Arial"/>
                <w:b/>
                <w:bCs/>
                <w:sz w:val="24"/>
                <w:szCs w:val="24"/>
              </w:rPr>
              <w:t>Rol en la Plataforma</w:t>
            </w:r>
          </w:p>
        </w:tc>
        <w:tc>
          <w:tcPr>
            <w:tcW w:w="0" w:type="auto"/>
            <w:tcBorders>
              <w:top w:val="nil"/>
            </w:tcBorders>
            <w:tcMar>
              <w:top w:w="150" w:type="dxa"/>
              <w:left w:w="240" w:type="dxa"/>
              <w:bottom w:w="150" w:type="dxa"/>
              <w:right w:w="240" w:type="dxa"/>
            </w:tcMar>
            <w:vAlign w:val="center"/>
          </w:tcPr>
          <w:p w14:paraId="0563FF81">
            <w:pPr>
              <w:rPr>
                <w:rFonts w:hint="default" w:ascii="Arial" w:hAnsi="Arial" w:cs="Arial"/>
                <w:sz w:val="24"/>
                <w:szCs w:val="24"/>
              </w:rPr>
            </w:pPr>
            <w:r>
              <w:rPr>
                <w:rFonts w:hint="default" w:ascii="Arial" w:hAnsi="Arial" w:cs="Arial"/>
                <w:b/>
                <w:bCs/>
                <w:sz w:val="24"/>
                <w:szCs w:val="24"/>
              </w:rPr>
              <w:t>Necesidad Principal</w:t>
            </w:r>
          </w:p>
        </w:tc>
      </w:tr>
      <w:tr w14:paraId="7974B416">
        <w:tblPrEx>
          <w:tblCellMar>
            <w:top w:w="15" w:type="dxa"/>
            <w:left w:w="15" w:type="dxa"/>
            <w:bottom w:w="15" w:type="dxa"/>
            <w:right w:w="15" w:type="dxa"/>
          </w:tblCellMar>
        </w:tblPrEx>
        <w:trPr>
          <w:trHeight w:val="1000" w:hRule="atLeast"/>
        </w:trPr>
        <w:tc>
          <w:tcPr>
            <w:tcW w:w="0" w:type="auto"/>
            <w:tcMar>
              <w:top w:w="150" w:type="dxa"/>
              <w:left w:w="0" w:type="dxa"/>
              <w:bottom w:w="150" w:type="dxa"/>
              <w:right w:w="240" w:type="dxa"/>
            </w:tcMar>
            <w:vAlign w:val="center"/>
          </w:tcPr>
          <w:p w14:paraId="07A74F4A">
            <w:pPr>
              <w:rPr>
                <w:rFonts w:hint="default" w:ascii="Arial" w:hAnsi="Arial" w:cs="Arial"/>
                <w:sz w:val="24"/>
                <w:szCs w:val="24"/>
              </w:rPr>
            </w:pPr>
            <w:r>
              <w:rPr>
                <w:rFonts w:hint="default" w:ascii="Arial" w:hAnsi="Arial" w:cs="Arial"/>
                <w:b/>
                <w:bCs/>
                <w:sz w:val="24"/>
                <w:szCs w:val="24"/>
              </w:rPr>
              <w:t>Cuerpo Docente (Profesores)</w:t>
            </w:r>
          </w:p>
        </w:tc>
        <w:tc>
          <w:tcPr>
            <w:tcW w:w="0" w:type="auto"/>
            <w:tcMar>
              <w:top w:w="150" w:type="dxa"/>
              <w:left w:w="240" w:type="dxa"/>
              <w:bottom w:w="150" w:type="dxa"/>
              <w:right w:w="240" w:type="dxa"/>
            </w:tcMar>
            <w:vAlign w:val="center"/>
          </w:tcPr>
          <w:p w14:paraId="389977E4">
            <w:pPr>
              <w:rPr>
                <w:rFonts w:hint="default" w:ascii="Arial" w:hAnsi="Arial" w:cs="Arial"/>
                <w:sz w:val="24"/>
                <w:szCs w:val="24"/>
              </w:rPr>
            </w:pPr>
            <w:r>
              <w:rPr>
                <w:rFonts w:hint="default" w:ascii="Arial" w:hAnsi="Arial" w:cs="Arial"/>
                <w:sz w:val="24"/>
                <w:szCs w:val="24"/>
              </w:rPr>
              <w:t>Registrador de información</w:t>
            </w:r>
          </w:p>
        </w:tc>
        <w:tc>
          <w:tcPr>
            <w:tcW w:w="0" w:type="auto"/>
            <w:tcMar>
              <w:top w:w="150" w:type="dxa"/>
              <w:left w:w="240" w:type="dxa"/>
              <w:bottom w:w="150" w:type="dxa"/>
              <w:right w:w="0" w:type="dxa"/>
            </w:tcMar>
            <w:vAlign w:val="center"/>
          </w:tcPr>
          <w:p w14:paraId="72992D88">
            <w:pPr>
              <w:rPr>
                <w:rFonts w:hint="default" w:ascii="Arial" w:hAnsi="Arial" w:cs="Arial"/>
                <w:sz w:val="24"/>
                <w:szCs w:val="24"/>
              </w:rPr>
            </w:pPr>
            <w:r>
              <w:rPr>
                <w:rFonts w:hint="default" w:ascii="Arial" w:hAnsi="Arial" w:cs="Arial"/>
                <w:sz w:val="24"/>
                <w:szCs w:val="24"/>
              </w:rPr>
              <w:t>Registrar asistencia y notas ágilmente; apoyar la planificación de clases con IA.</w:t>
            </w:r>
          </w:p>
        </w:tc>
      </w:tr>
      <w:tr w14:paraId="2ED2A4D9">
        <w:tblPrEx>
          <w:tblCellMar>
            <w:top w:w="15" w:type="dxa"/>
            <w:left w:w="15" w:type="dxa"/>
            <w:bottom w:w="15" w:type="dxa"/>
            <w:right w:w="15" w:type="dxa"/>
          </w:tblCellMar>
        </w:tblPrEx>
        <w:trPr>
          <w:trHeight w:val="1000" w:hRule="atLeast"/>
        </w:trPr>
        <w:tc>
          <w:tcPr>
            <w:tcW w:w="0" w:type="auto"/>
            <w:tcMar>
              <w:top w:w="150" w:type="dxa"/>
              <w:left w:w="0" w:type="dxa"/>
              <w:bottom w:w="150" w:type="dxa"/>
              <w:right w:w="240" w:type="dxa"/>
            </w:tcMar>
            <w:vAlign w:val="center"/>
          </w:tcPr>
          <w:p w14:paraId="0D2DAF99">
            <w:pPr>
              <w:rPr>
                <w:rFonts w:hint="default" w:ascii="Arial" w:hAnsi="Arial" w:cs="Arial"/>
                <w:sz w:val="24"/>
                <w:szCs w:val="24"/>
              </w:rPr>
            </w:pPr>
            <w:r>
              <w:rPr>
                <w:rFonts w:hint="default" w:ascii="Arial" w:hAnsi="Arial" w:cs="Arial"/>
                <w:b/>
                <w:bCs/>
                <w:sz w:val="24"/>
                <w:szCs w:val="24"/>
              </w:rPr>
              <w:t>Equipo Directivo / Administrativo</w:t>
            </w:r>
          </w:p>
        </w:tc>
        <w:tc>
          <w:tcPr>
            <w:tcW w:w="0" w:type="auto"/>
            <w:tcMar>
              <w:top w:w="150" w:type="dxa"/>
              <w:left w:w="240" w:type="dxa"/>
              <w:bottom w:w="150" w:type="dxa"/>
              <w:right w:w="240" w:type="dxa"/>
            </w:tcMar>
            <w:vAlign w:val="center"/>
          </w:tcPr>
          <w:p w14:paraId="2CB640F2">
            <w:pPr>
              <w:rPr>
                <w:rFonts w:hint="default" w:ascii="Arial" w:hAnsi="Arial" w:cs="Arial"/>
                <w:sz w:val="24"/>
                <w:szCs w:val="24"/>
              </w:rPr>
            </w:pPr>
            <w:r>
              <w:rPr>
                <w:rFonts w:hint="default" w:ascii="Arial" w:hAnsi="Arial" w:cs="Arial"/>
                <w:sz w:val="24"/>
                <w:szCs w:val="24"/>
              </w:rPr>
              <w:t>Tomador de decisiones</w:t>
            </w:r>
          </w:p>
        </w:tc>
        <w:tc>
          <w:tcPr>
            <w:tcW w:w="0" w:type="auto"/>
            <w:tcMar>
              <w:top w:w="150" w:type="dxa"/>
              <w:left w:w="240" w:type="dxa"/>
              <w:bottom w:w="150" w:type="dxa"/>
              <w:right w:w="0" w:type="dxa"/>
            </w:tcMar>
            <w:vAlign w:val="center"/>
          </w:tcPr>
          <w:p w14:paraId="66E65EE0">
            <w:pPr>
              <w:rPr>
                <w:rFonts w:hint="default" w:ascii="Arial" w:hAnsi="Arial" w:cs="Arial"/>
                <w:sz w:val="24"/>
                <w:szCs w:val="24"/>
              </w:rPr>
            </w:pPr>
            <w:r>
              <w:rPr>
                <w:rFonts w:hint="default" w:ascii="Arial" w:hAnsi="Arial" w:cs="Arial"/>
                <w:sz w:val="24"/>
                <w:szCs w:val="24"/>
              </w:rPr>
              <w:t>Visualizar datos consolidados en tiempo real para detectar riesgos de rendimiento e inasistencia.</w:t>
            </w:r>
          </w:p>
        </w:tc>
      </w:tr>
      <w:tr w14:paraId="45A66847">
        <w:tblPrEx>
          <w:tblCellMar>
            <w:top w:w="15" w:type="dxa"/>
            <w:left w:w="15" w:type="dxa"/>
            <w:bottom w:w="15" w:type="dxa"/>
            <w:right w:w="15" w:type="dxa"/>
          </w:tblCellMar>
        </w:tblPrEx>
        <w:trPr>
          <w:trHeight w:val="1291" w:hRule="atLeast"/>
        </w:trPr>
        <w:tc>
          <w:tcPr>
            <w:tcW w:w="0" w:type="auto"/>
            <w:tcMar>
              <w:top w:w="150" w:type="dxa"/>
              <w:left w:w="0" w:type="dxa"/>
              <w:bottom w:w="150" w:type="dxa"/>
              <w:right w:w="240" w:type="dxa"/>
            </w:tcMar>
            <w:vAlign w:val="center"/>
          </w:tcPr>
          <w:p w14:paraId="620ADAC4">
            <w:pPr>
              <w:rPr>
                <w:rFonts w:hint="default" w:ascii="Arial" w:hAnsi="Arial" w:cs="Arial"/>
                <w:sz w:val="24"/>
                <w:szCs w:val="24"/>
              </w:rPr>
            </w:pPr>
            <w:r>
              <w:rPr>
                <w:rFonts w:hint="default" w:ascii="Arial" w:hAnsi="Arial" w:cs="Arial"/>
                <w:b/>
                <w:bCs/>
                <w:sz w:val="24"/>
                <w:szCs w:val="24"/>
              </w:rPr>
              <w:t>Apoderados</w:t>
            </w:r>
          </w:p>
        </w:tc>
        <w:tc>
          <w:tcPr>
            <w:tcW w:w="0" w:type="auto"/>
            <w:tcMar>
              <w:top w:w="150" w:type="dxa"/>
              <w:left w:w="240" w:type="dxa"/>
              <w:bottom w:w="150" w:type="dxa"/>
              <w:right w:w="240" w:type="dxa"/>
            </w:tcMar>
            <w:vAlign w:val="center"/>
          </w:tcPr>
          <w:p w14:paraId="55778B69">
            <w:pPr>
              <w:rPr>
                <w:rFonts w:hint="default" w:ascii="Arial" w:hAnsi="Arial" w:cs="Arial"/>
                <w:sz w:val="24"/>
                <w:szCs w:val="24"/>
              </w:rPr>
            </w:pPr>
            <w:r>
              <w:rPr>
                <w:rFonts w:hint="default" w:ascii="Arial" w:hAnsi="Arial" w:cs="Arial"/>
                <w:sz w:val="24"/>
                <w:szCs w:val="24"/>
              </w:rPr>
              <w:t>Observador externo</w:t>
            </w:r>
          </w:p>
        </w:tc>
        <w:tc>
          <w:tcPr>
            <w:tcW w:w="0" w:type="auto"/>
            <w:tcMar>
              <w:top w:w="150" w:type="dxa"/>
              <w:left w:w="240" w:type="dxa"/>
              <w:bottom w:w="150" w:type="dxa"/>
              <w:right w:w="0" w:type="dxa"/>
            </w:tcMar>
            <w:vAlign w:val="center"/>
          </w:tcPr>
          <w:p w14:paraId="662C1ECC">
            <w:pPr>
              <w:rPr>
                <w:rFonts w:hint="default" w:ascii="Arial" w:hAnsi="Arial" w:cs="Arial"/>
                <w:sz w:val="24"/>
                <w:szCs w:val="24"/>
              </w:rPr>
            </w:pPr>
            <w:r>
              <w:rPr>
                <w:rFonts w:hint="default" w:ascii="Arial" w:hAnsi="Arial" w:cs="Arial"/>
                <w:sz w:val="24"/>
                <w:szCs w:val="24"/>
              </w:rPr>
              <w:t>Acceso seguro y actualizado a la situación académica y conductual de sus pupilos desde cualquier dispositivo.</w:t>
            </w:r>
          </w:p>
        </w:tc>
      </w:tr>
    </w:tbl>
    <w:p w14:paraId="1BFB426A">
      <w:pPr>
        <w:rPr>
          <w:rFonts w:hint="default" w:ascii="Arial" w:hAnsi="Arial" w:cs="Arial"/>
          <w:sz w:val="24"/>
          <w:szCs w:val="24"/>
        </w:rPr>
      </w:pPr>
      <w:r>
        <w:rPr>
          <w:rFonts w:hint="default" w:ascii="Arial" w:hAnsi="Arial" w:cs="Arial"/>
          <w:b/>
          <w:bCs/>
          <w:sz w:val="24"/>
          <w:szCs w:val="24"/>
        </w:rPr>
        <w:t>Mercado Objetivo Cuantificado:</w:t>
      </w:r>
    </w:p>
    <w:tbl>
      <w:tblPr>
        <w:tblStyle w:val="12"/>
        <w:tblW w:w="8479" w:type="dxa"/>
        <w:tblInd w:w="0" w:type="dxa"/>
        <w:tblLayout w:type="autofit"/>
        <w:tblCellMar>
          <w:top w:w="15" w:type="dxa"/>
          <w:left w:w="15" w:type="dxa"/>
          <w:bottom w:w="15" w:type="dxa"/>
          <w:right w:w="15" w:type="dxa"/>
        </w:tblCellMar>
      </w:tblPr>
      <w:tblGrid>
        <w:gridCol w:w="2660"/>
        <w:gridCol w:w="2791"/>
        <w:gridCol w:w="3028"/>
      </w:tblGrid>
      <w:tr w14:paraId="29B82917">
        <w:tblPrEx>
          <w:tblCellMar>
            <w:top w:w="15" w:type="dxa"/>
            <w:left w:w="15" w:type="dxa"/>
            <w:bottom w:w="15" w:type="dxa"/>
            <w:right w:w="15" w:type="dxa"/>
          </w:tblCellMar>
        </w:tblPrEx>
        <w:trPr>
          <w:trHeight w:val="1074" w:hRule="atLeast"/>
          <w:tblHeader/>
        </w:trPr>
        <w:tc>
          <w:tcPr>
            <w:tcW w:w="0" w:type="auto"/>
            <w:tcBorders>
              <w:top w:val="nil"/>
            </w:tcBorders>
            <w:tcMar>
              <w:top w:w="150" w:type="dxa"/>
              <w:left w:w="0" w:type="dxa"/>
              <w:bottom w:w="150" w:type="dxa"/>
              <w:right w:w="240" w:type="dxa"/>
            </w:tcMar>
            <w:vAlign w:val="center"/>
          </w:tcPr>
          <w:p w14:paraId="112F8F16">
            <w:pPr>
              <w:rPr>
                <w:rFonts w:hint="default" w:ascii="Arial" w:hAnsi="Arial" w:cs="Arial"/>
                <w:sz w:val="24"/>
                <w:szCs w:val="24"/>
              </w:rPr>
            </w:pPr>
            <w:r>
              <w:rPr>
                <w:rFonts w:hint="default" w:ascii="Arial" w:hAnsi="Arial" w:cs="Arial"/>
                <w:sz w:val="24"/>
                <w:szCs w:val="24"/>
              </w:rPr>
              <w:t>Segmento de Mercado</w:t>
            </w:r>
          </w:p>
        </w:tc>
        <w:tc>
          <w:tcPr>
            <w:tcW w:w="0" w:type="auto"/>
            <w:tcBorders>
              <w:top w:val="nil"/>
            </w:tcBorders>
            <w:tcMar>
              <w:top w:w="150" w:type="dxa"/>
              <w:left w:w="240" w:type="dxa"/>
              <w:bottom w:w="150" w:type="dxa"/>
              <w:right w:w="240" w:type="dxa"/>
            </w:tcMar>
            <w:vAlign w:val="center"/>
          </w:tcPr>
          <w:p w14:paraId="689109C5">
            <w:pPr>
              <w:rPr>
                <w:rFonts w:hint="default" w:ascii="Arial" w:hAnsi="Arial" w:cs="Arial"/>
                <w:sz w:val="24"/>
                <w:szCs w:val="24"/>
              </w:rPr>
            </w:pPr>
            <w:r>
              <w:rPr>
                <w:rFonts w:hint="default" w:ascii="Arial" w:hAnsi="Arial" w:cs="Arial"/>
                <w:sz w:val="24"/>
                <w:szCs w:val="24"/>
              </w:rPr>
              <w:t>Estimación de Establecimientos</w:t>
            </w:r>
          </w:p>
        </w:tc>
        <w:tc>
          <w:tcPr>
            <w:tcW w:w="0" w:type="auto"/>
            <w:tcBorders>
              <w:top w:val="nil"/>
            </w:tcBorders>
            <w:tcMar>
              <w:top w:w="150" w:type="dxa"/>
              <w:left w:w="240" w:type="dxa"/>
              <w:bottom w:w="150" w:type="dxa"/>
              <w:right w:w="240" w:type="dxa"/>
            </w:tcMar>
            <w:vAlign w:val="center"/>
          </w:tcPr>
          <w:p w14:paraId="1F30AF0C">
            <w:pPr>
              <w:rPr>
                <w:rFonts w:hint="default" w:ascii="Arial" w:hAnsi="Arial" w:cs="Arial"/>
                <w:sz w:val="24"/>
                <w:szCs w:val="24"/>
              </w:rPr>
            </w:pPr>
            <w:r>
              <w:rPr>
                <w:rFonts w:hint="default" w:ascii="Arial" w:hAnsi="Arial" w:cs="Arial"/>
                <w:sz w:val="24"/>
                <w:szCs w:val="24"/>
              </w:rPr>
              <w:t>Justificación</w:t>
            </w:r>
          </w:p>
        </w:tc>
      </w:tr>
      <w:tr w14:paraId="4589A600">
        <w:tblPrEx>
          <w:tblCellMar>
            <w:top w:w="15" w:type="dxa"/>
            <w:left w:w="15" w:type="dxa"/>
            <w:bottom w:w="15" w:type="dxa"/>
            <w:right w:w="15" w:type="dxa"/>
          </w:tblCellMar>
        </w:tblPrEx>
        <w:trPr>
          <w:trHeight w:val="1074" w:hRule="atLeast"/>
        </w:trPr>
        <w:tc>
          <w:tcPr>
            <w:tcW w:w="0" w:type="auto"/>
            <w:tcMar>
              <w:top w:w="150" w:type="dxa"/>
              <w:left w:w="0" w:type="dxa"/>
              <w:bottom w:w="150" w:type="dxa"/>
              <w:right w:w="240" w:type="dxa"/>
            </w:tcMar>
            <w:vAlign w:val="center"/>
          </w:tcPr>
          <w:p w14:paraId="190D2702">
            <w:pPr>
              <w:rPr>
                <w:rFonts w:hint="default" w:ascii="Arial" w:hAnsi="Arial" w:cs="Arial"/>
                <w:sz w:val="24"/>
                <w:szCs w:val="24"/>
              </w:rPr>
            </w:pPr>
            <w:r>
              <w:rPr>
                <w:rFonts w:hint="default" w:ascii="Arial" w:hAnsi="Arial" w:cs="Arial"/>
                <w:sz w:val="24"/>
                <w:szCs w:val="24"/>
              </w:rPr>
              <w:t>Educación Pública (Municipal y SLEP)</w:t>
            </w:r>
          </w:p>
        </w:tc>
        <w:tc>
          <w:tcPr>
            <w:tcW w:w="0" w:type="auto"/>
            <w:tcMar>
              <w:top w:w="150" w:type="dxa"/>
              <w:left w:w="240" w:type="dxa"/>
              <w:bottom w:w="150" w:type="dxa"/>
              <w:right w:w="240" w:type="dxa"/>
            </w:tcMar>
            <w:vAlign w:val="center"/>
          </w:tcPr>
          <w:p w14:paraId="289E2E6D">
            <w:pPr>
              <w:rPr>
                <w:rFonts w:hint="default" w:ascii="Arial" w:hAnsi="Arial" w:cs="Arial"/>
                <w:sz w:val="24"/>
                <w:szCs w:val="24"/>
              </w:rPr>
            </w:pPr>
            <w:r>
              <w:rPr>
                <w:rFonts w:hint="default" w:ascii="Arial" w:hAnsi="Arial" w:cs="Arial"/>
                <w:sz w:val="24"/>
                <w:szCs w:val="24"/>
              </w:rPr>
              <w:t>~5.500</w:t>
            </w:r>
          </w:p>
        </w:tc>
        <w:tc>
          <w:tcPr>
            <w:tcW w:w="0" w:type="auto"/>
            <w:tcMar>
              <w:top w:w="150" w:type="dxa"/>
              <w:left w:w="240" w:type="dxa"/>
              <w:bottom w:w="150" w:type="dxa"/>
              <w:right w:w="0" w:type="dxa"/>
            </w:tcMar>
            <w:vAlign w:val="center"/>
          </w:tcPr>
          <w:p w14:paraId="5767D600">
            <w:pPr>
              <w:rPr>
                <w:rFonts w:hint="default" w:ascii="Arial" w:hAnsi="Arial" w:cs="Arial"/>
                <w:sz w:val="24"/>
                <w:szCs w:val="24"/>
              </w:rPr>
            </w:pPr>
            <w:r>
              <w:rPr>
                <w:rFonts w:hint="default" w:ascii="Arial" w:hAnsi="Arial" w:cs="Arial"/>
                <w:sz w:val="24"/>
                <w:szCs w:val="24"/>
              </w:rPr>
              <w:t>Más de 3,000 ya bajo SLEP; resto en transición</w:t>
            </w:r>
          </w:p>
        </w:tc>
      </w:tr>
      <w:tr w14:paraId="34DFC6F7">
        <w:tblPrEx>
          <w:tblCellMar>
            <w:top w:w="15" w:type="dxa"/>
            <w:left w:w="15" w:type="dxa"/>
            <w:bottom w:w="15" w:type="dxa"/>
            <w:right w:w="15" w:type="dxa"/>
          </w:tblCellMar>
        </w:tblPrEx>
        <w:trPr>
          <w:trHeight w:val="1074" w:hRule="atLeast"/>
        </w:trPr>
        <w:tc>
          <w:tcPr>
            <w:tcW w:w="0" w:type="auto"/>
            <w:tcMar>
              <w:top w:w="150" w:type="dxa"/>
              <w:left w:w="0" w:type="dxa"/>
              <w:bottom w:w="150" w:type="dxa"/>
              <w:right w:w="240" w:type="dxa"/>
            </w:tcMar>
            <w:vAlign w:val="center"/>
          </w:tcPr>
          <w:p w14:paraId="4CB22C56">
            <w:pPr>
              <w:rPr>
                <w:rFonts w:hint="default" w:ascii="Arial" w:hAnsi="Arial" w:cs="Arial"/>
                <w:sz w:val="24"/>
                <w:szCs w:val="24"/>
              </w:rPr>
            </w:pPr>
            <w:r>
              <w:rPr>
                <w:rFonts w:hint="default" w:ascii="Arial" w:hAnsi="Arial" w:cs="Arial"/>
                <w:sz w:val="24"/>
                <w:szCs w:val="24"/>
              </w:rPr>
              <w:t>Educación Particular Subvencionada</w:t>
            </w:r>
          </w:p>
        </w:tc>
        <w:tc>
          <w:tcPr>
            <w:tcW w:w="0" w:type="auto"/>
            <w:tcMar>
              <w:top w:w="150" w:type="dxa"/>
              <w:left w:w="240" w:type="dxa"/>
              <w:bottom w:w="150" w:type="dxa"/>
              <w:right w:w="240" w:type="dxa"/>
            </w:tcMar>
            <w:vAlign w:val="center"/>
          </w:tcPr>
          <w:p w14:paraId="6A5BAD04">
            <w:pPr>
              <w:rPr>
                <w:rFonts w:hint="default" w:ascii="Arial" w:hAnsi="Arial" w:cs="Arial"/>
                <w:sz w:val="24"/>
                <w:szCs w:val="24"/>
              </w:rPr>
            </w:pPr>
            <w:r>
              <w:rPr>
                <w:rFonts w:hint="default" w:ascii="Arial" w:hAnsi="Arial" w:cs="Arial"/>
                <w:sz w:val="24"/>
                <w:szCs w:val="24"/>
              </w:rPr>
              <w:t>~5.600</w:t>
            </w:r>
          </w:p>
        </w:tc>
        <w:tc>
          <w:tcPr>
            <w:tcW w:w="0" w:type="auto"/>
            <w:tcMar>
              <w:top w:w="150" w:type="dxa"/>
              <w:left w:w="240" w:type="dxa"/>
              <w:bottom w:w="150" w:type="dxa"/>
              <w:right w:w="0" w:type="dxa"/>
            </w:tcMar>
            <w:vAlign w:val="center"/>
          </w:tcPr>
          <w:p w14:paraId="5A09611F">
            <w:pPr>
              <w:rPr>
                <w:rFonts w:hint="default" w:ascii="Arial" w:hAnsi="Arial" w:cs="Arial"/>
                <w:sz w:val="24"/>
                <w:szCs w:val="24"/>
              </w:rPr>
            </w:pPr>
            <w:r>
              <w:rPr>
                <w:rFonts w:hint="default" w:ascii="Arial" w:hAnsi="Arial" w:cs="Arial"/>
                <w:sz w:val="24"/>
                <w:szCs w:val="24"/>
              </w:rPr>
              <w:t>Buscan modernización y mejoras en gestión</w:t>
            </w:r>
          </w:p>
        </w:tc>
      </w:tr>
      <w:tr w14:paraId="1105526F">
        <w:tblPrEx>
          <w:tblCellMar>
            <w:top w:w="15" w:type="dxa"/>
            <w:left w:w="15" w:type="dxa"/>
            <w:bottom w:w="15" w:type="dxa"/>
            <w:right w:w="15" w:type="dxa"/>
          </w:tblCellMar>
        </w:tblPrEx>
        <w:trPr>
          <w:trHeight w:val="1074" w:hRule="atLeast"/>
        </w:trPr>
        <w:tc>
          <w:tcPr>
            <w:tcW w:w="0" w:type="auto"/>
            <w:tcMar>
              <w:top w:w="150" w:type="dxa"/>
              <w:left w:w="0" w:type="dxa"/>
              <w:bottom w:w="150" w:type="dxa"/>
              <w:right w:w="240" w:type="dxa"/>
            </w:tcMar>
            <w:vAlign w:val="center"/>
          </w:tcPr>
          <w:p w14:paraId="07E0D05E">
            <w:pPr>
              <w:rPr>
                <w:rFonts w:hint="default" w:ascii="Arial" w:hAnsi="Arial" w:cs="Arial"/>
                <w:sz w:val="24"/>
                <w:szCs w:val="24"/>
              </w:rPr>
            </w:pPr>
            <w:r>
              <w:rPr>
                <w:rFonts w:hint="default" w:ascii="Arial" w:hAnsi="Arial" w:cs="Arial"/>
                <w:sz w:val="24"/>
                <w:szCs w:val="24"/>
              </w:rPr>
              <w:t>Educación Particular Pagada</w:t>
            </w:r>
          </w:p>
        </w:tc>
        <w:tc>
          <w:tcPr>
            <w:tcW w:w="0" w:type="auto"/>
            <w:tcMar>
              <w:top w:w="150" w:type="dxa"/>
              <w:left w:w="240" w:type="dxa"/>
              <w:bottom w:w="150" w:type="dxa"/>
              <w:right w:w="240" w:type="dxa"/>
            </w:tcMar>
            <w:vAlign w:val="center"/>
          </w:tcPr>
          <w:p w14:paraId="56A6696F">
            <w:pPr>
              <w:rPr>
                <w:rFonts w:hint="default" w:ascii="Arial" w:hAnsi="Arial" w:cs="Arial"/>
                <w:sz w:val="24"/>
                <w:szCs w:val="24"/>
              </w:rPr>
            </w:pPr>
            <w:r>
              <w:rPr>
                <w:rFonts w:hint="default" w:ascii="Arial" w:hAnsi="Arial" w:cs="Arial"/>
                <w:sz w:val="24"/>
                <w:szCs w:val="24"/>
              </w:rPr>
              <w:t>~700</w:t>
            </w:r>
          </w:p>
        </w:tc>
        <w:tc>
          <w:tcPr>
            <w:tcW w:w="0" w:type="auto"/>
            <w:tcMar>
              <w:top w:w="150" w:type="dxa"/>
              <w:left w:w="240" w:type="dxa"/>
              <w:bottom w:w="150" w:type="dxa"/>
              <w:right w:w="0" w:type="dxa"/>
            </w:tcMar>
            <w:vAlign w:val="center"/>
          </w:tcPr>
          <w:p w14:paraId="4927A582">
            <w:pPr>
              <w:rPr>
                <w:rFonts w:hint="default" w:ascii="Arial" w:hAnsi="Arial" w:cs="Arial"/>
                <w:sz w:val="24"/>
                <w:szCs w:val="24"/>
              </w:rPr>
            </w:pPr>
            <w:r>
              <w:rPr>
                <w:rFonts w:hint="default" w:ascii="Arial" w:hAnsi="Arial" w:cs="Arial"/>
                <w:sz w:val="24"/>
                <w:szCs w:val="24"/>
              </w:rPr>
              <w:t>Mercado más pequeño, con sistemas ya instalados</w:t>
            </w:r>
          </w:p>
        </w:tc>
      </w:tr>
      <w:tr w14:paraId="4D1E2976">
        <w:tblPrEx>
          <w:tblCellMar>
            <w:top w:w="15" w:type="dxa"/>
            <w:left w:w="15" w:type="dxa"/>
            <w:bottom w:w="15" w:type="dxa"/>
            <w:right w:w="15" w:type="dxa"/>
          </w:tblCellMar>
        </w:tblPrEx>
        <w:trPr>
          <w:trHeight w:val="761" w:hRule="atLeast"/>
        </w:trPr>
        <w:tc>
          <w:tcPr>
            <w:tcW w:w="0" w:type="auto"/>
            <w:tcMar>
              <w:top w:w="150" w:type="dxa"/>
              <w:left w:w="0" w:type="dxa"/>
              <w:bottom w:w="150" w:type="dxa"/>
              <w:right w:w="240" w:type="dxa"/>
            </w:tcMar>
            <w:vAlign w:val="center"/>
          </w:tcPr>
          <w:p w14:paraId="14381683">
            <w:pPr>
              <w:rPr>
                <w:rFonts w:hint="default" w:ascii="Arial" w:hAnsi="Arial" w:cs="Arial"/>
                <w:sz w:val="24"/>
                <w:szCs w:val="24"/>
              </w:rPr>
            </w:pPr>
            <w:r>
              <w:rPr>
                <w:rFonts w:hint="default" w:ascii="Arial" w:hAnsi="Arial" w:cs="Arial"/>
                <w:b/>
                <w:bCs/>
                <w:sz w:val="24"/>
                <w:szCs w:val="24"/>
              </w:rPr>
              <w:t>Total Mercado Direccionable</w:t>
            </w:r>
          </w:p>
        </w:tc>
        <w:tc>
          <w:tcPr>
            <w:tcW w:w="0" w:type="auto"/>
            <w:tcMar>
              <w:top w:w="150" w:type="dxa"/>
              <w:left w:w="240" w:type="dxa"/>
              <w:bottom w:w="150" w:type="dxa"/>
              <w:right w:w="240" w:type="dxa"/>
            </w:tcMar>
            <w:vAlign w:val="center"/>
          </w:tcPr>
          <w:p w14:paraId="46C45D2E">
            <w:pPr>
              <w:rPr>
                <w:rFonts w:hint="default" w:ascii="Arial" w:hAnsi="Arial" w:cs="Arial"/>
                <w:sz w:val="24"/>
                <w:szCs w:val="24"/>
              </w:rPr>
            </w:pPr>
            <w:r>
              <w:rPr>
                <w:rFonts w:hint="default" w:ascii="Arial" w:hAnsi="Arial" w:cs="Arial"/>
                <w:b/>
                <w:bCs/>
                <w:sz w:val="24"/>
                <w:szCs w:val="24"/>
              </w:rPr>
              <w:t>~11,800</w:t>
            </w:r>
          </w:p>
        </w:tc>
        <w:tc>
          <w:tcPr>
            <w:tcW w:w="0" w:type="auto"/>
            <w:tcMar>
              <w:top w:w="150" w:type="dxa"/>
              <w:left w:w="240" w:type="dxa"/>
              <w:bottom w:w="150" w:type="dxa"/>
              <w:right w:w="0" w:type="dxa"/>
            </w:tcMar>
            <w:vAlign w:val="center"/>
          </w:tcPr>
          <w:p w14:paraId="76379363">
            <w:pPr>
              <w:rPr>
                <w:rFonts w:hint="default" w:ascii="Arial" w:hAnsi="Arial" w:cs="Arial"/>
                <w:sz w:val="24"/>
                <w:szCs w:val="24"/>
              </w:rPr>
            </w:pPr>
            <w:r>
              <w:rPr>
                <w:rFonts w:hint="default" w:ascii="Arial" w:hAnsi="Arial" w:cs="Arial"/>
                <w:b/>
                <w:bCs/>
                <w:sz w:val="24"/>
                <w:szCs w:val="24"/>
              </w:rPr>
              <w:t>Oportunidad de masificación</w:t>
            </w:r>
          </w:p>
        </w:tc>
      </w:tr>
    </w:tbl>
    <w:p w14:paraId="07261E72">
      <w:pPr>
        <w:pBdr>
          <w:bottom w:val="single" w:color="auto" w:sz="6" w:space="1"/>
        </w:pBdr>
        <w:rPr>
          <w:rFonts w:hint="default" w:ascii="Arial" w:hAnsi="Arial" w:cs="Arial"/>
          <w:sz w:val="24"/>
          <w:szCs w:val="24"/>
        </w:rPr>
      </w:pPr>
    </w:p>
    <w:p w14:paraId="65D4D25D">
      <w:pPr>
        <w:rPr>
          <w:rFonts w:hint="default" w:ascii="Arial" w:hAnsi="Arial" w:cs="Arial"/>
          <w:b/>
          <w:bCs/>
          <w:sz w:val="24"/>
          <w:szCs w:val="24"/>
        </w:rPr>
      </w:pPr>
      <w:r>
        <w:rPr>
          <w:rFonts w:hint="default" w:ascii="Arial" w:hAnsi="Arial" w:cs="Arial"/>
          <w:b/>
          <w:bCs/>
          <w:sz w:val="24"/>
          <w:szCs w:val="24"/>
        </w:rPr>
        <w:t>Análisis Complementario: SLEP, Diferenciación y Competencia</w:t>
      </w:r>
    </w:p>
    <w:p w14:paraId="30973066">
      <w:pPr>
        <w:rPr>
          <w:rFonts w:hint="default" w:ascii="Arial" w:hAnsi="Arial" w:cs="Arial"/>
          <w:sz w:val="24"/>
          <w:szCs w:val="24"/>
        </w:rPr>
      </w:pPr>
      <w:r>
        <w:rPr>
          <w:rFonts w:hint="default" w:ascii="Arial" w:hAnsi="Arial" w:cs="Arial"/>
          <w:sz w:val="24"/>
          <w:szCs w:val="24"/>
        </w:rPr>
        <w:t>Ahora, profundizando en el análisis que me solicitas, te presento una evaluación detallada sobre qué son los SLEP, cómo se diferencian de EduSync, y cuál es el panorama competitivo en Chile.</w:t>
      </w:r>
    </w:p>
    <w:p w14:paraId="33288123">
      <w:pPr>
        <w:rPr>
          <w:rFonts w:hint="default" w:ascii="Arial" w:hAnsi="Arial" w:cs="Arial"/>
          <w:b/>
          <w:bCs/>
          <w:sz w:val="24"/>
          <w:szCs w:val="24"/>
        </w:rPr>
      </w:pPr>
      <w:r>
        <w:rPr>
          <w:rFonts w:hint="default" w:ascii="Arial" w:hAnsi="Arial" w:cs="Arial"/>
          <w:b/>
          <w:bCs/>
          <w:sz w:val="24"/>
          <w:szCs w:val="24"/>
        </w:rPr>
        <w:t>¿Qué son los SLEP?</w:t>
      </w:r>
    </w:p>
    <w:p w14:paraId="33EEEB84">
      <w:pPr>
        <w:rPr>
          <w:rFonts w:hint="default" w:ascii="Arial" w:hAnsi="Arial" w:cs="Arial"/>
          <w:sz w:val="24"/>
          <w:szCs w:val="24"/>
        </w:rPr>
      </w:pPr>
      <w:r>
        <w:rPr>
          <w:rFonts w:hint="default" w:ascii="Arial" w:hAnsi="Arial" w:cs="Arial"/>
          <w:sz w:val="24"/>
          <w:szCs w:val="24"/>
        </w:rPr>
        <w:t>Como bien describes, los </w:t>
      </w:r>
      <w:r>
        <w:rPr>
          <w:rFonts w:hint="default" w:ascii="Arial" w:hAnsi="Arial" w:cs="Arial"/>
          <w:b/>
          <w:bCs/>
          <w:sz w:val="24"/>
          <w:szCs w:val="24"/>
        </w:rPr>
        <w:t>Servicios Locales de Educación Pública (SLEP)</w:t>
      </w:r>
      <w:r>
        <w:rPr>
          <w:rFonts w:hint="default" w:ascii="Arial" w:hAnsi="Arial" w:cs="Arial"/>
          <w:sz w:val="24"/>
          <w:szCs w:val="24"/>
        </w:rPr>
        <w:t> son entidades estatales descentralizadas creadas por la Ley N° 21.040 (Nueva Educación Pública) para reemplazar a las municipalidades como sostenedores de la educación pública en Chile. Su objetivo es profesionalizar la gestión educativa, concentrándose exclusivamente en lo pedagógico y administrativo, sin las distracciones propias de la gestión municipal.</w:t>
      </w:r>
    </w:p>
    <w:p w14:paraId="6FCDEB96">
      <w:pPr>
        <w:rPr>
          <w:rFonts w:hint="default" w:ascii="Arial" w:hAnsi="Arial" w:cs="Arial"/>
          <w:sz w:val="24"/>
          <w:szCs w:val="24"/>
        </w:rPr>
      </w:pPr>
      <w:r>
        <w:rPr>
          <w:rFonts w:hint="default" w:ascii="Arial" w:hAnsi="Arial" w:cs="Arial"/>
          <w:b/>
          <w:bCs/>
          <w:sz w:val="24"/>
          <w:szCs w:val="24"/>
        </w:rPr>
        <w:t>Funciones clave de un SLEP:</w:t>
      </w:r>
    </w:p>
    <w:p w14:paraId="49D3C204">
      <w:pPr>
        <w:numPr>
          <w:ilvl w:val="0"/>
          <w:numId w:val="1"/>
        </w:numPr>
        <w:rPr>
          <w:rFonts w:hint="default" w:ascii="Arial" w:hAnsi="Arial" w:cs="Arial"/>
          <w:sz w:val="24"/>
          <w:szCs w:val="24"/>
        </w:rPr>
      </w:pPr>
      <w:r>
        <w:rPr>
          <w:rFonts w:hint="default" w:ascii="Arial" w:hAnsi="Arial" w:cs="Arial"/>
          <w:sz w:val="24"/>
          <w:szCs w:val="24"/>
        </w:rPr>
        <w:t>Administrar establecimientos educacionales (escuelas y liceos públicos)</w:t>
      </w:r>
    </w:p>
    <w:p w14:paraId="5BC6FC47">
      <w:pPr>
        <w:numPr>
          <w:ilvl w:val="0"/>
          <w:numId w:val="1"/>
        </w:numPr>
        <w:rPr>
          <w:rFonts w:hint="default" w:ascii="Arial" w:hAnsi="Arial" w:cs="Arial"/>
          <w:sz w:val="24"/>
          <w:szCs w:val="24"/>
        </w:rPr>
      </w:pPr>
      <w:r>
        <w:rPr>
          <w:rFonts w:hint="default" w:ascii="Arial" w:hAnsi="Arial" w:cs="Arial"/>
          <w:sz w:val="24"/>
          <w:szCs w:val="24"/>
        </w:rPr>
        <w:t>Gestionar recursos humanos (docentes y asistentes)</w:t>
      </w:r>
    </w:p>
    <w:p w14:paraId="7BC90E0D">
      <w:pPr>
        <w:numPr>
          <w:ilvl w:val="0"/>
          <w:numId w:val="1"/>
        </w:numPr>
        <w:rPr>
          <w:rFonts w:hint="default" w:ascii="Arial" w:hAnsi="Arial" w:cs="Arial"/>
          <w:sz w:val="24"/>
          <w:szCs w:val="24"/>
        </w:rPr>
      </w:pPr>
      <w:r>
        <w:rPr>
          <w:rFonts w:hint="default" w:ascii="Arial" w:hAnsi="Arial" w:cs="Arial"/>
          <w:sz w:val="24"/>
          <w:szCs w:val="24"/>
        </w:rPr>
        <w:t>Coordinar apoyo técnico-pedagógico</w:t>
      </w:r>
    </w:p>
    <w:p w14:paraId="6B2CF5E4">
      <w:pPr>
        <w:numPr>
          <w:ilvl w:val="0"/>
          <w:numId w:val="1"/>
        </w:numPr>
        <w:rPr>
          <w:rFonts w:hint="default" w:ascii="Arial" w:hAnsi="Arial" w:cs="Arial"/>
          <w:sz w:val="24"/>
          <w:szCs w:val="24"/>
        </w:rPr>
      </w:pPr>
      <w:r>
        <w:rPr>
          <w:rFonts w:hint="default" w:ascii="Arial" w:hAnsi="Arial" w:cs="Arial"/>
          <w:sz w:val="24"/>
          <w:szCs w:val="24"/>
        </w:rPr>
        <w:t>Supervisar y monitorear resultados educativos</w:t>
      </w:r>
    </w:p>
    <w:p w14:paraId="36E21EB2">
      <w:pPr>
        <w:numPr>
          <w:ilvl w:val="0"/>
          <w:numId w:val="1"/>
        </w:numPr>
        <w:rPr>
          <w:rFonts w:hint="default" w:ascii="Arial" w:hAnsi="Arial" w:cs="Arial"/>
          <w:sz w:val="24"/>
          <w:szCs w:val="24"/>
        </w:rPr>
      </w:pPr>
      <w:r>
        <w:rPr>
          <w:rFonts w:hint="default" w:ascii="Arial" w:hAnsi="Arial" w:cs="Arial"/>
          <w:sz w:val="24"/>
          <w:szCs w:val="24"/>
        </w:rPr>
        <w:t>Gestionar infraestructura y equipamiento</w:t>
      </w:r>
    </w:p>
    <w:p w14:paraId="1BC057AD">
      <w:pPr>
        <w:rPr>
          <w:rFonts w:hint="default" w:ascii="Arial" w:hAnsi="Arial" w:cs="Arial"/>
          <w:sz w:val="24"/>
          <w:szCs w:val="24"/>
        </w:rPr>
      </w:pPr>
      <w:r>
        <w:rPr>
          <w:rFonts w:hint="default" w:ascii="Arial" w:hAnsi="Arial" w:cs="Arial"/>
          <w:sz w:val="24"/>
          <w:szCs w:val="24"/>
        </w:rPr>
        <w:pict>
          <v:rect id="_x0000_i1025" o:spt="1" style="height:0.75pt;width:0pt;" fillcolor="#A0A0A0" filled="t" stroked="f" coordsize="21600,21600" o:hr="t" o:hrstd="t" o:hralign="center">
            <v:path/>
            <v:fill on="t" focussize="0,0"/>
            <v:stroke on="f"/>
            <v:imagedata o:title=""/>
            <o:lock v:ext="edit"/>
            <w10:wrap type="none"/>
            <w10:anchorlock/>
          </v:rect>
        </w:pict>
      </w:r>
    </w:p>
    <w:p w14:paraId="3CF0467D">
      <w:pPr>
        <w:rPr>
          <w:rFonts w:hint="default" w:ascii="Arial" w:hAnsi="Arial" w:cs="Arial"/>
          <w:b/>
          <w:bCs/>
          <w:sz w:val="24"/>
          <w:szCs w:val="24"/>
        </w:rPr>
      </w:pPr>
      <w:r>
        <w:rPr>
          <w:rFonts w:hint="default" w:ascii="Arial" w:hAnsi="Arial" w:cs="Arial"/>
          <w:b/>
          <w:bCs/>
          <w:sz w:val="24"/>
          <w:szCs w:val="24"/>
        </w:rPr>
        <w:t>Análisis de Diferenciación: EduSync vs. SLEP</w:t>
      </w:r>
    </w:p>
    <w:p w14:paraId="68CCFD8D">
      <w:pPr>
        <w:rPr>
          <w:rFonts w:hint="default" w:ascii="Arial" w:hAnsi="Arial" w:cs="Arial"/>
          <w:sz w:val="24"/>
          <w:szCs w:val="24"/>
        </w:rPr>
      </w:pPr>
      <w:r>
        <w:rPr>
          <w:rFonts w:hint="default" w:ascii="Arial" w:hAnsi="Arial" w:cs="Arial"/>
          <w:sz w:val="24"/>
          <w:szCs w:val="24"/>
        </w:rPr>
        <w:t>Es crucial entender que </w:t>
      </w:r>
      <w:r>
        <w:rPr>
          <w:rFonts w:hint="default" w:ascii="Arial" w:hAnsi="Arial" w:cs="Arial"/>
          <w:b/>
          <w:bCs/>
          <w:sz w:val="24"/>
          <w:szCs w:val="24"/>
        </w:rPr>
        <w:t>los SLEP no son competencia directa de EduSync</w:t>
      </w:r>
      <w:r>
        <w:rPr>
          <w:rFonts w:hint="default" w:ascii="Arial" w:hAnsi="Arial" w:cs="Arial"/>
          <w:sz w:val="24"/>
          <w:szCs w:val="24"/>
        </w:rPr>
        <w:t>. Más bien, representan el </w:t>
      </w:r>
      <w:r>
        <w:rPr>
          <w:rFonts w:hint="default" w:ascii="Arial" w:hAnsi="Arial" w:cs="Arial"/>
          <w:b/>
          <w:bCs/>
          <w:sz w:val="24"/>
          <w:szCs w:val="24"/>
        </w:rPr>
        <w:t>cliente institucional potencial</w:t>
      </w:r>
      <w:r>
        <w:rPr>
          <w:rFonts w:hint="default" w:ascii="Arial" w:hAnsi="Arial" w:cs="Arial"/>
          <w:sz w:val="24"/>
          <w:szCs w:val="24"/>
        </w:rPr>
        <w:t> que podría adoptar nuestra plataforma. La relación es de </w:t>
      </w:r>
      <w:r>
        <w:rPr>
          <w:rFonts w:hint="default" w:ascii="Arial" w:hAnsi="Arial" w:cs="Arial"/>
          <w:b/>
          <w:bCs/>
          <w:sz w:val="24"/>
          <w:szCs w:val="24"/>
        </w:rPr>
        <w:t>complementariedad</w:t>
      </w:r>
      <w:r>
        <w:rPr>
          <w:rFonts w:hint="default" w:ascii="Arial" w:hAnsi="Arial" w:cs="Arial"/>
          <w:sz w:val="24"/>
          <w:szCs w:val="24"/>
        </w:rPr>
        <w:t>, no de competencia.</w:t>
      </w:r>
    </w:p>
    <w:tbl>
      <w:tblPr>
        <w:tblStyle w:val="12"/>
        <w:tblW w:w="8519" w:type="dxa"/>
        <w:tblInd w:w="0" w:type="dxa"/>
        <w:tblLayout w:type="autofit"/>
        <w:tblCellMar>
          <w:top w:w="15" w:type="dxa"/>
          <w:left w:w="15" w:type="dxa"/>
          <w:bottom w:w="15" w:type="dxa"/>
          <w:right w:w="15" w:type="dxa"/>
        </w:tblCellMar>
      </w:tblPr>
      <w:tblGrid>
        <w:gridCol w:w="1490"/>
        <w:gridCol w:w="3157"/>
        <w:gridCol w:w="3872"/>
      </w:tblGrid>
      <w:tr w14:paraId="3C42C5E8">
        <w:tblPrEx>
          <w:tblCellMar>
            <w:top w:w="15" w:type="dxa"/>
            <w:left w:w="15" w:type="dxa"/>
            <w:bottom w:w="15" w:type="dxa"/>
            <w:right w:w="15" w:type="dxa"/>
          </w:tblCellMar>
        </w:tblPrEx>
        <w:trPr>
          <w:trHeight w:val="756" w:hRule="atLeast"/>
          <w:tblHeader/>
        </w:trPr>
        <w:tc>
          <w:tcPr>
            <w:tcW w:w="0" w:type="auto"/>
            <w:tcBorders>
              <w:top w:val="nil"/>
            </w:tcBorders>
            <w:tcMar>
              <w:top w:w="150" w:type="dxa"/>
              <w:left w:w="0" w:type="dxa"/>
              <w:bottom w:w="150" w:type="dxa"/>
              <w:right w:w="240" w:type="dxa"/>
            </w:tcMar>
            <w:vAlign w:val="center"/>
          </w:tcPr>
          <w:p w14:paraId="1B2809C1">
            <w:pPr>
              <w:rPr>
                <w:rFonts w:hint="default" w:ascii="Arial" w:hAnsi="Arial" w:cs="Arial"/>
                <w:sz w:val="24"/>
                <w:szCs w:val="24"/>
              </w:rPr>
            </w:pPr>
            <w:r>
              <w:rPr>
                <w:rFonts w:hint="default" w:ascii="Arial" w:hAnsi="Arial" w:cs="Arial"/>
                <w:sz w:val="24"/>
                <w:szCs w:val="24"/>
              </w:rPr>
              <w:t>Dimensión</w:t>
            </w:r>
          </w:p>
        </w:tc>
        <w:tc>
          <w:tcPr>
            <w:tcW w:w="0" w:type="auto"/>
            <w:tcBorders>
              <w:top w:val="nil"/>
            </w:tcBorders>
            <w:tcMar>
              <w:top w:w="150" w:type="dxa"/>
              <w:left w:w="240" w:type="dxa"/>
              <w:bottom w:w="150" w:type="dxa"/>
              <w:right w:w="240" w:type="dxa"/>
            </w:tcMar>
            <w:vAlign w:val="center"/>
          </w:tcPr>
          <w:p w14:paraId="6A0AEA6E">
            <w:pPr>
              <w:rPr>
                <w:rFonts w:hint="default" w:ascii="Arial" w:hAnsi="Arial" w:cs="Arial"/>
                <w:sz w:val="24"/>
                <w:szCs w:val="24"/>
              </w:rPr>
            </w:pPr>
            <w:r>
              <w:rPr>
                <w:rFonts w:hint="default" w:ascii="Arial" w:hAnsi="Arial" w:cs="Arial"/>
                <w:b/>
                <w:bCs/>
                <w:sz w:val="24"/>
                <w:szCs w:val="24"/>
              </w:rPr>
              <w:t>SLEP (como institución)</w:t>
            </w:r>
          </w:p>
        </w:tc>
        <w:tc>
          <w:tcPr>
            <w:tcW w:w="0" w:type="auto"/>
            <w:tcBorders>
              <w:top w:val="nil"/>
            </w:tcBorders>
            <w:tcMar>
              <w:top w:w="150" w:type="dxa"/>
              <w:left w:w="240" w:type="dxa"/>
              <w:bottom w:w="150" w:type="dxa"/>
              <w:right w:w="240" w:type="dxa"/>
            </w:tcMar>
            <w:vAlign w:val="center"/>
          </w:tcPr>
          <w:p w14:paraId="3FD07C71">
            <w:pPr>
              <w:rPr>
                <w:rFonts w:hint="default" w:ascii="Arial" w:hAnsi="Arial" w:cs="Arial"/>
                <w:sz w:val="24"/>
                <w:szCs w:val="24"/>
              </w:rPr>
            </w:pPr>
            <w:r>
              <w:rPr>
                <w:rFonts w:hint="default" w:ascii="Arial" w:hAnsi="Arial" w:cs="Arial"/>
                <w:b/>
                <w:bCs/>
                <w:sz w:val="24"/>
                <w:szCs w:val="24"/>
              </w:rPr>
              <w:t>EduSync (nuestro proyecto)</w:t>
            </w:r>
          </w:p>
        </w:tc>
      </w:tr>
      <w:tr w14:paraId="77639709">
        <w:tblPrEx>
          <w:tblCellMar>
            <w:top w:w="15" w:type="dxa"/>
            <w:left w:w="15" w:type="dxa"/>
            <w:bottom w:w="15" w:type="dxa"/>
            <w:right w:w="15" w:type="dxa"/>
          </w:tblCellMar>
        </w:tblPrEx>
        <w:trPr>
          <w:trHeight w:val="756" w:hRule="atLeast"/>
        </w:trPr>
        <w:tc>
          <w:tcPr>
            <w:tcW w:w="0" w:type="auto"/>
            <w:tcMar>
              <w:top w:w="150" w:type="dxa"/>
              <w:left w:w="0" w:type="dxa"/>
              <w:bottom w:w="150" w:type="dxa"/>
              <w:right w:w="240" w:type="dxa"/>
            </w:tcMar>
            <w:vAlign w:val="center"/>
          </w:tcPr>
          <w:p w14:paraId="68AF1A5D">
            <w:pPr>
              <w:rPr>
                <w:rFonts w:hint="default" w:ascii="Arial" w:hAnsi="Arial" w:cs="Arial"/>
                <w:sz w:val="24"/>
                <w:szCs w:val="24"/>
              </w:rPr>
            </w:pPr>
            <w:r>
              <w:rPr>
                <w:rFonts w:hint="default" w:ascii="Arial" w:hAnsi="Arial" w:cs="Arial"/>
                <w:b/>
                <w:bCs/>
                <w:sz w:val="24"/>
                <w:szCs w:val="24"/>
              </w:rPr>
              <w:t>Naturaleza</w:t>
            </w:r>
          </w:p>
        </w:tc>
        <w:tc>
          <w:tcPr>
            <w:tcW w:w="0" w:type="auto"/>
            <w:tcMar>
              <w:top w:w="150" w:type="dxa"/>
              <w:left w:w="240" w:type="dxa"/>
              <w:bottom w:w="150" w:type="dxa"/>
              <w:right w:w="240" w:type="dxa"/>
            </w:tcMar>
            <w:vAlign w:val="center"/>
          </w:tcPr>
          <w:p w14:paraId="20934DC2">
            <w:pPr>
              <w:rPr>
                <w:rFonts w:hint="default" w:ascii="Arial" w:hAnsi="Arial" w:cs="Arial"/>
                <w:sz w:val="24"/>
                <w:szCs w:val="24"/>
              </w:rPr>
            </w:pPr>
            <w:r>
              <w:rPr>
                <w:rFonts w:hint="default" w:ascii="Arial" w:hAnsi="Arial" w:cs="Arial"/>
                <w:sz w:val="24"/>
                <w:szCs w:val="24"/>
              </w:rPr>
              <w:t>Entidad pública administrativa</w:t>
            </w:r>
          </w:p>
        </w:tc>
        <w:tc>
          <w:tcPr>
            <w:tcW w:w="0" w:type="auto"/>
            <w:tcMar>
              <w:top w:w="150" w:type="dxa"/>
              <w:left w:w="240" w:type="dxa"/>
              <w:bottom w:w="150" w:type="dxa"/>
              <w:right w:w="0" w:type="dxa"/>
            </w:tcMar>
            <w:vAlign w:val="center"/>
          </w:tcPr>
          <w:p w14:paraId="4E1ADB80">
            <w:pPr>
              <w:rPr>
                <w:rFonts w:hint="default" w:ascii="Arial" w:hAnsi="Arial" w:cs="Arial"/>
                <w:sz w:val="24"/>
                <w:szCs w:val="24"/>
              </w:rPr>
            </w:pPr>
            <w:r>
              <w:rPr>
                <w:rFonts w:hint="default" w:ascii="Arial" w:hAnsi="Arial" w:cs="Arial"/>
                <w:sz w:val="24"/>
                <w:szCs w:val="24"/>
              </w:rPr>
              <w:t>Solución tecnológica de software</w:t>
            </w:r>
          </w:p>
        </w:tc>
      </w:tr>
      <w:tr w14:paraId="2AF0542F">
        <w:tblPrEx>
          <w:tblCellMar>
            <w:top w:w="15" w:type="dxa"/>
            <w:left w:w="15" w:type="dxa"/>
            <w:bottom w:w="15" w:type="dxa"/>
            <w:right w:w="15" w:type="dxa"/>
          </w:tblCellMar>
        </w:tblPrEx>
        <w:trPr>
          <w:trHeight w:val="756" w:hRule="atLeast"/>
        </w:trPr>
        <w:tc>
          <w:tcPr>
            <w:tcW w:w="0" w:type="auto"/>
            <w:tcMar>
              <w:top w:w="150" w:type="dxa"/>
              <w:left w:w="0" w:type="dxa"/>
              <w:bottom w:w="150" w:type="dxa"/>
              <w:right w:w="240" w:type="dxa"/>
            </w:tcMar>
            <w:vAlign w:val="center"/>
          </w:tcPr>
          <w:p w14:paraId="42A636CB">
            <w:pPr>
              <w:rPr>
                <w:rFonts w:hint="default" w:ascii="Arial" w:hAnsi="Arial" w:cs="Arial"/>
                <w:sz w:val="24"/>
                <w:szCs w:val="24"/>
              </w:rPr>
            </w:pPr>
            <w:r>
              <w:rPr>
                <w:rFonts w:hint="default" w:ascii="Arial" w:hAnsi="Arial" w:cs="Arial"/>
                <w:b/>
                <w:bCs/>
                <w:sz w:val="24"/>
                <w:szCs w:val="24"/>
              </w:rPr>
              <w:t>Rol</w:t>
            </w:r>
          </w:p>
        </w:tc>
        <w:tc>
          <w:tcPr>
            <w:tcW w:w="0" w:type="auto"/>
            <w:tcMar>
              <w:top w:w="150" w:type="dxa"/>
              <w:left w:w="240" w:type="dxa"/>
              <w:bottom w:w="150" w:type="dxa"/>
              <w:right w:w="240" w:type="dxa"/>
            </w:tcMar>
            <w:vAlign w:val="center"/>
          </w:tcPr>
          <w:p w14:paraId="7D90F3C4">
            <w:pPr>
              <w:rPr>
                <w:rFonts w:hint="default" w:ascii="Arial" w:hAnsi="Arial" w:cs="Arial"/>
                <w:sz w:val="24"/>
                <w:szCs w:val="24"/>
              </w:rPr>
            </w:pPr>
            <w:r>
              <w:rPr>
                <w:rFonts w:hint="default" w:ascii="Arial" w:hAnsi="Arial" w:cs="Arial"/>
                <w:sz w:val="24"/>
                <w:szCs w:val="24"/>
              </w:rPr>
              <w:t>Sostenedor y gestor educativo</w:t>
            </w:r>
          </w:p>
        </w:tc>
        <w:tc>
          <w:tcPr>
            <w:tcW w:w="0" w:type="auto"/>
            <w:tcMar>
              <w:top w:w="150" w:type="dxa"/>
              <w:left w:w="240" w:type="dxa"/>
              <w:bottom w:w="150" w:type="dxa"/>
              <w:right w:w="0" w:type="dxa"/>
            </w:tcMar>
            <w:vAlign w:val="center"/>
          </w:tcPr>
          <w:p w14:paraId="3CE4A73B">
            <w:pPr>
              <w:rPr>
                <w:rFonts w:hint="default" w:ascii="Arial" w:hAnsi="Arial" w:cs="Arial"/>
                <w:sz w:val="24"/>
                <w:szCs w:val="24"/>
              </w:rPr>
            </w:pPr>
            <w:r>
              <w:rPr>
                <w:rFonts w:hint="default" w:ascii="Arial" w:hAnsi="Arial" w:cs="Arial"/>
                <w:sz w:val="24"/>
                <w:szCs w:val="24"/>
              </w:rPr>
              <w:t>Herramienta digital para la gestión</w:t>
            </w:r>
          </w:p>
        </w:tc>
      </w:tr>
      <w:tr w14:paraId="5394F1FE">
        <w:tblPrEx>
          <w:tblCellMar>
            <w:top w:w="15" w:type="dxa"/>
            <w:left w:w="15" w:type="dxa"/>
            <w:bottom w:w="15" w:type="dxa"/>
            <w:right w:w="15" w:type="dxa"/>
          </w:tblCellMar>
        </w:tblPrEx>
        <w:trPr>
          <w:trHeight w:val="1067" w:hRule="atLeast"/>
        </w:trPr>
        <w:tc>
          <w:tcPr>
            <w:tcW w:w="0" w:type="auto"/>
            <w:tcMar>
              <w:top w:w="150" w:type="dxa"/>
              <w:left w:w="0" w:type="dxa"/>
              <w:bottom w:w="150" w:type="dxa"/>
              <w:right w:w="240" w:type="dxa"/>
            </w:tcMar>
            <w:vAlign w:val="center"/>
          </w:tcPr>
          <w:p w14:paraId="60DA4911">
            <w:pPr>
              <w:rPr>
                <w:rFonts w:hint="default" w:ascii="Arial" w:hAnsi="Arial" w:cs="Arial"/>
                <w:sz w:val="24"/>
                <w:szCs w:val="24"/>
              </w:rPr>
            </w:pPr>
            <w:r>
              <w:rPr>
                <w:rFonts w:hint="default" w:ascii="Arial" w:hAnsi="Arial" w:cs="Arial"/>
                <w:b/>
                <w:bCs/>
                <w:sz w:val="24"/>
                <w:szCs w:val="24"/>
              </w:rPr>
              <w:t>Qué ofrece</w:t>
            </w:r>
          </w:p>
        </w:tc>
        <w:tc>
          <w:tcPr>
            <w:tcW w:w="0" w:type="auto"/>
            <w:tcMar>
              <w:top w:w="150" w:type="dxa"/>
              <w:left w:w="240" w:type="dxa"/>
              <w:bottom w:w="150" w:type="dxa"/>
              <w:right w:w="240" w:type="dxa"/>
            </w:tcMar>
            <w:vAlign w:val="center"/>
          </w:tcPr>
          <w:p w14:paraId="313201A5">
            <w:pPr>
              <w:rPr>
                <w:rFonts w:hint="default" w:ascii="Arial" w:hAnsi="Arial" w:cs="Arial"/>
                <w:sz w:val="24"/>
                <w:szCs w:val="24"/>
              </w:rPr>
            </w:pPr>
            <w:r>
              <w:rPr>
                <w:rFonts w:hint="default" w:ascii="Arial" w:hAnsi="Arial" w:cs="Arial"/>
                <w:sz w:val="24"/>
                <w:szCs w:val="24"/>
              </w:rPr>
              <w:t>Marco regulatorio, recursos humanos, financiamiento</w:t>
            </w:r>
          </w:p>
        </w:tc>
        <w:tc>
          <w:tcPr>
            <w:tcW w:w="0" w:type="auto"/>
            <w:tcMar>
              <w:top w:w="150" w:type="dxa"/>
              <w:left w:w="240" w:type="dxa"/>
              <w:bottom w:w="150" w:type="dxa"/>
              <w:right w:w="0" w:type="dxa"/>
            </w:tcMar>
            <w:vAlign w:val="center"/>
          </w:tcPr>
          <w:p w14:paraId="6675E311">
            <w:pPr>
              <w:rPr>
                <w:rFonts w:hint="default" w:ascii="Arial" w:hAnsi="Arial" w:cs="Arial"/>
                <w:sz w:val="24"/>
                <w:szCs w:val="24"/>
              </w:rPr>
            </w:pPr>
            <w:r>
              <w:rPr>
                <w:rFonts w:hint="default" w:ascii="Arial" w:hAnsi="Arial" w:cs="Arial"/>
                <w:sz w:val="24"/>
                <w:szCs w:val="24"/>
              </w:rPr>
              <w:t>Plataforma web para digitalizar libro de clases, asistencia, notas, comunicaciones</w:t>
            </w:r>
          </w:p>
        </w:tc>
      </w:tr>
      <w:tr w14:paraId="0434EA49">
        <w:tblPrEx>
          <w:tblCellMar>
            <w:top w:w="15" w:type="dxa"/>
            <w:left w:w="15" w:type="dxa"/>
            <w:bottom w:w="15" w:type="dxa"/>
            <w:right w:w="15" w:type="dxa"/>
          </w:tblCellMar>
        </w:tblPrEx>
        <w:trPr>
          <w:trHeight w:val="1067" w:hRule="atLeast"/>
        </w:trPr>
        <w:tc>
          <w:tcPr>
            <w:tcW w:w="0" w:type="auto"/>
            <w:tcMar>
              <w:top w:w="150" w:type="dxa"/>
              <w:left w:w="0" w:type="dxa"/>
              <w:bottom w:w="150" w:type="dxa"/>
              <w:right w:w="240" w:type="dxa"/>
            </w:tcMar>
            <w:vAlign w:val="center"/>
          </w:tcPr>
          <w:p w14:paraId="14148FEB">
            <w:pPr>
              <w:rPr>
                <w:rFonts w:hint="default" w:ascii="Arial" w:hAnsi="Arial" w:cs="Arial"/>
                <w:sz w:val="24"/>
                <w:szCs w:val="24"/>
              </w:rPr>
            </w:pPr>
            <w:r>
              <w:rPr>
                <w:rFonts w:hint="default" w:ascii="Arial" w:hAnsi="Arial" w:cs="Arial"/>
                <w:b/>
                <w:bCs/>
                <w:sz w:val="24"/>
                <w:szCs w:val="24"/>
              </w:rPr>
              <w:t>Enfoque</w:t>
            </w:r>
          </w:p>
        </w:tc>
        <w:tc>
          <w:tcPr>
            <w:tcW w:w="0" w:type="auto"/>
            <w:tcMar>
              <w:top w:w="150" w:type="dxa"/>
              <w:left w:w="240" w:type="dxa"/>
              <w:bottom w:w="150" w:type="dxa"/>
              <w:right w:w="240" w:type="dxa"/>
            </w:tcMar>
            <w:vAlign w:val="center"/>
          </w:tcPr>
          <w:p w14:paraId="73E1DA66">
            <w:pPr>
              <w:rPr>
                <w:rFonts w:hint="default" w:ascii="Arial" w:hAnsi="Arial" w:cs="Arial"/>
                <w:sz w:val="24"/>
                <w:szCs w:val="24"/>
              </w:rPr>
            </w:pPr>
            <w:r>
              <w:rPr>
                <w:rFonts w:hint="default" w:ascii="Arial" w:hAnsi="Arial" w:cs="Arial"/>
                <w:sz w:val="24"/>
                <w:szCs w:val="24"/>
              </w:rPr>
              <w:t>Política educativa y administración regional</w:t>
            </w:r>
          </w:p>
        </w:tc>
        <w:tc>
          <w:tcPr>
            <w:tcW w:w="0" w:type="auto"/>
            <w:tcMar>
              <w:top w:w="150" w:type="dxa"/>
              <w:left w:w="240" w:type="dxa"/>
              <w:bottom w:w="150" w:type="dxa"/>
              <w:right w:w="0" w:type="dxa"/>
            </w:tcMar>
            <w:vAlign w:val="center"/>
          </w:tcPr>
          <w:p w14:paraId="3A846574">
            <w:pPr>
              <w:rPr>
                <w:rFonts w:hint="default" w:ascii="Arial" w:hAnsi="Arial" w:cs="Arial"/>
                <w:sz w:val="24"/>
                <w:szCs w:val="24"/>
              </w:rPr>
            </w:pPr>
            <w:r>
              <w:rPr>
                <w:rFonts w:hint="default" w:ascii="Arial" w:hAnsi="Arial" w:cs="Arial"/>
                <w:sz w:val="24"/>
                <w:szCs w:val="24"/>
              </w:rPr>
              <w:t>Herramienta operativa para el aula y la gestión diaria</w:t>
            </w:r>
          </w:p>
        </w:tc>
      </w:tr>
      <w:tr w14:paraId="11275B35">
        <w:tblPrEx>
          <w:tblCellMar>
            <w:top w:w="15" w:type="dxa"/>
            <w:left w:w="15" w:type="dxa"/>
            <w:bottom w:w="15" w:type="dxa"/>
            <w:right w:w="15" w:type="dxa"/>
          </w:tblCellMar>
        </w:tblPrEx>
        <w:trPr>
          <w:trHeight w:val="1067" w:hRule="atLeast"/>
        </w:trPr>
        <w:tc>
          <w:tcPr>
            <w:tcW w:w="0" w:type="auto"/>
            <w:tcMar>
              <w:top w:w="150" w:type="dxa"/>
              <w:left w:w="0" w:type="dxa"/>
              <w:bottom w:w="150" w:type="dxa"/>
              <w:right w:w="240" w:type="dxa"/>
            </w:tcMar>
            <w:vAlign w:val="center"/>
          </w:tcPr>
          <w:p w14:paraId="7D0CAF82">
            <w:pPr>
              <w:rPr>
                <w:rFonts w:hint="default" w:ascii="Arial" w:hAnsi="Arial" w:cs="Arial"/>
                <w:sz w:val="24"/>
                <w:szCs w:val="24"/>
              </w:rPr>
            </w:pPr>
            <w:r>
              <w:rPr>
                <w:rFonts w:hint="default" w:ascii="Arial" w:hAnsi="Arial" w:cs="Arial"/>
                <w:b/>
                <w:bCs/>
                <w:sz w:val="24"/>
                <w:szCs w:val="24"/>
              </w:rPr>
              <w:t>Tecnología</w:t>
            </w:r>
          </w:p>
        </w:tc>
        <w:tc>
          <w:tcPr>
            <w:tcW w:w="0" w:type="auto"/>
            <w:tcMar>
              <w:top w:w="150" w:type="dxa"/>
              <w:left w:w="240" w:type="dxa"/>
              <w:bottom w:w="150" w:type="dxa"/>
              <w:right w:w="240" w:type="dxa"/>
            </w:tcMar>
            <w:vAlign w:val="center"/>
          </w:tcPr>
          <w:p w14:paraId="6AB608E2">
            <w:pPr>
              <w:rPr>
                <w:rFonts w:hint="default" w:ascii="Arial" w:hAnsi="Arial" w:cs="Arial"/>
                <w:sz w:val="24"/>
                <w:szCs w:val="24"/>
              </w:rPr>
            </w:pPr>
            <w:r>
              <w:rPr>
                <w:rFonts w:hint="default" w:ascii="Arial" w:hAnsi="Arial" w:cs="Arial"/>
                <w:sz w:val="24"/>
                <w:szCs w:val="24"/>
              </w:rPr>
              <w:t>Define estándares, no desarrolla software</w:t>
            </w:r>
          </w:p>
        </w:tc>
        <w:tc>
          <w:tcPr>
            <w:tcW w:w="0" w:type="auto"/>
            <w:tcMar>
              <w:top w:w="150" w:type="dxa"/>
              <w:left w:w="240" w:type="dxa"/>
              <w:bottom w:w="150" w:type="dxa"/>
              <w:right w:w="0" w:type="dxa"/>
            </w:tcMar>
            <w:vAlign w:val="center"/>
          </w:tcPr>
          <w:p w14:paraId="647FAD47">
            <w:pPr>
              <w:rPr>
                <w:rFonts w:hint="default" w:ascii="Arial" w:hAnsi="Arial" w:cs="Arial"/>
                <w:sz w:val="24"/>
                <w:szCs w:val="24"/>
              </w:rPr>
            </w:pPr>
            <w:r>
              <w:rPr>
                <w:rFonts w:hint="default" w:ascii="Arial" w:hAnsi="Arial" w:cs="Arial"/>
                <w:sz w:val="24"/>
                <w:szCs w:val="24"/>
              </w:rPr>
              <w:t>Desarrolla e implementa la solución tecnológica</w:t>
            </w:r>
          </w:p>
        </w:tc>
      </w:tr>
    </w:tbl>
    <w:p w14:paraId="2DE2AEA3">
      <w:pPr>
        <w:rPr>
          <w:rFonts w:hint="default" w:ascii="Arial" w:hAnsi="Arial" w:cs="Arial"/>
          <w:sz w:val="24"/>
          <w:szCs w:val="24"/>
        </w:rPr>
      </w:pPr>
      <w:r>
        <w:rPr>
          <w:rFonts w:hint="default" w:ascii="Arial" w:hAnsi="Arial" w:cs="Arial"/>
          <w:b/>
          <w:bCs/>
          <w:sz w:val="24"/>
          <w:szCs w:val="24"/>
        </w:rPr>
        <w:t>Conclusión:</w:t>
      </w:r>
      <w:r>
        <w:rPr>
          <w:rFonts w:hint="default" w:ascii="Arial" w:hAnsi="Arial" w:cs="Arial"/>
          <w:sz w:val="24"/>
          <w:szCs w:val="24"/>
        </w:rPr>
        <w:t> Un SLEP no "hace" lo que EduSync hace. Un SLEP </w:t>
      </w:r>
      <w:r>
        <w:rPr>
          <w:rFonts w:hint="default" w:ascii="Arial" w:hAnsi="Arial" w:cs="Arial"/>
          <w:b/>
          <w:bCs/>
          <w:sz w:val="24"/>
          <w:szCs w:val="24"/>
        </w:rPr>
        <w:t>necesita</w:t>
      </w:r>
      <w:r>
        <w:rPr>
          <w:rFonts w:hint="default" w:ascii="Arial" w:hAnsi="Arial" w:cs="Arial"/>
          <w:sz w:val="24"/>
          <w:szCs w:val="24"/>
        </w:rPr>
        <w:t> herramientas como EduSync para cumplir sus funciones de supervisión y monitoreo. Somos un </w:t>
      </w:r>
      <w:r>
        <w:rPr>
          <w:rFonts w:hint="default" w:ascii="Arial" w:hAnsi="Arial" w:cs="Arial"/>
          <w:b/>
          <w:bCs/>
          <w:sz w:val="24"/>
          <w:szCs w:val="24"/>
        </w:rPr>
        <w:t>habilitador tecnológico</w:t>
      </w:r>
      <w:r>
        <w:rPr>
          <w:rFonts w:hint="default" w:ascii="Arial" w:hAnsi="Arial" w:cs="Arial"/>
          <w:sz w:val="24"/>
          <w:szCs w:val="24"/>
        </w:rPr>
        <w:t> para su misión.</w:t>
      </w:r>
    </w:p>
    <w:p w14:paraId="6C526766">
      <w:pPr>
        <w:rPr>
          <w:rFonts w:hint="default" w:ascii="Arial" w:hAnsi="Arial" w:cs="Arial"/>
          <w:sz w:val="24"/>
          <w:szCs w:val="24"/>
        </w:rPr>
      </w:pPr>
      <w:r>
        <w:rPr>
          <w:rFonts w:hint="default" w:ascii="Arial" w:hAnsi="Arial" w:cs="Arial"/>
          <w:sz w:val="24"/>
          <w:szCs w:val="24"/>
        </w:rPr>
        <w:pict>
          <v:rect id="_x0000_i1026" o:spt="1" style="height:0.75pt;width:0pt;" fillcolor="#A0A0A0" filled="t" stroked="f" coordsize="21600,21600" o:hr="t" o:hrstd="t" o:hralign="center">
            <v:path/>
            <v:fill on="t" focussize="0,0"/>
            <v:stroke on="f"/>
            <v:imagedata o:title=""/>
            <o:lock v:ext="edit"/>
            <w10:wrap type="none"/>
            <w10:anchorlock/>
          </v:rect>
        </w:pict>
      </w:r>
    </w:p>
    <w:p w14:paraId="30559922">
      <w:pPr>
        <w:rPr>
          <w:rFonts w:hint="default" w:ascii="Arial" w:hAnsi="Arial" w:cs="Arial"/>
          <w:b/>
          <w:bCs/>
          <w:sz w:val="24"/>
          <w:szCs w:val="24"/>
        </w:rPr>
      </w:pPr>
      <w:r>
        <w:rPr>
          <w:rFonts w:hint="default" w:ascii="Arial" w:hAnsi="Arial" w:cs="Arial"/>
          <w:b/>
          <w:bCs/>
          <w:sz w:val="24"/>
          <w:szCs w:val="24"/>
        </w:rPr>
        <w:t>¿Qué hace la competencia en Chile? (Productos similares)</w:t>
      </w:r>
    </w:p>
    <w:p w14:paraId="5EE0888A">
      <w:pPr>
        <w:rPr>
          <w:rFonts w:hint="default" w:ascii="Arial" w:hAnsi="Arial" w:cs="Arial"/>
          <w:sz w:val="24"/>
          <w:szCs w:val="24"/>
        </w:rPr>
      </w:pPr>
      <w:r>
        <w:rPr>
          <w:rFonts w:hint="default" w:ascii="Arial" w:hAnsi="Arial" w:cs="Arial"/>
          <w:sz w:val="24"/>
          <w:szCs w:val="24"/>
        </w:rPr>
        <w:t>Según la información disponible, en el mercado chileno existen sistemas de gestión escolar que compiten en nuestro espacio :</w:t>
      </w:r>
    </w:p>
    <w:tbl>
      <w:tblPr>
        <w:tblStyle w:val="12"/>
        <w:tblW w:w="7999" w:type="dxa"/>
        <w:tblInd w:w="0" w:type="dxa"/>
        <w:tblLayout w:type="autofit"/>
        <w:tblCellMar>
          <w:top w:w="15" w:type="dxa"/>
          <w:left w:w="15" w:type="dxa"/>
          <w:bottom w:w="15" w:type="dxa"/>
          <w:right w:w="15" w:type="dxa"/>
        </w:tblCellMar>
      </w:tblPr>
      <w:tblGrid>
        <w:gridCol w:w="1529"/>
        <w:gridCol w:w="3081"/>
        <w:gridCol w:w="3389"/>
      </w:tblGrid>
      <w:tr w14:paraId="79F68957">
        <w:tblPrEx>
          <w:tblCellMar>
            <w:top w:w="15" w:type="dxa"/>
            <w:left w:w="15" w:type="dxa"/>
            <w:bottom w:w="15" w:type="dxa"/>
            <w:right w:w="15" w:type="dxa"/>
          </w:tblCellMar>
        </w:tblPrEx>
        <w:trPr>
          <w:trHeight w:val="1055" w:hRule="atLeast"/>
          <w:tblHeader/>
        </w:trPr>
        <w:tc>
          <w:tcPr>
            <w:tcW w:w="0" w:type="auto"/>
            <w:tcBorders>
              <w:top w:val="nil"/>
            </w:tcBorders>
            <w:tcMar>
              <w:top w:w="150" w:type="dxa"/>
              <w:left w:w="0" w:type="dxa"/>
              <w:bottom w:w="150" w:type="dxa"/>
              <w:right w:w="240" w:type="dxa"/>
            </w:tcMar>
            <w:vAlign w:val="center"/>
          </w:tcPr>
          <w:p w14:paraId="66E2F225">
            <w:pPr>
              <w:rPr>
                <w:rFonts w:hint="default" w:ascii="Arial" w:hAnsi="Arial" w:cs="Arial"/>
                <w:sz w:val="24"/>
                <w:szCs w:val="24"/>
              </w:rPr>
            </w:pPr>
            <w:r>
              <w:rPr>
                <w:rFonts w:hint="default" w:ascii="Arial" w:hAnsi="Arial" w:cs="Arial"/>
                <w:sz w:val="24"/>
                <w:szCs w:val="24"/>
              </w:rPr>
              <w:t>Producto / Solución</w:t>
            </w:r>
          </w:p>
        </w:tc>
        <w:tc>
          <w:tcPr>
            <w:tcW w:w="0" w:type="auto"/>
            <w:tcBorders>
              <w:top w:val="nil"/>
            </w:tcBorders>
            <w:tcMar>
              <w:top w:w="150" w:type="dxa"/>
              <w:left w:w="240" w:type="dxa"/>
              <w:bottom w:w="150" w:type="dxa"/>
              <w:right w:w="240" w:type="dxa"/>
            </w:tcMar>
            <w:vAlign w:val="center"/>
          </w:tcPr>
          <w:p w14:paraId="2B705161">
            <w:pPr>
              <w:rPr>
                <w:rFonts w:hint="default" w:ascii="Arial" w:hAnsi="Arial" w:cs="Arial"/>
                <w:sz w:val="24"/>
                <w:szCs w:val="24"/>
              </w:rPr>
            </w:pPr>
            <w:r>
              <w:rPr>
                <w:rFonts w:hint="default" w:ascii="Arial" w:hAnsi="Arial" w:cs="Arial"/>
                <w:sz w:val="24"/>
                <w:szCs w:val="24"/>
              </w:rPr>
              <w:t>Descripción</w:t>
            </w:r>
          </w:p>
        </w:tc>
        <w:tc>
          <w:tcPr>
            <w:tcW w:w="0" w:type="auto"/>
            <w:tcBorders>
              <w:top w:val="nil"/>
            </w:tcBorders>
            <w:tcMar>
              <w:top w:w="150" w:type="dxa"/>
              <w:left w:w="240" w:type="dxa"/>
              <w:bottom w:w="150" w:type="dxa"/>
              <w:right w:w="240" w:type="dxa"/>
            </w:tcMar>
            <w:vAlign w:val="center"/>
          </w:tcPr>
          <w:p w14:paraId="0EEECB36">
            <w:pPr>
              <w:rPr>
                <w:rFonts w:hint="default" w:ascii="Arial" w:hAnsi="Arial" w:cs="Arial"/>
                <w:sz w:val="24"/>
                <w:szCs w:val="24"/>
              </w:rPr>
            </w:pPr>
            <w:r>
              <w:rPr>
                <w:rFonts w:hint="default" w:ascii="Arial" w:hAnsi="Arial" w:cs="Arial"/>
                <w:sz w:val="24"/>
                <w:szCs w:val="24"/>
              </w:rPr>
              <w:t>Posicionamiento frente a EduSync</w:t>
            </w:r>
          </w:p>
        </w:tc>
      </w:tr>
      <w:tr w14:paraId="30E2619B">
        <w:tblPrEx>
          <w:tblCellMar>
            <w:top w:w="15" w:type="dxa"/>
            <w:left w:w="15" w:type="dxa"/>
            <w:bottom w:w="15" w:type="dxa"/>
            <w:right w:w="15" w:type="dxa"/>
          </w:tblCellMar>
        </w:tblPrEx>
        <w:trPr>
          <w:trHeight w:val="1362" w:hRule="atLeast"/>
        </w:trPr>
        <w:tc>
          <w:tcPr>
            <w:tcW w:w="0" w:type="auto"/>
            <w:tcMar>
              <w:top w:w="150" w:type="dxa"/>
              <w:left w:w="0" w:type="dxa"/>
              <w:bottom w:w="150" w:type="dxa"/>
              <w:right w:w="240" w:type="dxa"/>
            </w:tcMar>
            <w:vAlign w:val="center"/>
          </w:tcPr>
          <w:p w14:paraId="01FFCDB0">
            <w:pPr>
              <w:rPr>
                <w:rFonts w:hint="default" w:ascii="Arial" w:hAnsi="Arial" w:cs="Arial"/>
                <w:sz w:val="24"/>
                <w:szCs w:val="24"/>
              </w:rPr>
            </w:pPr>
            <w:r>
              <w:rPr>
                <w:rFonts w:hint="default" w:ascii="Arial" w:hAnsi="Arial" w:cs="Arial"/>
                <w:b/>
                <w:bCs/>
                <w:sz w:val="24"/>
                <w:szCs w:val="24"/>
              </w:rPr>
              <w:t>Webclass</w:t>
            </w:r>
          </w:p>
        </w:tc>
        <w:tc>
          <w:tcPr>
            <w:tcW w:w="0" w:type="auto"/>
            <w:tcMar>
              <w:top w:w="150" w:type="dxa"/>
              <w:left w:w="240" w:type="dxa"/>
              <w:bottom w:w="150" w:type="dxa"/>
              <w:right w:w="240" w:type="dxa"/>
            </w:tcMar>
            <w:vAlign w:val="center"/>
          </w:tcPr>
          <w:p w14:paraId="4D828ECF">
            <w:pPr>
              <w:rPr>
                <w:rFonts w:hint="default" w:ascii="Arial" w:hAnsi="Arial" w:cs="Arial"/>
                <w:sz w:val="24"/>
                <w:szCs w:val="24"/>
              </w:rPr>
            </w:pPr>
            <w:r>
              <w:rPr>
                <w:rFonts w:hint="default" w:ascii="Arial" w:hAnsi="Arial" w:cs="Arial"/>
                <w:sz w:val="24"/>
                <w:szCs w:val="24"/>
              </w:rPr>
              <w:t>ERP educativo integral, con módulos de gestión académica, financiera y comunicaciones</w:t>
            </w:r>
          </w:p>
        </w:tc>
        <w:tc>
          <w:tcPr>
            <w:tcW w:w="0" w:type="auto"/>
            <w:tcMar>
              <w:top w:w="150" w:type="dxa"/>
              <w:left w:w="240" w:type="dxa"/>
              <w:bottom w:w="150" w:type="dxa"/>
              <w:right w:w="0" w:type="dxa"/>
            </w:tcMar>
            <w:vAlign w:val="center"/>
          </w:tcPr>
          <w:p w14:paraId="24AD8C0C">
            <w:pPr>
              <w:rPr>
                <w:rFonts w:hint="default" w:ascii="Arial" w:hAnsi="Arial" w:cs="Arial"/>
                <w:sz w:val="24"/>
                <w:szCs w:val="24"/>
              </w:rPr>
            </w:pPr>
            <w:r>
              <w:rPr>
                <w:rFonts w:hint="default" w:ascii="Arial" w:hAnsi="Arial" w:cs="Arial"/>
                <w:b/>
                <w:bCs/>
                <w:sz w:val="24"/>
                <w:szCs w:val="24"/>
              </w:rPr>
              <w:t>Competidor establecido.</w:t>
            </w:r>
            <w:r>
              <w:rPr>
                <w:rFonts w:hint="default" w:ascii="Arial" w:hAnsi="Arial" w:cs="Arial"/>
                <w:sz w:val="24"/>
                <w:szCs w:val="24"/>
              </w:rPr>
              <w:t> Enfoque integral pero costoso y complejo.</w:t>
            </w:r>
          </w:p>
        </w:tc>
      </w:tr>
      <w:tr w14:paraId="103AE991">
        <w:tblPrEx>
          <w:tblCellMar>
            <w:top w:w="15" w:type="dxa"/>
            <w:left w:w="15" w:type="dxa"/>
            <w:bottom w:w="15" w:type="dxa"/>
            <w:right w:w="15" w:type="dxa"/>
          </w:tblCellMar>
        </w:tblPrEx>
        <w:trPr>
          <w:trHeight w:val="1055" w:hRule="atLeast"/>
        </w:trPr>
        <w:tc>
          <w:tcPr>
            <w:tcW w:w="0" w:type="auto"/>
            <w:tcMar>
              <w:top w:w="150" w:type="dxa"/>
              <w:left w:w="0" w:type="dxa"/>
              <w:bottom w:w="150" w:type="dxa"/>
              <w:right w:w="240" w:type="dxa"/>
            </w:tcMar>
            <w:vAlign w:val="center"/>
          </w:tcPr>
          <w:p w14:paraId="77C74874">
            <w:pPr>
              <w:rPr>
                <w:rFonts w:hint="default" w:ascii="Arial" w:hAnsi="Arial" w:cs="Arial"/>
                <w:sz w:val="24"/>
                <w:szCs w:val="24"/>
              </w:rPr>
            </w:pPr>
            <w:r>
              <w:rPr>
                <w:rFonts w:hint="default" w:ascii="Arial" w:hAnsi="Arial" w:cs="Arial"/>
                <w:b/>
                <w:bCs/>
                <w:sz w:val="24"/>
                <w:szCs w:val="24"/>
              </w:rPr>
              <w:t>Lirmi</w:t>
            </w:r>
          </w:p>
        </w:tc>
        <w:tc>
          <w:tcPr>
            <w:tcW w:w="0" w:type="auto"/>
            <w:tcMar>
              <w:top w:w="150" w:type="dxa"/>
              <w:left w:w="240" w:type="dxa"/>
              <w:bottom w:w="150" w:type="dxa"/>
              <w:right w:w="240" w:type="dxa"/>
            </w:tcMar>
            <w:vAlign w:val="center"/>
          </w:tcPr>
          <w:p w14:paraId="33337F7B">
            <w:pPr>
              <w:rPr>
                <w:rFonts w:hint="default" w:ascii="Arial" w:hAnsi="Arial" w:cs="Arial"/>
                <w:sz w:val="24"/>
                <w:szCs w:val="24"/>
              </w:rPr>
            </w:pPr>
            <w:r>
              <w:rPr>
                <w:rFonts w:hint="default" w:ascii="Arial" w:hAnsi="Arial" w:cs="Arial"/>
                <w:sz w:val="24"/>
                <w:szCs w:val="24"/>
              </w:rPr>
              <w:t>Plataforma de gestión escolar con énfasis en datos y análisis</w:t>
            </w:r>
          </w:p>
        </w:tc>
        <w:tc>
          <w:tcPr>
            <w:tcW w:w="0" w:type="auto"/>
            <w:tcMar>
              <w:top w:w="150" w:type="dxa"/>
              <w:left w:w="240" w:type="dxa"/>
              <w:bottom w:w="150" w:type="dxa"/>
              <w:right w:w="0" w:type="dxa"/>
            </w:tcMar>
            <w:vAlign w:val="center"/>
          </w:tcPr>
          <w:p w14:paraId="59AE568B">
            <w:pPr>
              <w:rPr>
                <w:rFonts w:hint="default" w:ascii="Arial" w:hAnsi="Arial" w:cs="Arial"/>
                <w:sz w:val="24"/>
                <w:szCs w:val="24"/>
              </w:rPr>
            </w:pPr>
            <w:r>
              <w:rPr>
                <w:rFonts w:hint="default" w:ascii="Arial" w:hAnsi="Arial" w:cs="Arial"/>
                <w:b/>
                <w:bCs/>
                <w:sz w:val="24"/>
                <w:szCs w:val="24"/>
              </w:rPr>
              <w:t>Competidor directo.</w:t>
            </w:r>
            <w:r>
              <w:rPr>
                <w:rFonts w:hint="default" w:ascii="Arial" w:hAnsi="Arial" w:cs="Arial"/>
                <w:sz w:val="24"/>
                <w:szCs w:val="24"/>
              </w:rPr>
              <w:t> Foco en analítica, pero sin IA generativa integrada.</w:t>
            </w:r>
          </w:p>
        </w:tc>
      </w:tr>
      <w:tr w14:paraId="6606BA41">
        <w:tblPrEx>
          <w:tblCellMar>
            <w:top w:w="15" w:type="dxa"/>
            <w:left w:w="15" w:type="dxa"/>
            <w:bottom w:w="15" w:type="dxa"/>
            <w:right w:w="15" w:type="dxa"/>
          </w:tblCellMar>
        </w:tblPrEx>
        <w:trPr>
          <w:trHeight w:val="1975" w:hRule="atLeast"/>
        </w:trPr>
        <w:tc>
          <w:tcPr>
            <w:tcW w:w="0" w:type="auto"/>
            <w:tcMar>
              <w:top w:w="150" w:type="dxa"/>
              <w:left w:w="0" w:type="dxa"/>
              <w:bottom w:w="150" w:type="dxa"/>
              <w:right w:w="240" w:type="dxa"/>
            </w:tcMar>
            <w:vAlign w:val="center"/>
          </w:tcPr>
          <w:p w14:paraId="3F1F15B3">
            <w:pPr>
              <w:rPr>
                <w:rFonts w:hint="default" w:ascii="Arial" w:hAnsi="Arial" w:cs="Arial"/>
                <w:sz w:val="24"/>
                <w:szCs w:val="24"/>
              </w:rPr>
            </w:pPr>
            <w:r>
              <w:rPr>
                <w:rFonts w:hint="default" w:ascii="Arial" w:hAnsi="Arial" w:cs="Arial"/>
                <w:b/>
                <w:bCs/>
                <w:sz w:val="24"/>
                <w:szCs w:val="24"/>
              </w:rPr>
              <w:t>Libro de Clases Digital del MINEDUC</w:t>
            </w:r>
          </w:p>
        </w:tc>
        <w:tc>
          <w:tcPr>
            <w:tcW w:w="0" w:type="auto"/>
            <w:tcMar>
              <w:top w:w="150" w:type="dxa"/>
              <w:left w:w="240" w:type="dxa"/>
              <w:bottom w:w="150" w:type="dxa"/>
              <w:right w:w="240" w:type="dxa"/>
            </w:tcMar>
            <w:vAlign w:val="center"/>
          </w:tcPr>
          <w:p w14:paraId="26904C72">
            <w:pPr>
              <w:rPr>
                <w:rFonts w:hint="default" w:ascii="Arial" w:hAnsi="Arial" w:cs="Arial"/>
                <w:sz w:val="24"/>
                <w:szCs w:val="24"/>
              </w:rPr>
            </w:pPr>
            <w:r>
              <w:rPr>
                <w:rFonts w:hint="default" w:ascii="Arial" w:hAnsi="Arial" w:cs="Arial"/>
                <w:sz w:val="24"/>
                <w:szCs w:val="24"/>
              </w:rPr>
              <w:t>Iniciativa del Centro de Innovación del Ministerio de Educación, que ha desarrollado un </w:t>
            </w:r>
            <w:r>
              <w:rPr>
                <w:rFonts w:hint="default" w:ascii="Arial" w:hAnsi="Arial" w:cs="Arial"/>
                <w:b/>
                <w:bCs/>
                <w:sz w:val="24"/>
                <w:szCs w:val="24"/>
              </w:rPr>
              <w:t>Estándar de Datos Educativos (EDE)</w:t>
            </w:r>
            <w:r>
              <w:rPr>
                <w:rFonts w:hint="default" w:ascii="Arial" w:hAnsi="Arial" w:cs="Arial"/>
                <w:sz w:val="24"/>
                <w:szCs w:val="24"/>
              </w:rPr>
              <w:t> para orientar desarrollos tecnológicos </w:t>
            </w:r>
          </w:p>
        </w:tc>
        <w:tc>
          <w:tcPr>
            <w:tcW w:w="0" w:type="auto"/>
            <w:tcMar>
              <w:top w:w="150" w:type="dxa"/>
              <w:left w:w="240" w:type="dxa"/>
              <w:bottom w:w="150" w:type="dxa"/>
              <w:right w:w="0" w:type="dxa"/>
            </w:tcMar>
            <w:vAlign w:val="center"/>
          </w:tcPr>
          <w:p w14:paraId="08D171C8">
            <w:pPr>
              <w:rPr>
                <w:rFonts w:hint="default" w:ascii="Arial" w:hAnsi="Arial" w:cs="Arial"/>
                <w:sz w:val="24"/>
                <w:szCs w:val="24"/>
              </w:rPr>
            </w:pPr>
            <w:r>
              <w:rPr>
                <w:rFonts w:hint="default" w:ascii="Arial" w:hAnsi="Arial" w:cs="Arial"/>
                <w:b/>
                <w:bCs/>
                <w:sz w:val="24"/>
                <w:szCs w:val="24"/>
              </w:rPr>
              <w:t>No es un producto comercial,</w:t>
            </w:r>
            <w:r>
              <w:rPr>
                <w:rFonts w:hint="default" w:ascii="Arial" w:hAnsi="Arial" w:cs="Arial"/>
                <w:sz w:val="24"/>
                <w:szCs w:val="24"/>
              </w:rPr>
              <w:t> sino un estándar técnico. </w:t>
            </w:r>
            <w:r>
              <w:rPr>
                <w:rFonts w:hint="default" w:ascii="Arial" w:hAnsi="Arial" w:cs="Arial"/>
                <w:b/>
                <w:bCs/>
                <w:sz w:val="24"/>
                <w:szCs w:val="24"/>
              </w:rPr>
              <w:t>EduSync puede alinearse con EDE</w:t>
            </w:r>
            <w:r>
              <w:rPr>
                <w:rFonts w:hint="default" w:ascii="Arial" w:hAnsi="Arial" w:cs="Arial"/>
                <w:sz w:val="24"/>
                <w:szCs w:val="24"/>
              </w:rPr>
              <w:t> para cumplir requisitos ministeriales.</w:t>
            </w:r>
          </w:p>
        </w:tc>
      </w:tr>
      <w:tr w14:paraId="68FABFFD">
        <w:tblPrEx>
          <w:tblCellMar>
            <w:top w:w="15" w:type="dxa"/>
            <w:left w:w="15" w:type="dxa"/>
            <w:bottom w:w="15" w:type="dxa"/>
            <w:right w:w="15" w:type="dxa"/>
          </w:tblCellMar>
        </w:tblPrEx>
        <w:trPr>
          <w:trHeight w:val="1668" w:hRule="atLeast"/>
        </w:trPr>
        <w:tc>
          <w:tcPr>
            <w:tcW w:w="0" w:type="auto"/>
            <w:tcMar>
              <w:top w:w="150" w:type="dxa"/>
              <w:left w:w="0" w:type="dxa"/>
              <w:bottom w:w="150" w:type="dxa"/>
              <w:right w:w="240" w:type="dxa"/>
            </w:tcMar>
            <w:vAlign w:val="center"/>
          </w:tcPr>
          <w:p w14:paraId="2B243D16">
            <w:pPr>
              <w:rPr>
                <w:rFonts w:hint="default" w:ascii="Arial" w:hAnsi="Arial" w:cs="Arial"/>
                <w:sz w:val="24"/>
                <w:szCs w:val="24"/>
              </w:rPr>
            </w:pPr>
            <w:r>
              <w:rPr>
                <w:rFonts w:hint="default" w:ascii="Arial" w:hAnsi="Arial" w:cs="Arial"/>
                <w:b/>
                <w:bCs/>
                <w:sz w:val="24"/>
                <w:szCs w:val="24"/>
              </w:rPr>
              <w:t>Planillas Excel / Registros en papel</w:t>
            </w:r>
          </w:p>
        </w:tc>
        <w:tc>
          <w:tcPr>
            <w:tcW w:w="0" w:type="auto"/>
            <w:tcMar>
              <w:top w:w="150" w:type="dxa"/>
              <w:left w:w="240" w:type="dxa"/>
              <w:bottom w:w="150" w:type="dxa"/>
              <w:right w:w="240" w:type="dxa"/>
            </w:tcMar>
            <w:vAlign w:val="center"/>
          </w:tcPr>
          <w:p w14:paraId="284836EE">
            <w:pPr>
              <w:rPr>
                <w:rFonts w:hint="default" w:ascii="Arial" w:hAnsi="Arial" w:cs="Arial"/>
                <w:sz w:val="24"/>
                <w:szCs w:val="24"/>
              </w:rPr>
            </w:pPr>
            <w:r>
              <w:rPr>
                <w:rFonts w:hint="default" w:ascii="Arial" w:hAnsi="Arial" w:cs="Arial"/>
                <w:sz w:val="24"/>
                <w:szCs w:val="24"/>
              </w:rPr>
              <w:t>Solución "default" en colegios sin digitalización</w:t>
            </w:r>
          </w:p>
        </w:tc>
        <w:tc>
          <w:tcPr>
            <w:tcW w:w="0" w:type="auto"/>
            <w:tcMar>
              <w:top w:w="150" w:type="dxa"/>
              <w:left w:w="240" w:type="dxa"/>
              <w:bottom w:w="150" w:type="dxa"/>
              <w:right w:w="0" w:type="dxa"/>
            </w:tcMar>
            <w:vAlign w:val="center"/>
          </w:tcPr>
          <w:p w14:paraId="75701C4E">
            <w:pPr>
              <w:rPr>
                <w:rFonts w:hint="default" w:ascii="Arial" w:hAnsi="Arial" w:cs="Arial"/>
                <w:sz w:val="24"/>
                <w:szCs w:val="24"/>
              </w:rPr>
            </w:pPr>
            <w:r>
              <w:rPr>
                <w:rFonts w:hint="default" w:ascii="Arial" w:hAnsi="Arial" w:cs="Arial"/>
                <w:b/>
                <w:bCs/>
                <w:sz w:val="24"/>
                <w:szCs w:val="24"/>
              </w:rPr>
              <w:t>Oportunidad de mercado.</w:t>
            </w:r>
            <w:r>
              <w:rPr>
                <w:rFonts w:hint="default" w:ascii="Arial" w:hAnsi="Arial" w:cs="Arial"/>
                <w:sz w:val="24"/>
                <w:szCs w:val="24"/>
              </w:rPr>
              <w:t> Representan el dolor que EduSync resuelve.</w:t>
            </w:r>
          </w:p>
        </w:tc>
      </w:tr>
    </w:tbl>
    <w:p w14:paraId="76A43D3A">
      <w:pPr>
        <w:rPr>
          <w:rFonts w:hint="default" w:ascii="Arial" w:hAnsi="Arial" w:cs="Arial"/>
          <w:sz w:val="24"/>
          <w:szCs w:val="24"/>
        </w:rPr>
      </w:pPr>
      <w:r>
        <w:rPr>
          <w:rFonts w:hint="default" w:ascii="Arial" w:hAnsi="Arial" w:cs="Arial"/>
          <w:sz w:val="24"/>
          <w:szCs w:val="24"/>
        </w:rPr>
        <w:pict>
          <v:rect id="_x0000_i1027" o:spt="1" style="height:0.75pt;width:0pt;" fillcolor="#A0A0A0" filled="t" stroked="f" coordsize="21600,21600" o:hr="t" o:hrstd="t" o:hralign="center">
            <v:path/>
            <v:fill on="t" focussize="0,0"/>
            <v:stroke on="f"/>
            <v:imagedata o:title=""/>
            <o:lock v:ext="edit"/>
            <w10:wrap type="none"/>
            <w10:anchorlock/>
          </v:rect>
        </w:pict>
      </w:r>
    </w:p>
    <w:p w14:paraId="15CDBEA1">
      <w:pPr>
        <w:rPr>
          <w:rFonts w:hint="default" w:ascii="Arial" w:hAnsi="Arial" w:cs="Arial"/>
          <w:b/>
          <w:bCs/>
          <w:sz w:val="24"/>
          <w:szCs w:val="24"/>
        </w:rPr>
      </w:pPr>
      <w:r>
        <w:rPr>
          <w:rFonts w:hint="default" w:ascii="Arial" w:hAnsi="Arial" w:cs="Arial"/>
          <w:b/>
          <w:bCs/>
          <w:sz w:val="24"/>
          <w:szCs w:val="24"/>
        </w:rPr>
        <w:t>Nuestra Ventaja Competitiva (¿Por qué elegir EduSync?)</w:t>
      </w:r>
    </w:p>
    <w:p w14:paraId="1116D0FA">
      <w:pPr>
        <w:rPr>
          <w:rFonts w:hint="default" w:ascii="Arial" w:hAnsi="Arial" w:cs="Arial"/>
          <w:sz w:val="24"/>
          <w:szCs w:val="24"/>
        </w:rPr>
      </w:pPr>
      <w:r>
        <w:rPr>
          <w:rFonts w:hint="default" w:ascii="Arial" w:hAnsi="Arial" w:cs="Arial"/>
          <w:sz w:val="24"/>
          <w:szCs w:val="24"/>
        </w:rPr>
        <w:t>Frente a los competidores identificados, EduSync se diferencia en:</w:t>
      </w:r>
    </w:p>
    <w:p w14:paraId="335BB9EC">
      <w:pPr>
        <w:numPr>
          <w:ilvl w:val="0"/>
          <w:numId w:val="2"/>
        </w:numPr>
        <w:rPr>
          <w:rFonts w:hint="default" w:ascii="Arial" w:hAnsi="Arial" w:cs="Arial"/>
          <w:sz w:val="24"/>
          <w:szCs w:val="24"/>
        </w:rPr>
      </w:pPr>
      <w:r>
        <w:rPr>
          <w:rFonts w:hint="default" w:ascii="Arial" w:hAnsi="Arial" w:cs="Arial"/>
          <w:b/>
          <w:bCs/>
          <w:sz w:val="24"/>
          <w:szCs w:val="24"/>
        </w:rPr>
        <w:t>Integración de IA Generativa:</w:t>
      </w:r>
      <w:r>
        <w:rPr>
          <w:rFonts w:hint="default" w:ascii="Arial" w:hAnsi="Arial" w:cs="Arial"/>
          <w:sz w:val="24"/>
          <w:szCs w:val="24"/>
        </w:rPr>
        <w:t> Ninguno de los competidores tradicionales (Webclass, Lirmi) ofrece un asistente docente basado en LLM para planificación de clases . EduSync incorpora esta tecnología disruptiva como valor agregado.</w:t>
      </w:r>
    </w:p>
    <w:p w14:paraId="60F867ED">
      <w:pPr>
        <w:numPr>
          <w:ilvl w:val="0"/>
          <w:numId w:val="2"/>
        </w:numPr>
        <w:rPr>
          <w:rFonts w:hint="default" w:ascii="Arial" w:hAnsi="Arial" w:cs="Arial"/>
          <w:sz w:val="24"/>
          <w:szCs w:val="24"/>
        </w:rPr>
      </w:pPr>
      <w:r>
        <w:rPr>
          <w:rFonts w:hint="default" w:ascii="Arial" w:hAnsi="Arial" w:cs="Arial"/>
          <w:b/>
          <w:bCs/>
          <w:sz w:val="24"/>
          <w:szCs w:val="24"/>
        </w:rPr>
        <w:t>Alineación con Estándares Públicos:</w:t>
      </w:r>
      <w:r>
        <w:rPr>
          <w:rFonts w:hint="default" w:ascii="Arial" w:hAnsi="Arial" w:cs="Arial"/>
          <w:sz w:val="24"/>
          <w:szCs w:val="24"/>
        </w:rPr>
        <w:t> El MINEDUC ha definido un </w:t>
      </w:r>
      <w:r>
        <w:rPr>
          <w:rFonts w:hint="default" w:ascii="Arial" w:hAnsi="Arial" w:cs="Arial"/>
          <w:b/>
          <w:bCs/>
          <w:sz w:val="24"/>
          <w:szCs w:val="24"/>
        </w:rPr>
        <w:t>Estándar de Datos Educativos (EDE)</w:t>
      </w:r>
      <w:r>
        <w:rPr>
          <w:rFonts w:hint="default" w:ascii="Arial" w:hAnsi="Arial" w:cs="Arial"/>
          <w:sz w:val="24"/>
          <w:szCs w:val="24"/>
        </w:rPr>
        <w:t> para sistemas que reemplacen el libro de clases físico . EduSync puede diseñarse para cumplir con este estándar, posicionándose como una solución "amigable" para el ecosistema público.</w:t>
      </w:r>
    </w:p>
    <w:p w14:paraId="34B7DD18">
      <w:pPr>
        <w:numPr>
          <w:ilvl w:val="0"/>
          <w:numId w:val="2"/>
        </w:numPr>
        <w:rPr>
          <w:rFonts w:hint="default" w:ascii="Arial" w:hAnsi="Arial" w:cs="Arial"/>
          <w:sz w:val="24"/>
          <w:szCs w:val="24"/>
        </w:rPr>
      </w:pPr>
      <w:r>
        <w:rPr>
          <w:rFonts w:hint="default" w:ascii="Arial" w:hAnsi="Arial" w:cs="Arial"/>
          <w:b/>
          <w:bCs/>
          <w:sz w:val="24"/>
          <w:szCs w:val="24"/>
        </w:rPr>
        <w:t>Costo Accesible:</w:t>
      </w:r>
      <w:r>
        <w:rPr>
          <w:rFonts w:hint="default" w:ascii="Arial" w:hAnsi="Arial" w:cs="Arial"/>
          <w:sz w:val="24"/>
          <w:szCs w:val="24"/>
        </w:rPr>
        <w:t> A diferencia de Webclass y Lirmi (licencias anuales costosas), EduSync opera con planes gratuitos en la nube, permitiendo su adopción en colegios públicos y subvencionados con presupuestos limitados.</w:t>
      </w:r>
    </w:p>
    <w:p w14:paraId="0CA9AE13">
      <w:pPr>
        <w:numPr>
          <w:ilvl w:val="0"/>
          <w:numId w:val="2"/>
        </w:numPr>
        <w:rPr>
          <w:rFonts w:hint="default" w:ascii="Arial" w:hAnsi="Arial" w:cs="Arial"/>
          <w:sz w:val="24"/>
          <w:szCs w:val="24"/>
        </w:rPr>
      </w:pPr>
      <w:r>
        <w:rPr>
          <w:rFonts w:hint="default" w:ascii="Arial" w:hAnsi="Arial" w:cs="Arial"/>
          <w:b/>
          <w:bCs/>
          <w:sz w:val="24"/>
          <w:szCs w:val="24"/>
        </w:rPr>
        <w:t>Arquitectura Cloud-Native 100%:</w:t>
      </w:r>
      <w:r>
        <w:rPr>
          <w:rFonts w:hint="default" w:ascii="Arial" w:hAnsi="Arial" w:cs="Arial"/>
          <w:sz w:val="24"/>
          <w:szCs w:val="24"/>
        </w:rPr>
        <w:t> Nuestra solución es nativa de nube desde el origen, a diferencia de competidores que tienen implementaciones híbridas o legacy.</w:t>
      </w:r>
    </w:p>
    <w:p w14:paraId="6487C5E6">
      <w:pPr>
        <w:numPr>
          <w:ilvl w:val="0"/>
          <w:numId w:val="2"/>
        </w:numPr>
        <w:rPr>
          <w:rFonts w:hint="default" w:ascii="Arial" w:hAnsi="Arial" w:cs="Arial"/>
          <w:sz w:val="24"/>
          <w:szCs w:val="24"/>
        </w:rPr>
      </w:pPr>
      <w:r>
        <w:rPr>
          <w:rFonts w:hint="default" w:ascii="Arial" w:hAnsi="Arial" w:cs="Arial"/>
          <w:b/>
          <w:bCs/>
          <w:sz w:val="24"/>
          <w:szCs w:val="24"/>
        </w:rPr>
        <w:t>Enfoque en el Usuario Final:</w:t>
      </w:r>
      <w:r>
        <w:rPr>
          <w:rFonts w:hint="default" w:ascii="Arial" w:hAnsi="Arial" w:cs="Arial"/>
          <w:sz w:val="24"/>
          <w:szCs w:val="24"/>
        </w:rPr>
        <w:t> Diseño intuitivo pensado para docentes con baja capacitación tecnológica, reduciendo la curva de aprendizaje.</w:t>
      </w:r>
    </w:p>
    <w:p w14:paraId="47BFEED5">
      <w:pPr>
        <w:rPr>
          <w:rFonts w:hint="default" w:ascii="Arial" w:hAnsi="Arial" w:cs="Arial"/>
          <w:sz w:val="24"/>
          <w:szCs w:val="24"/>
        </w:rPr>
      </w:pPr>
      <w:r>
        <w:rPr>
          <w:rFonts w:hint="default" w:ascii="Arial" w:hAnsi="Arial" w:cs="Arial"/>
          <w:sz w:val="24"/>
          <w:szCs w:val="24"/>
        </w:rPr>
        <w:pict>
          <v:rect id="_x0000_i1028" o:spt="1" style="height:0.75pt;width:0pt;" fillcolor="#A0A0A0" filled="t" stroked="f" coordsize="21600,21600" o:hr="t" o:hrstd="t" o:hralign="center">
            <v:path/>
            <v:fill on="t" focussize="0,0"/>
            <v:stroke on="f"/>
            <v:imagedata o:title=""/>
            <o:lock v:ext="edit"/>
            <w10:wrap type="none"/>
            <w10:anchorlock/>
          </v:rect>
        </w:pict>
      </w:r>
    </w:p>
    <w:p w14:paraId="293A38E6">
      <w:pPr>
        <w:rPr>
          <w:rFonts w:hint="default" w:ascii="Arial" w:hAnsi="Arial" w:cs="Arial"/>
          <w:b/>
          <w:bCs/>
          <w:sz w:val="24"/>
          <w:szCs w:val="24"/>
        </w:rPr>
      </w:pPr>
      <w:r>
        <w:rPr>
          <w:rFonts w:hint="default" w:ascii="Arial" w:hAnsi="Arial" w:cs="Arial"/>
          <w:b/>
          <w:bCs/>
          <w:sz w:val="24"/>
          <w:szCs w:val="24"/>
        </w:rPr>
        <w:t>Propuesta de Valor para SLEP (Público Objetivo)</w:t>
      </w:r>
    </w:p>
    <w:p w14:paraId="39A58907">
      <w:pPr>
        <w:rPr>
          <w:rFonts w:hint="default" w:ascii="Arial" w:hAnsi="Arial" w:cs="Arial"/>
          <w:sz w:val="24"/>
          <w:szCs w:val="24"/>
        </w:rPr>
      </w:pPr>
      <w:r>
        <w:rPr>
          <w:rFonts w:hint="default" w:ascii="Arial" w:hAnsi="Arial" w:cs="Arial"/>
          <w:sz w:val="24"/>
          <w:szCs w:val="24"/>
        </w:rPr>
        <w:t>Para posicionar EduSync ante un SLEP, nuestra propuesta de valor debe enfatizar:</w:t>
      </w:r>
    </w:p>
    <w:p w14:paraId="1E86913C">
      <w:pPr>
        <w:numPr>
          <w:ilvl w:val="0"/>
          <w:numId w:val="3"/>
        </w:numPr>
        <w:rPr>
          <w:rFonts w:hint="default" w:ascii="Arial" w:hAnsi="Arial" w:cs="Arial"/>
          <w:sz w:val="24"/>
          <w:szCs w:val="24"/>
        </w:rPr>
      </w:pPr>
      <w:r>
        <w:rPr>
          <w:rFonts w:hint="default" w:ascii="Arial" w:hAnsi="Arial" w:cs="Arial"/>
          <w:b/>
          <w:bCs/>
          <w:sz w:val="24"/>
          <w:szCs w:val="24"/>
        </w:rPr>
        <w:t>Estandarización:</w:t>
      </w:r>
      <w:r>
        <w:rPr>
          <w:rFonts w:hint="default" w:ascii="Arial" w:hAnsi="Arial" w:cs="Arial"/>
          <w:sz w:val="24"/>
          <w:szCs w:val="24"/>
        </w:rPr>
        <w:t> Un SLEP administra decenas de colegios. EduSync permite centralizar la información de todos ellos en una sola plataforma.</w:t>
      </w:r>
    </w:p>
    <w:p w14:paraId="2B7E6D69">
      <w:pPr>
        <w:numPr>
          <w:ilvl w:val="0"/>
          <w:numId w:val="3"/>
        </w:numPr>
        <w:rPr>
          <w:rFonts w:hint="default" w:ascii="Arial" w:hAnsi="Arial" w:cs="Arial"/>
          <w:sz w:val="24"/>
          <w:szCs w:val="24"/>
        </w:rPr>
      </w:pPr>
      <w:r>
        <w:rPr>
          <w:rFonts w:hint="default" w:ascii="Arial" w:hAnsi="Arial" w:cs="Arial"/>
          <w:b/>
          <w:bCs/>
          <w:sz w:val="24"/>
          <w:szCs w:val="24"/>
        </w:rPr>
        <w:t>Visibilidad en Tiempo Real:</w:t>
      </w:r>
      <w:r>
        <w:rPr>
          <w:rFonts w:hint="default" w:ascii="Arial" w:hAnsi="Arial" w:cs="Arial"/>
          <w:sz w:val="24"/>
          <w:szCs w:val="24"/>
        </w:rPr>
        <w:t> Los directores de SLEP necesitan métricas consolidadas de asistencia y rendimiento para tomar decisiones. EduSync entrega un dashboard analítico.</w:t>
      </w:r>
    </w:p>
    <w:p w14:paraId="2C381AFB">
      <w:pPr>
        <w:numPr>
          <w:ilvl w:val="0"/>
          <w:numId w:val="3"/>
        </w:numPr>
        <w:rPr>
          <w:rFonts w:hint="default" w:ascii="Arial" w:hAnsi="Arial" w:cs="Arial"/>
          <w:sz w:val="24"/>
          <w:szCs w:val="24"/>
        </w:rPr>
      </w:pPr>
      <w:r>
        <w:rPr>
          <w:rFonts w:hint="default" w:ascii="Arial" w:hAnsi="Arial" w:cs="Arial"/>
          <w:b/>
          <w:bCs/>
          <w:sz w:val="24"/>
          <w:szCs w:val="24"/>
        </w:rPr>
        <w:t>Reducción de Carga Administrativa:</w:t>
      </w:r>
      <w:r>
        <w:rPr>
          <w:rFonts w:hint="default" w:ascii="Arial" w:hAnsi="Arial" w:cs="Arial"/>
          <w:sz w:val="24"/>
          <w:szCs w:val="24"/>
        </w:rPr>
        <w:t> Libera a docentes y directivos de tareas burocráticas para enfocarse en lo pedagógico.</w:t>
      </w:r>
    </w:p>
    <w:p w14:paraId="7F6FCDBF">
      <w:pPr>
        <w:numPr>
          <w:ilvl w:val="0"/>
          <w:numId w:val="3"/>
        </w:numPr>
        <w:pBdr>
          <w:bottom w:val="single" w:color="auto" w:sz="6" w:space="1"/>
        </w:pBdr>
        <w:rPr>
          <w:rFonts w:hint="default" w:ascii="Arial" w:hAnsi="Arial" w:cs="Arial"/>
          <w:sz w:val="24"/>
          <w:szCs w:val="24"/>
        </w:rPr>
      </w:pPr>
      <w:r>
        <w:rPr>
          <w:rFonts w:hint="default" w:ascii="Arial" w:hAnsi="Arial" w:cs="Arial"/>
          <w:b/>
          <w:bCs/>
          <w:sz w:val="24"/>
          <w:szCs w:val="24"/>
        </w:rPr>
        <w:t>Cumplimiento Normativo:</w:t>
      </w:r>
      <w:r>
        <w:rPr>
          <w:rFonts w:hint="default" w:ascii="Arial" w:hAnsi="Arial" w:cs="Arial"/>
          <w:sz w:val="24"/>
          <w:szCs w:val="24"/>
        </w:rPr>
        <w:t> Al alinearse con el Estándar de Datos Educativos (EDE) del MINEDUC, EduSync facilita la rendición de cuentas y la interoperabilidad con sistemas ministeriales </w:t>
      </w:r>
    </w:p>
    <w:p w14:paraId="28263828">
      <w:pPr>
        <w:pStyle w:val="29"/>
        <w:numPr>
          <w:ilvl w:val="0"/>
          <w:numId w:val="3"/>
        </w:numPr>
        <w:shd w:val="clear" w:color="auto" w:fill="151517"/>
        <w:spacing w:before="480" w:after="240" w:line="450" w:lineRule="atLeast"/>
        <w:outlineLvl w:val="2"/>
        <w:rPr>
          <w:rFonts w:hint="default" w:ascii="Arial" w:hAnsi="Arial" w:eastAsia="Times New Roman" w:cs="Arial"/>
          <w:b/>
          <w:bCs/>
          <w:color w:val="F9FAFB"/>
          <w:kern w:val="0"/>
          <w:sz w:val="24"/>
          <w:szCs w:val="24"/>
          <w:lang w:eastAsia="es-CL"/>
          <w14:ligatures w14:val="none"/>
        </w:rPr>
      </w:pPr>
      <w:r>
        <w:rPr>
          <w:rFonts w:hint="default" w:ascii="Arial" w:hAnsi="Arial" w:eastAsia="Times New Roman" w:cs="Arial"/>
          <w:b/>
          <w:bCs/>
          <w:color w:val="F9FAFB"/>
          <w:kern w:val="0"/>
          <w:sz w:val="24"/>
          <w:szCs w:val="24"/>
          <w:lang w:eastAsia="es-CL"/>
          <w14:ligatures w14:val="none"/>
        </w:rPr>
        <w:t>Resumen para tu Presentación (Argumentos Clave)</w:t>
      </w:r>
    </w:p>
    <w:tbl>
      <w:tblPr>
        <w:tblStyle w:val="12"/>
        <w:tblW w:w="8559" w:type="dxa"/>
        <w:tblInd w:w="0" w:type="dxa"/>
        <w:tblLayout w:type="autofit"/>
        <w:tblCellMar>
          <w:top w:w="15" w:type="dxa"/>
          <w:left w:w="15" w:type="dxa"/>
          <w:bottom w:w="15" w:type="dxa"/>
          <w:right w:w="15" w:type="dxa"/>
        </w:tblCellMar>
      </w:tblPr>
      <w:tblGrid>
        <w:gridCol w:w="2331"/>
        <w:gridCol w:w="6228"/>
      </w:tblGrid>
      <w:tr w14:paraId="60E93E49">
        <w:tblPrEx>
          <w:tblCellMar>
            <w:top w:w="15" w:type="dxa"/>
            <w:left w:w="15" w:type="dxa"/>
            <w:bottom w:w="15" w:type="dxa"/>
            <w:right w:w="15" w:type="dxa"/>
          </w:tblCellMar>
        </w:tblPrEx>
        <w:trPr>
          <w:trHeight w:val="554" w:hRule="atLeast"/>
          <w:tblHeader/>
        </w:trPr>
        <w:tc>
          <w:tcPr>
            <w:tcW w:w="0" w:type="auto"/>
            <w:tcBorders>
              <w:top w:val="nil"/>
            </w:tcBorders>
            <w:tcMar>
              <w:top w:w="150" w:type="dxa"/>
              <w:left w:w="0" w:type="dxa"/>
              <w:bottom w:w="150" w:type="dxa"/>
              <w:right w:w="240" w:type="dxa"/>
            </w:tcMar>
            <w:vAlign w:val="center"/>
          </w:tcPr>
          <w:p w14:paraId="5D452428">
            <w:pPr>
              <w:spacing w:after="0" w:line="375" w:lineRule="atLeast"/>
              <w:rPr>
                <w:rFonts w:hint="default" w:ascii="Arial" w:hAnsi="Arial" w:eastAsia="Times New Roman" w:cs="Arial"/>
                <w:kern w:val="0"/>
                <w:sz w:val="24"/>
                <w:szCs w:val="24"/>
                <w:lang w:eastAsia="es-CL"/>
                <w14:ligatures w14:val="none"/>
              </w:rPr>
            </w:pPr>
            <w:r>
              <w:rPr>
                <w:rFonts w:hint="default" w:ascii="Arial" w:hAnsi="Arial" w:eastAsia="Times New Roman" w:cs="Arial"/>
                <w:kern w:val="0"/>
                <w:sz w:val="24"/>
                <w:szCs w:val="24"/>
                <w:lang w:eastAsia="es-CL"/>
                <w14:ligatures w14:val="none"/>
              </w:rPr>
              <w:t>Pregunta del Jurado</w:t>
            </w:r>
          </w:p>
        </w:tc>
        <w:tc>
          <w:tcPr>
            <w:tcW w:w="0" w:type="auto"/>
            <w:tcBorders>
              <w:top w:val="nil"/>
            </w:tcBorders>
            <w:tcMar>
              <w:top w:w="150" w:type="dxa"/>
              <w:left w:w="240" w:type="dxa"/>
              <w:bottom w:w="150" w:type="dxa"/>
              <w:right w:w="240" w:type="dxa"/>
            </w:tcMar>
            <w:vAlign w:val="center"/>
          </w:tcPr>
          <w:p w14:paraId="4088F344">
            <w:pPr>
              <w:spacing w:after="0" w:line="375" w:lineRule="atLeast"/>
              <w:rPr>
                <w:rFonts w:hint="default" w:ascii="Arial" w:hAnsi="Arial" w:eastAsia="Times New Roman" w:cs="Arial"/>
                <w:kern w:val="0"/>
                <w:sz w:val="24"/>
                <w:szCs w:val="24"/>
                <w:lang w:eastAsia="es-CL"/>
                <w14:ligatures w14:val="none"/>
              </w:rPr>
            </w:pPr>
            <w:r>
              <w:rPr>
                <w:rFonts w:hint="default" w:ascii="Arial" w:hAnsi="Arial" w:eastAsia="Times New Roman" w:cs="Arial"/>
                <w:kern w:val="0"/>
                <w:sz w:val="24"/>
                <w:szCs w:val="24"/>
                <w:lang w:eastAsia="es-CL"/>
                <w14:ligatures w14:val="none"/>
              </w:rPr>
              <w:t>Respuesta (Argumento)</w:t>
            </w:r>
          </w:p>
        </w:tc>
      </w:tr>
      <w:tr w14:paraId="6C64E734">
        <w:tblPrEx>
          <w:tblCellMar>
            <w:top w:w="15" w:type="dxa"/>
            <w:left w:w="15" w:type="dxa"/>
            <w:bottom w:w="15" w:type="dxa"/>
            <w:right w:w="15" w:type="dxa"/>
          </w:tblCellMar>
        </w:tblPrEx>
        <w:trPr>
          <w:trHeight w:val="1170" w:hRule="atLeast"/>
        </w:trPr>
        <w:tc>
          <w:tcPr>
            <w:tcW w:w="0" w:type="auto"/>
            <w:tcMar>
              <w:top w:w="150" w:type="dxa"/>
              <w:left w:w="0" w:type="dxa"/>
              <w:bottom w:w="150" w:type="dxa"/>
              <w:right w:w="240" w:type="dxa"/>
            </w:tcMar>
            <w:vAlign w:val="center"/>
          </w:tcPr>
          <w:p w14:paraId="6F075467">
            <w:pPr>
              <w:spacing w:after="0" w:line="375" w:lineRule="atLeast"/>
              <w:rPr>
                <w:rFonts w:hint="default" w:ascii="Arial" w:hAnsi="Arial" w:eastAsia="Times New Roman" w:cs="Arial"/>
                <w:kern w:val="0"/>
                <w:sz w:val="24"/>
                <w:szCs w:val="24"/>
                <w:lang w:eastAsia="es-CL"/>
                <w14:ligatures w14:val="none"/>
              </w:rPr>
            </w:pPr>
            <w:r>
              <w:rPr>
                <w:rFonts w:hint="default" w:ascii="Arial" w:hAnsi="Arial" w:eastAsia="Times New Roman" w:cs="Arial"/>
                <w:b/>
                <w:bCs/>
                <w:kern w:val="0"/>
                <w:sz w:val="24"/>
                <w:szCs w:val="24"/>
                <w:lang w:eastAsia="es-CL"/>
                <w14:ligatures w14:val="none"/>
              </w:rPr>
              <w:t>¿Por qué elegir EduSync y no Webclass o Lirmi?</w:t>
            </w:r>
          </w:p>
        </w:tc>
        <w:tc>
          <w:tcPr>
            <w:tcW w:w="0" w:type="auto"/>
            <w:tcMar>
              <w:top w:w="150" w:type="dxa"/>
              <w:left w:w="240" w:type="dxa"/>
              <w:bottom w:w="150" w:type="dxa"/>
              <w:right w:w="0" w:type="dxa"/>
            </w:tcMar>
            <w:vAlign w:val="center"/>
          </w:tcPr>
          <w:p w14:paraId="073DE41D">
            <w:pPr>
              <w:spacing w:after="0" w:line="375" w:lineRule="atLeast"/>
              <w:rPr>
                <w:rFonts w:hint="default" w:ascii="Arial" w:hAnsi="Arial" w:eastAsia="Times New Roman" w:cs="Arial"/>
                <w:kern w:val="0"/>
                <w:sz w:val="24"/>
                <w:szCs w:val="24"/>
                <w:lang w:eastAsia="es-CL"/>
                <w14:ligatures w14:val="none"/>
              </w:rPr>
            </w:pPr>
            <w:r>
              <w:rPr>
                <w:rFonts w:hint="default" w:ascii="Arial" w:hAnsi="Arial" w:eastAsia="Times New Roman" w:cs="Arial"/>
                <w:kern w:val="0"/>
                <w:sz w:val="24"/>
                <w:szCs w:val="24"/>
                <w:lang w:eastAsia="es-CL"/>
                <w14:ligatures w14:val="none"/>
              </w:rPr>
              <w:t>Porque somos más accesibles (costo), más modernos (IA generativa) y específicamente diseñados para las necesidades de la educación pública chilena, con alineación al Estándar de Datos Educativos del MINEDUC.</w:t>
            </w:r>
          </w:p>
        </w:tc>
      </w:tr>
      <w:tr w14:paraId="4644C6F1">
        <w:tblPrEx>
          <w:tblCellMar>
            <w:top w:w="15" w:type="dxa"/>
            <w:left w:w="15" w:type="dxa"/>
            <w:bottom w:w="15" w:type="dxa"/>
            <w:right w:w="15" w:type="dxa"/>
          </w:tblCellMar>
        </w:tblPrEx>
        <w:trPr>
          <w:trHeight w:val="862" w:hRule="atLeast"/>
        </w:trPr>
        <w:tc>
          <w:tcPr>
            <w:tcW w:w="0" w:type="auto"/>
            <w:tcMar>
              <w:top w:w="150" w:type="dxa"/>
              <w:left w:w="0" w:type="dxa"/>
              <w:bottom w:w="150" w:type="dxa"/>
              <w:right w:w="240" w:type="dxa"/>
            </w:tcMar>
            <w:vAlign w:val="center"/>
          </w:tcPr>
          <w:p w14:paraId="76069858">
            <w:pPr>
              <w:spacing w:after="0" w:line="375" w:lineRule="atLeast"/>
              <w:rPr>
                <w:rFonts w:hint="default" w:ascii="Arial" w:hAnsi="Arial" w:eastAsia="Times New Roman" w:cs="Arial"/>
                <w:kern w:val="0"/>
                <w:sz w:val="24"/>
                <w:szCs w:val="24"/>
                <w:lang w:eastAsia="es-CL"/>
                <w14:ligatures w14:val="none"/>
              </w:rPr>
            </w:pPr>
            <w:r>
              <w:rPr>
                <w:rFonts w:hint="default" w:ascii="Arial" w:hAnsi="Arial" w:eastAsia="Times New Roman" w:cs="Arial"/>
                <w:b/>
                <w:bCs/>
                <w:kern w:val="0"/>
                <w:sz w:val="24"/>
                <w:szCs w:val="24"/>
                <w:lang w:eastAsia="es-CL"/>
                <w14:ligatures w14:val="none"/>
              </w:rPr>
              <w:t>¿Qué tienen que ver los SLEP con su proyecto?</w:t>
            </w:r>
          </w:p>
        </w:tc>
        <w:tc>
          <w:tcPr>
            <w:tcW w:w="0" w:type="auto"/>
            <w:tcMar>
              <w:top w:w="150" w:type="dxa"/>
              <w:left w:w="240" w:type="dxa"/>
              <w:bottom w:w="150" w:type="dxa"/>
              <w:right w:w="0" w:type="dxa"/>
            </w:tcMar>
            <w:vAlign w:val="center"/>
          </w:tcPr>
          <w:p w14:paraId="760F5BE1">
            <w:pPr>
              <w:spacing w:after="0" w:line="375" w:lineRule="atLeast"/>
              <w:rPr>
                <w:rFonts w:hint="default" w:ascii="Arial" w:hAnsi="Arial" w:eastAsia="Times New Roman" w:cs="Arial"/>
                <w:kern w:val="0"/>
                <w:sz w:val="24"/>
                <w:szCs w:val="24"/>
                <w:lang w:eastAsia="es-CL"/>
                <w14:ligatures w14:val="none"/>
              </w:rPr>
            </w:pPr>
            <w:r>
              <w:rPr>
                <w:rFonts w:hint="default" w:ascii="Arial" w:hAnsi="Arial" w:eastAsia="Times New Roman" w:cs="Arial"/>
                <w:kern w:val="0"/>
                <w:sz w:val="24"/>
                <w:szCs w:val="24"/>
                <w:lang w:eastAsia="es-CL"/>
                <w14:ligatures w14:val="none"/>
              </w:rPr>
              <w:t>Los SLEP son nuestros clientes potenciales. Necesitan herramientas para gestionar sus establecimientos; nosotros les ofrecemos la plataforma tecnológica que facilita esa gestión y les entrega datos en tiempo real para la toma de decisiones.</w:t>
            </w:r>
          </w:p>
        </w:tc>
      </w:tr>
      <w:tr w14:paraId="23DAD033">
        <w:tblPrEx>
          <w:tblCellMar>
            <w:top w:w="15" w:type="dxa"/>
            <w:left w:w="15" w:type="dxa"/>
            <w:bottom w:w="15" w:type="dxa"/>
            <w:right w:w="15" w:type="dxa"/>
          </w:tblCellMar>
        </w:tblPrEx>
        <w:trPr>
          <w:trHeight w:val="1170" w:hRule="atLeast"/>
        </w:trPr>
        <w:tc>
          <w:tcPr>
            <w:tcW w:w="0" w:type="auto"/>
            <w:tcMar>
              <w:top w:w="150" w:type="dxa"/>
              <w:left w:w="0" w:type="dxa"/>
              <w:bottom w:w="150" w:type="dxa"/>
              <w:right w:w="240" w:type="dxa"/>
            </w:tcMar>
            <w:vAlign w:val="center"/>
          </w:tcPr>
          <w:p w14:paraId="5790DD4C">
            <w:pPr>
              <w:spacing w:after="0" w:line="375" w:lineRule="atLeast"/>
              <w:rPr>
                <w:rFonts w:hint="default" w:ascii="Arial" w:hAnsi="Arial" w:eastAsia="Times New Roman" w:cs="Arial"/>
                <w:kern w:val="0"/>
                <w:sz w:val="24"/>
                <w:szCs w:val="24"/>
                <w:lang w:eastAsia="es-CL"/>
                <w14:ligatures w14:val="none"/>
              </w:rPr>
            </w:pPr>
            <w:r>
              <w:rPr>
                <w:rFonts w:hint="default" w:ascii="Arial" w:hAnsi="Arial" w:eastAsia="Times New Roman" w:cs="Arial"/>
                <w:b/>
                <w:bCs/>
                <w:kern w:val="0"/>
                <w:sz w:val="24"/>
                <w:szCs w:val="24"/>
                <w:lang w:eastAsia="es-CL"/>
                <w14:ligatures w14:val="none"/>
              </w:rPr>
              <w:t>¿En qué se diferencia EduSync de lo que ya hace un SLEP?</w:t>
            </w:r>
          </w:p>
        </w:tc>
        <w:tc>
          <w:tcPr>
            <w:tcW w:w="0" w:type="auto"/>
            <w:tcMar>
              <w:top w:w="150" w:type="dxa"/>
              <w:left w:w="240" w:type="dxa"/>
              <w:bottom w:w="150" w:type="dxa"/>
              <w:right w:w="0" w:type="dxa"/>
            </w:tcMar>
            <w:vAlign w:val="center"/>
          </w:tcPr>
          <w:p w14:paraId="6B868CF7">
            <w:pPr>
              <w:spacing w:after="0" w:line="375" w:lineRule="atLeast"/>
              <w:rPr>
                <w:rFonts w:hint="default" w:ascii="Arial" w:hAnsi="Arial" w:eastAsia="Times New Roman" w:cs="Arial"/>
                <w:kern w:val="0"/>
                <w:sz w:val="24"/>
                <w:szCs w:val="24"/>
                <w:lang w:eastAsia="es-CL"/>
                <w14:ligatures w14:val="none"/>
              </w:rPr>
            </w:pPr>
            <w:r>
              <w:rPr>
                <w:rFonts w:hint="default" w:ascii="Arial" w:hAnsi="Arial" w:eastAsia="Times New Roman" w:cs="Arial"/>
                <w:kern w:val="0"/>
                <w:sz w:val="24"/>
                <w:szCs w:val="24"/>
                <w:lang w:eastAsia="es-CL"/>
                <w14:ligatures w14:val="none"/>
              </w:rPr>
              <w:t>Un SLEP es una entidad administrativa; EduSync es una herramienta de software. No compiten, se complementan. Nosotros les damos la tecnología para cumplir su misión de manera eficiente.</w:t>
            </w:r>
          </w:p>
        </w:tc>
      </w:tr>
      <w:tr w14:paraId="080FF295">
        <w:tblPrEx>
          <w:tblCellMar>
            <w:top w:w="15" w:type="dxa"/>
            <w:left w:w="15" w:type="dxa"/>
            <w:bottom w:w="15" w:type="dxa"/>
            <w:right w:w="15" w:type="dxa"/>
          </w:tblCellMar>
        </w:tblPrEx>
        <w:trPr>
          <w:trHeight w:val="1478" w:hRule="atLeast"/>
        </w:trPr>
        <w:tc>
          <w:tcPr>
            <w:tcW w:w="0" w:type="auto"/>
            <w:tcMar>
              <w:top w:w="150" w:type="dxa"/>
              <w:left w:w="0" w:type="dxa"/>
              <w:bottom w:w="150" w:type="dxa"/>
              <w:right w:w="240" w:type="dxa"/>
            </w:tcMar>
            <w:vAlign w:val="center"/>
          </w:tcPr>
          <w:p w14:paraId="1C7200BB">
            <w:pPr>
              <w:spacing w:after="0" w:line="375" w:lineRule="atLeast"/>
              <w:rPr>
                <w:rFonts w:hint="default" w:ascii="Arial" w:hAnsi="Arial" w:eastAsia="Times New Roman" w:cs="Arial"/>
                <w:kern w:val="0"/>
                <w:sz w:val="24"/>
                <w:szCs w:val="24"/>
                <w:lang w:eastAsia="es-CL"/>
                <w14:ligatures w14:val="none"/>
              </w:rPr>
            </w:pPr>
            <w:r>
              <w:rPr>
                <w:rFonts w:hint="default" w:ascii="Arial" w:hAnsi="Arial" w:eastAsia="Times New Roman" w:cs="Arial"/>
                <w:b/>
                <w:bCs/>
                <w:kern w:val="0"/>
                <w:sz w:val="24"/>
                <w:szCs w:val="24"/>
                <w:lang w:eastAsia="es-CL"/>
                <w14:ligatures w14:val="none"/>
              </w:rPr>
              <w:t>¿Existe un estándar oficial que deban cumplir?</w:t>
            </w:r>
          </w:p>
        </w:tc>
        <w:tc>
          <w:tcPr>
            <w:tcW w:w="0" w:type="auto"/>
            <w:tcMar>
              <w:top w:w="150" w:type="dxa"/>
              <w:left w:w="240" w:type="dxa"/>
              <w:bottom w:w="150" w:type="dxa"/>
              <w:right w:w="0" w:type="dxa"/>
            </w:tcMar>
            <w:vAlign w:val="center"/>
          </w:tcPr>
          <w:p w14:paraId="5C92D55B">
            <w:pPr>
              <w:spacing w:after="0" w:line="375" w:lineRule="atLeast"/>
              <w:rPr>
                <w:rFonts w:hint="default" w:ascii="Arial" w:hAnsi="Arial" w:eastAsia="Times New Roman" w:cs="Arial"/>
                <w:kern w:val="0"/>
                <w:sz w:val="24"/>
                <w:szCs w:val="24"/>
                <w:lang w:eastAsia="es-CL"/>
                <w14:ligatures w14:val="none"/>
              </w:rPr>
            </w:pPr>
            <w:r>
              <w:rPr>
                <w:rFonts w:hint="default" w:ascii="Arial" w:hAnsi="Arial" w:eastAsia="Times New Roman" w:cs="Arial"/>
                <w:kern w:val="0"/>
                <w:sz w:val="24"/>
                <w:szCs w:val="24"/>
                <w:lang w:eastAsia="es-CL"/>
                <w14:ligatures w14:val="none"/>
              </w:rPr>
              <w:t>Sí, el Centro de Innovación del MINEDUC desarrolló el Estándar de Datos Educativos (EDE) para sistemas que digitalicen el libro de clases. EduSync está diseñado para cumplir con ese estándar, garantizando interoperabilidad y cumplimiento normativo .</w:t>
            </w:r>
          </w:p>
        </w:tc>
      </w:tr>
    </w:tbl>
    <w:p w14:paraId="0D5DE44C">
      <w:pPr>
        <w:rPr>
          <w:rFonts w:hint="default" w:ascii="Arial" w:hAnsi="Arial" w:cs="Arial"/>
          <w:sz w:val="24"/>
          <w:szCs w:val="24"/>
        </w:rPr>
      </w:pPr>
    </w:p>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B73F5E"/>
    <w:multiLevelType w:val="multilevel"/>
    <w:tmpl w:val="06B73F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3973E8C"/>
    <w:multiLevelType w:val="multilevel"/>
    <w:tmpl w:val="13973E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CA47C13"/>
    <w:multiLevelType w:val="multilevel"/>
    <w:tmpl w:val="4CA47C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11D"/>
    <w:rsid w:val="0069011D"/>
    <w:rsid w:val="006B717F"/>
    <w:rsid w:val="00CD3C09"/>
    <w:rsid w:val="00D2448A"/>
    <w:rsid w:val="00E74876"/>
    <w:rsid w:val="0E7F6D8F"/>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s-CL"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Título 1 C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Título 2 C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Título 3 Car"/>
    <w:basedOn w:val="11"/>
    <w:link w:val="4"/>
    <w:qFormat/>
    <w:uiPriority w:val="9"/>
    <w:rPr>
      <w:rFonts w:eastAsiaTheme="majorEastAsia" w:cstheme="majorBidi"/>
      <w:color w:val="104862" w:themeColor="accent1" w:themeShade="BF"/>
      <w:sz w:val="28"/>
      <w:szCs w:val="28"/>
    </w:rPr>
  </w:style>
  <w:style w:type="character" w:customStyle="1" w:styleId="19">
    <w:name w:val="Título 4 Car"/>
    <w:basedOn w:val="11"/>
    <w:link w:val="5"/>
    <w:semiHidden/>
    <w:qFormat/>
    <w:uiPriority w:val="9"/>
    <w:rPr>
      <w:rFonts w:eastAsiaTheme="majorEastAsia" w:cstheme="majorBidi"/>
      <w:i/>
      <w:iCs/>
      <w:color w:val="104862" w:themeColor="accent1" w:themeShade="BF"/>
    </w:rPr>
  </w:style>
  <w:style w:type="character" w:customStyle="1" w:styleId="20">
    <w:name w:val="Título 5 Car"/>
    <w:basedOn w:val="11"/>
    <w:link w:val="6"/>
    <w:semiHidden/>
    <w:qFormat/>
    <w:uiPriority w:val="9"/>
    <w:rPr>
      <w:rFonts w:eastAsiaTheme="majorEastAsia" w:cstheme="majorBidi"/>
      <w:color w:val="104862" w:themeColor="accent1" w:themeShade="BF"/>
    </w:rPr>
  </w:style>
  <w:style w:type="character" w:customStyle="1" w:styleId="21">
    <w:name w:val="Título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ítulo C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ítulo C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Cita C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Cita destacada C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1337</Words>
  <Characters>7358</Characters>
  <Lines>61</Lines>
  <Paragraphs>17</Paragraphs>
  <TotalTime>11</TotalTime>
  <ScaleCrop>false</ScaleCrop>
  <LinksUpToDate>false</LinksUpToDate>
  <CharactersWithSpaces>8678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2026-03-23T02:03:00Z</dcterms:created>
  <dc:creator>WinterOS</dc:creator>
  <cp:lastModifiedBy>Leonardo Rodríguez</cp:lastModifiedBy>
  <dcterms:modified xsi:type="dcterms:W3CDTF">2026-03-23T23:53:15Z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942A9863957942058279E0EB5ADC7300_12</vt:lpwstr>
  </property>
</Properties>
</file>