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pBdr>
          <w:bottom w:val="single" w:sz="4" w:space="1" w:color="CCCCCC"/>
        </w:pBdr>
        <w:tabs>
          <w:tab w:val="right" w:pos="9000"/>
        </w:tabs>
      </w:pPr>
      <w:r>
        <w:rPr>
          <w:b/>
          <w:color w:val="1F4E79"/>
          <w:sz w:val="16"/>
        </w:rPr>
        <w:t>TERMO DE ABERTURA DO PROJETO</w:t>
      </w:r>
      <w:r>
        <w:tab/>
      </w:r>
      <w:r>
        <w:rPr>
          <w:color w:val="AAAAAA"/>
          <w:sz w:val="18"/>
        </w:rPr>
        <w:t>[Nome do Projeto]</w:t>
      </w:r>
    </w:p>
    <w:p>
      <w:pPr>
        <w:spacing w:before="480" w:after="160"/>
        <w:jc w:val="center"/>
      </w:pPr>
      <w:r>
        <w:rPr>
          <w:b/>
          <w:color w:val="0176BD"/>
          <w:sz w:val="18"/>
        </w:rPr>
        <w:t>GUIA PMBOK® — 8ª EDIÇÃO</w:t>
      </w:r>
    </w:p>
    <w:p>
      <w:pPr>
        <w:spacing w:before="80" w:after="240"/>
        <w:jc w:val="center"/>
      </w:pPr>
      <w:r>
        <w:rPr>
          <w:rFonts w:ascii="Calibri" w:hAnsi="Calibri"/>
          <w:b/>
          <w:color w:val="1F4E79"/>
          <w:sz w:val="48"/>
        </w:rPr>
        <w:t>Termo de Abertura do Projeto</w:t>
      </w:r>
    </w:p>
    <w:p>
      <w:pPr>
        <w:spacing w:before="0" w:after="320"/>
        <w:jc w:val="center"/>
      </w:pPr>
      <w:r>
        <w:rPr>
          <w:color w:val="555555"/>
          <w:sz w:val="18"/>
        </w:rPr>
        <w:t>Saída do Processo: Iniciar o Projeto ou Fase  |  Domínio: Governça</w:t>
      </w:r>
    </w:p>
    <w:p>
      <w:pPr>
        <w:spacing w:before="0" w:after="240"/>
        <w:pBdr>
          <w:bottom w:val="single" w:sz="4" w:space="1" w:color="CCCCCC"/>
        </w:pBdr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1. Identificação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Nome do Projeto</w:t>
            </w:r>
          </w:p>
        </w:tc>
        <w:tc>
          <w:tcPr>
            <w:tcW w:type="dxa" w:w="7053"/>
            <w:gridSpan w:val="3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ProjectAdm — Plataforma SaaS de Gestão de Projetos</w:t>
            </w:r>
          </w:p>
        </w:tc>
      </w:tr>
      <w:tr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Código / ID</w:t>
            </w:r>
          </w:p>
        </w:tc>
        <w:tc>
          <w:tcPr>
            <w:gridSpan w:val="3"/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PRJ-2025-001</w:t>
            </w:r>
          </w:p>
        </w:tc>
      </w:tr>
      <w:tr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Data de Início Prevista</w:t>
            </w:r>
          </w:p>
        </w:tc>
        <w:tc>
          <w:tcPr>
            <w:gridSpan w:val="3"/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15/01/2025</w:t>
            </w:r>
          </w:p>
        </w:tc>
      </w:tr>
      <w:tr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Patrocinador (Sponsor)</w:t>
            </w:r>
          </w:p>
        </w:tc>
        <w:tc>
          <w:tcPr>
            <w:gridSpan w:val="3"/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Henry Douglas &amp; Eduardo Montes</w:t>
            </w:r>
          </w:p>
        </w:tc>
      </w:tr>
      <w:tr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Gerente do Projeto</w:t>
            </w:r>
          </w:p>
        </w:tc>
        <w:tc>
          <w:tcPr>
            <w:gridSpan w:val="3"/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Eduardo Montes — PMP, PSM I</w:t>
            </w:r>
          </w:p>
        </w:tc>
      </w:tr>
      <w:tr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Organização / Área</w:t>
            </w:r>
          </w:p>
        </w:tc>
        <w:tc>
          <w:tcPr>
            <w:gridSpan w:val="3"/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ProjectAdm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2. Justificativa e Propósito</w:t>
      </w:r>
    </w:p>
    <w:p>
      <w:pPr>
        <w:spacing w:after="80"/>
      </w:pPr>
      <w:r>
        <w:rPr>
          <w:i/>
          <w:color w:val="555555"/>
          <w:sz w:val="16"/>
        </w:rPr>
        <w:t>Descreva o problema ou oportunidade que originou este projeto e o alinhamento com os objetivos estratégicos da organização.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 gestão de projetos no Brasil é fragmentada: equipes utilizam planilhas isoladas, ferramentas genéricas e documentos desconectados, gerando retrabalho, falta de visibilidade e baixa aderência ao PMBOK. O ProjectAdm nasce para resolver esse problema com uma plataforma SaaS integrada, desenvolvida especificamente para gerentes de projetos certificados (PMP, PSM), oferecendo templates, dashboards e fluxos alinhados ao PMBOK 8 em português. O mercado-alvo são os 18.000+ usuários cadastrados no escritoriodeprojetos.com.br e a base de 180.000 profissionais certificados no Brasil.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3. Objetivos Mensuráveis (SMART)</w:t>
      </w:r>
    </w:p>
    <w:p>
      <w:pPr>
        <w:spacing w:after="80"/>
      </w:pPr>
      <w:r>
        <w:rPr>
          <w:i/>
          <w:color w:val="555555"/>
          <w:sz w:val="16"/>
        </w:rPr>
        <w:t>Cada objetivo deve ser Específico, Mensurável, Atingível, Relevante e com Prazo definido.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Métrica de Sucesso</w:t>
            </w:r>
          </w:p>
        </w:tc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Prazo</w:t>
            </w:r>
          </w:p>
        </w:tc>
      </w:tr>
      <w:tr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Lançar MVP da plataforma com módulos de cronograma, riscos e stakeholders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Aceite formal do Patrocinador com 90% das funcionalidades core implementadas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30/06/2025</w:t>
            </w:r>
          </w:p>
        </w:tc>
      </w:tr>
      <w:tr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Atingir 200 usuários beta ativos na versão trial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200 contas ativas com pelo menos 1 projeto criado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31/10/2025</w:t>
            </w:r>
          </w:p>
        </w:tc>
      </w:tr>
      <w:tr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Encerrar o projeto dentro do orçamento aprovado (R$ 120.000)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CPI &gt;= 0,90 ao longo do projeto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31/12/2025</w:t>
            </w:r>
          </w:p>
        </w:tc>
      </w:tr>
      <w:tr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Obter NPS &gt;= 40 dos usuários beta ao final do projeto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Pesquisa de NPS aplicada após cada release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31/12/2025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4. Requisitos de Alto Nível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4703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Descrição do Requisito</w:t>
            </w:r>
          </w:p>
        </w:tc>
      </w:tr>
      <w:tr>
        <w:tc>
          <w:tcPr>
            <w:tcW w:type="dxa" w:w="4703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Funcional</w:t>
            </w:r>
          </w:p>
        </w:tc>
        <w:tc>
          <w:tcPr>
            <w:tcW w:type="dxa" w:w="4703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Módulos de cronograma (Gantt), registro de riscos, stakeholders e dashboard EVM integrados na plataforma.</w:t>
            </w:r>
          </w:p>
        </w:tc>
      </w:tr>
      <w:tr>
        <w:tc>
          <w:tcPr>
            <w:tcW w:type="dxa" w:w="4703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Não-funcional</w:t>
            </w:r>
          </w:p>
        </w:tc>
        <w:tc>
          <w:tcPr>
            <w:tcW w:type="dxa" w:w="4703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Disponibilidade de 99,5% em horário comercial; tempo de resposta de API &lt;= 200ms; conformidade WCAG 2.1 AA.</w:t>
            </w:r>
          </w:p>
        </w:tc>
      </w:tr>
      <w:tr>
        <w:tc>
          <w:tcPr>
            <w:tcW w:type="dxa" w:w="4703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Regulatório</w:t>
            </w:r>
          </w:p>
        </w:tc>
        <w:tc>
          <w:tcPr>
            <w:tcW w:type="dxa" w:w="4703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Conformidade com a LGPD; dados armazenados em servidores no Brasil (AWS São Paulo).</w:t>
            </w:r>
          </w:p>
        </w:tc>
      </w:tr>
      <w:tr>
        <w:tc>
          <w:tcPr>
            <w:tcW w:type="dxa" w:w="4703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Qualidade</w:t>
            </w:r>
          </w:p>
        </w:tc>
        <w:tc>
          <w:tcPr>
            <w:tcW w:type="dxa" w:w="4703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Cobertura de testes unitários &gt;= 80%; taxa de defeitos &lt;= 0,5 bug por história de usuário entregue por sprint.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5. Premissas e Restrições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Responsável pela Validação</w:t>
            </w:r>
          </w:p>
        </w:tc>
      </w:tr>
      <w:tr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Premissa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 equipe técnica (Marcus Webb, Julia Chen, Bruno Silva) estará disponível em tempo integral durante todo o projeto.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Eduardo Montes</w:t>
            </w:r>
          </w:p>
        </w:tc>
      </w:tr>
      <w:tr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Premissa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 infraestrutura AWS estará operacional na semana 2; custos de cloud estimados em R$ 18.000 para 12 meses.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Henry Douglas</w:t>
            </w:r>
          </w:p>
        </w:tc>
      </w:tr>
      <w:tr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Restrição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Orçamento total fixo de R$ 120.000 (base) + R$ 18.000 (reservas); nenhum aporte adicional sem aprovação formal.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Henry Douglas &amp; Eduardo Montes</w:t>
            </w:r>
          </w:p>
        </w:tc>
      </w:tr>
      <w:tr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Restrição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O lançamento beta deve ocorrer até 31/10/2025 para capturar a demanda do mercado antes do ciclo de certificações PMP de 2026.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Henry Douglas &amp; Eduardo Montes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6. Riscos Iniciais de Alto Nível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Resposta Preliminar</w:t>
            </w:r>
          </w:p>
        </w:tc>
      </w:tr>
      <w:tr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Adoção lenta pelos usuários beta (curva de aprendizado da plataforma)</w:t>
            </w:r>
          </w:p>
        </w:tc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Média</w:t>
            </w:r>
          </w:p>
        </w:tc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Alto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Programa de onboarding guiado + suporte via chat na plataforma</w:t>
            </w:r>
          </w:p>
        </w:tc>
      </w:tr>
      <w:tr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Atraso na entrega de funcionalidades técnicas complexas (módulo EVM)</w:t>
            </w:r>
          </w:p>
        </w:tc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Alta</w:t>
            </w:r>
          </w:p>
        </w:tc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Alto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Sprint 0 de prototipagem; revisão de backlog a cada sprint planning</w:t>
            </w:r>
          </w:p>
        </w:tc>
      </w:tr>
      <w:tr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Dependência de serviços terceiros (AWS, Jira, GitHub) — interrupção de serviço</w:t>
            </w:r>
          </w:p>
        </w:tc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Baixa</w:t>
            </w:r>
          </w:p>
        </w:tc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Alto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Plano de contingência com ambientes alternativos; SLA contratado com AWS</w:t>
            </w:r>
          </w:p>
        </w:tc>
      </w:tr>
      <w:tr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Scope creep — adição não controlada de funcionalidades pelo PO</w:t>
            </w:r>
          </w:p>
        </w:tc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Média</w:t>
            </w:r>
          </w:p>
        </w:tc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Médio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Processo formal de CCM; backlog priorizado pelo PO com aprovação do GP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7. Cronograma de Marcos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 Prevista</w:t>
            </w:r>
          </w:p>
        </w:tc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Critério de Conclusão</w:t>
            </w:r>
          </w:p>
        </w:tc>
      </w:tr>
      <w:tr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Kick-off do projeto</w:t>
            </w:r>
          </w:p>
        </w:tc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15/01/2025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Reunião de kick-off realizada; Plano de Gerenciamento do Projeto aprovado</w:t>
            </w:r>
          </w:p>
        </w:tc>
      </w:tr>
      <w:tr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Conclusão da Fase 1 — Arquitetura e Setup</w:t>
            </w:r>
          </w:p>
        </w:tc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31/03/2025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Arquitetura técnica documentada; ambiente de desenvolvimento e CI/CD configurados</w:t>
            </w:r>
          </w:p>
        </w:tc>
      </w:tr>
      <w:tr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Entrega do MVP — Fase 2</w:t>
            </w:r>
          </w:p>
        </w:tc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30/06/2025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Aceite formal do Patrocinador; módulos core implementados e testados</w:t>
            </w:r>
          </w:p>
        </w:tc>
      </w:tr>
      <w:tr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Produto Completo — Fase 3</w:t>
            </w:r>
          </w:p>
        </w:tc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30/09/2025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Todas as funcionalidades implementadas; testes de aceite concluídos</w:t>
            </w:r>
          </w:p>
        </w:tc>
      </w:tr>
      <w:tr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Lançamento Beta e Encerramento</w:t>
            </w:r>
          </w:p>
        </w:tc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31/12/2025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Plataforma em produção com 200 usuários beta; Termo de Encerramento assinado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8. Orçamento Preliminar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Valor Estimado (R$)</w:t>
            </w:r>
          </w:p>
        </w:tc>
        <w:tc>
          <w:tcPr>
            <w:tcW w:type="dxa" w:w="3135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Recursos Humanos (equipe interna — 5 membros)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R$ 84.000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70% do orçamento base; salários e honorários de jan a dez/2025</w:t>
            </w:r>
          </w:p>
        </w:tc>
      </w:tr>
      <w:tr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Infraestrutura Cloud (AWS)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R$ 18.000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EC2, RDS, S3, CloudFront — estimativa de 12 meses</w:t>
            </w:r>
          </w:p>
        </w:tc>
      </w:tr>
      <w:tr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Ferramentas e Licenças SaaS (Jira, GitHub, Google Workspace)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R$ 9.600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Planos anuais para equipe de 5 pessoas</w:t>
            </w:r>
          </w:p>
        </w:tc>
      </w:tr>
      <w:tr>
        <w:tc>
          <w:tcPr>
            <w:tcW w:type="dxa" w:w="3135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Reserva de Contingência (10%) + Reserva Gerencial (5%)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R$ 18.000</w:t>
            </w:r>
          </w:p>
        </w:tc>
        <w:tc>
          <w:tcPr>
            <w:tcW w:type="dxa" w:w="3135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Aprovada pelo Patrocinador; uso mediante solicitação formal do GP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3135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R$ 129.600</w:t>
            </w:r>
          </w:p>
        </w:tc>
        <w:tc>
          <w:tcPr>
            <w:tcW w:type="dxa" w:w="3135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9. Principais Partes Interessadas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Cargo / Organização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Papel no Projeto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Interesse / Influência</w:t>
            </w:r>
          </w:p>
        </w:tc>
      </w:tr>
      <w:tr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Henry Douglas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Líder Técnico &amp; Product Owner — ProjectAdm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Patrocinador; decisões técnicas e priorização do backlog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Alta influência / Alto interesse</w:t>
            </w:r>
          </w:p>
        </w:tc>
      </w:tr>
      <w:tr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Eduardo Montes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Gerente do Projeto — PMP, PSM I — ProjectAdm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Planejamento, controle, comunicação e governança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Alta influência / Alto interesse</w:t>
            </w:r>
          </w:p>
        </w:tc>
      </w:tr>
      <w:tr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Marcus Webb, Julia Chen, Bruno Silva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Equipe de Desenvolvimento — ProjectAdm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Implementação, testes e entrega das funcionalidades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Média influência / Alto interesse</w:t>
            </w:r>
          </w:p>
        </w:tc>
      </w:tr>
      <w:tr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Usuários Beta (base EP)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Gerentes de Projetos — clientes-alvo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Validação das funcionalidades e feedback de produto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Baixa influência / Alto interesse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10. Autoridade do Gerente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Nível de autoridade sobre o orçamento</w:t>
            </w:r>
          </w:p>
        </w:tc>
        <w:tc>
          <w:tcPr>
            <w:tcW w:type="dxa" w:w="4703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Pode aprovar despesas até R$ 1.000 sem consulta ao Patrocinador; acima disso, aprovação formal obrigatória.</w:t>
            </w:r>
          </w:p>
        </w:tc>
      </w:tr>
      <w:tr>
        <w:tc>
          <w:tcPr>
            <w:tcW w:type="dxa" w:w="4703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Nível de autoridade sobre a equipe</w:t>
            </w:r>
          </w:p>
        </w:tc>
        <w:tc>
          <w:tcPr>
            <w:tcW w:type="dxa" w:w="4703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Pode alocar e remanejar membros da equipe core sem aprovação; contratações externas requerem aprovação do Patrocinador.</w:t>
            </w:r>
          </w:p>
        </w:tc>
      </w:tr>
      <w:tr>
        <w:tc>
          <w:tcPr>
            <w:tcW w:type="dxa" w:w="4703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Limites de decisão de escopo</w:t>
            </w:r>
          </w:p>
        </w:tc>
        <w:tc>
          <w:tcPr>
            <w:tcW w:type="dxa" w:w="4703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Mudanças de até 5% do escopo aprovadas pelo GP; acima disso, CCM com Patrocinador e LT obrigatório.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11. Aprovações</w:t>
      </w:r>
    </w:p>
    <w:p>
      <w:pPr>
        <w:spacing w:after="80"/>
      </w:pPr>
      <w:r>
        <w:rPr>
          <w:color w:val="555555"/>
          <w:sz w:val="18"/>
        </w:rPr>
        <w:t>Ao assinar abaixo, os aprovadores confirmam que revisaram este Termo de Abertura e autorizam o projeto a avançar para a fase de planejamento.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Assinatura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Patrocinador do Projeto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200" w:after="200"/>
            </w:pPr>
            <w:r>
              <w:t>Henry Douglas &amp; Eduardo Montes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200" w:after="200"/>
            </w:pP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200" w:after="200"/>
            </w:pPr>
            <w:r>
              <w:t>15/01/2025</w:t>
            </w:r>
          </w:p>
        </w:tc>
      </w:tr>
      <w:tr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Gerente do Projeto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200" w:after="200"/>
            </w:pPr>
            <w:r>
              <w:t>Eduardo Montes — PMP, PSM I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200" w:after="200"/>
            </w:pP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200" w:after="200"/>
            </w:pPr>
            <w:r>
              <w:t>15/01/2025</w:t>
            </w:r>
          </w:p>
        </w:tc>
      </w:tr>
      <w:tr>
        <w:tc>
          <w:tcPr>
            <w:tcW w:type="dxa" w:w="2351"/>
            <w:shd w:val="clear" w:color="auto" w:fill="EBF5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b/>
                <w:color w:val="1F4E79"/>
                <w:sz w:val="18"/>
              </w:rPr>
              <w:t>Líder Técnico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200" w:after="200"/>
            </w:pPr>
            <w:r>
              <w:t>Henry Douglas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200" w:after="200"/>
            </w:pP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200" w:after="200"/>
            </w:pPr>
            <w:r>
              <w:t>15/01/2025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22"/>
        </w:rPr>
        <w:t>12. Controle de Versão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176BD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Descrição da Alteração</w:t>
            </w:r>
          </w:p>
        </w:tc>
      </w:tr>
      <w:tr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1.0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15/01/2025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Eduardo Montes</w:t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  <w:t>Versão inicial — kick-off do projeto ProjectAdm</w:t>
            </w:r>
          </w:p>
        </w:tc>
      </w:tr>
      <w:tr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40" w:after="40"/>
            </w:pPr>
            <w:r>
              <w:rPr>
                <w:i/>
                <w:color w:val="555555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F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>
            <w:pPr>
              <w:spacing w:before="80" w:after="80"/>
            </w:pPr>
            <w:r>
              <w:rPr>
                <w:color w:val="555555"/>
                <w:sz w:val="16"/>
              </w:rPr>
              <w:t>Modelo fornecido por escritoriodeprojetos.com.br  —  Alinhado ao Guia PMBOK® 8ª Edição (PMI, 2025)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4A09C3E02A604AA8862569A8596A32" ma:contentTypeVersion="10" ma:contentTypeDescription="Crie um novo documento." ma:contentTypeScope="" ma:versionID="9ebcba8d9189bd2d1d9ae1a9ecdf9ecf">
  <xsd:schema xmlns:xsd="http://www.w3.org/2001/XMLSchema" xmlns:xs="http://www.w3.org/2001/XMLSchema" xmlns:p="http://schemas.microsoft.com/office/2006/metadata/properties" xmlns:ns2="bcbcbace-201e-4ef7-8869-cccbfceb4df8" xmlns:ns3="bf55bb95-0e2d-49eb-8730-bda5c0a73d75" targetNamespace="http://schemas.microsoft.com/office/2006/metadata/properties" ma:root="true" ma:fieldsID="5728f961ced8355fef59faf963e69c4f" ns2:_="" ns3:_="">
    <xsd:import namespace="bcbcbace-201e-4ef7-8869-cccbfceb4df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bace-201e-4ef7-8869-cccbfceb4d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55b3ef0-86e3-4c4b-bf32-5e67dec0a59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bcbace-201e-4ef7-8869-cccbfceb4df8">
      <Terms xmlns="http://schemas.microsoft.com/office/infopath/2007/PartnerControls"/>
    </lcf76f155ced4ddcb4097134ff3c332f>
    <TaxCatchAll xmlns="bf55bb95-0e2d-49eb-8730-bda5c0a73d7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79E816-570E-4EA0-B172-83FD069836B4}"/>
</file>

<file path=customXml/itemProps3.xml><?xml version="1.0" encoding="utf-8"?>
<ds:datastoreItem xmlns:ds="http://schemas.openxmlformats.org/officeDocument/2006/customXml" ds:itemID="{4FE436CE-F9DC-4197-805E-14F0F80BDB55}"/>
</file>

<file path=customXml/itemProps4.xml><?xml version="1.0" encoding="utf-8"?>
<ds:datastoreItem xmlns:ds="http://schemas.openxmlformats.org/officeDocument/2006/customXml" ds:itemID="{5566F1E1-F498-4080-8A43-2265165E66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0x010100134A09C3E02A604AA8862569A8596A32</vt:lpwstr>
  </property>
</Properties>
</file>