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análise dos dados revelou que o maior gargalo operacional da empresa está relacionado ao gerenciamento de pedidos e ao controle de estoque. Os gráficos de distribuição e a identificação de outliers mostraram que uma parcela reduzida dos pedidos concentrou grande parte dos atrasos e inconsistências operacionais, afetando diretamente o faturamento e a eficiência do processo. Além disso, a análise de correlação apresentou uma relação fraca entre volume de pedidos e faturamento, indicando que o aumento na quantidade de vendas não gera necessariamente maior lucro, devido a falhas no controle operacional e possíveis perdas por falta de estoque ou atrasos no atendimento. O principal KPI calculado demonstrou queda na eficiência dos pedidos concluídos com sucesso, reforçando a existência desse problema. Esses resultados justificam as metas e o escopo definidos no Termo de Abertura (TAP), que incluem o desenvolvimento de um sistema web capaz de melhorar o controle de estoque, otimizar o gerenciamento de pedidos, organizar processos internos e ampliar a presença digital da empresa, reduzindo falhas operacionais e aumentando a eficiência do negócio.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