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b w:val="1"/>
        </w:rPr>
        <w:drawing>
          <wp:inline distB="114300" distT="114300" distL="114300" distR="114300">
            <wp:extent cx="4164634" cy="1290638"/>
            <wp:effectExtent b="0" l="0" r="0" t="0"/>
            <wp:docPr descr="Resultado de imagen para ITESM" id="5" name="image6.png"/>
            <a:graphic>
              <a:graphicData uri="http://schemas.openxmlformats.org/drawingml/2006/picture">
                <pic:pic>
                  <pic:nvPicPr>
                    <pic:cNvPr descr="Resultado de imagen para ITESM" id="0" name="image6.png"/>
                    <pic:cNvPicPr preferRelativeResize="0"/>
                  </pic:nvPicPr>
                  <pic:blipFill>
                    <a:blip r:embed="rId6"/>
                    <a:srcRect b="0" l="0" r="0" t="0"/>
                    <a:stretch>
                      <a:fillRect/>
                    </a:stretch>
                  </pic:blipFill>
                  <pic:spPr>
                    <a:xfrm>
                      <a:off x="0" y="0"/>
                      <a:ext cx="416463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Instituto Tecnológico de Estudios Superiores Monterrey</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CAMPUS QUERÉTARO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Herramientas computacionales: el arte de la analítica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Grupo 120</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Pedro Oscar Pérez Murueta</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Actividad </w:t>
      </w:r>
    </w:p>
    <w:p w:rsidR="00000000" w:rsidDel="00000000" w:rsidP="00000000" w:rsidRDefault="00000000" w:rsidRPr="00000000" w14:paraId="00000012">
      <w:pPr>
        <w:jc w:val="center"/>
        <w:rPr>
          <w:sz w:val="28"/>
          <w:szCs w:val="28"/>
        </w:rPr>
      </w:pPr>
      <w:r w:rsidDel="00000000" w:rsidR="00000000" w:rsidRPr="00000000">
        <w:rPr>
          <w:b w:val="1"/>
          <w:sz w:val="28"/>
          <w:szCs w:val="28"/>
          <w:rtl w:val="0"/>
        </w:rPr>
        <w:t xml:space="preserve">Patrones con K-means</w:t>
      </w: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ab/>
        <w:tab/>
        <w:tab/>
        <w:tab/>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 Equipo 4</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Jordana Betancourt Menchaca - A01707434</w:t>
      </w:r>
    </w:p>
    <w:p w:rsidR="00000000" w:rsidDel="00000000" w:rsidP="00000000" w:rsidRDefault="00000000" w:rsidRPr="00000000" w14:paraId="0000001A">
      <w:pPr>
        <w:jc w:val="center"/>
        <w:rPr>
          <w:sz w:val="28"/>
          <w:szCs w:val="28"/>
        </w:rPr>
      </w:pPr>
      <w:r w:rsidDel="00000000" w:rsidR="00000000" w:rsidRPr="00000000">
        <w:rPr>
          <w:sz w:val="28"/>
          <w:szCs w:val="28"/>
          <w:rtl w:val="0"/>
        </w:rPr>
        <w:tab/>
        <w:t xml:space="preserve">Leonardo Santiago Ramos Pérez A01707812</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Stefano Herrejón - A00571720</w:t>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Fecha:</w:t>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28 de octubre de 2021</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La hipótesis planteada fue que el procesamiento, transporte y empaquetado de alimentos contaminan lo mismo, esto debido a que nos dimos cuenta que los valores en esas columnas eran demasiado parecidos unos con los otros, por lo cual decidimos comprobar si era cierto.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4"/>
          <w:szCs w:val="24"/>
        </w:rPr>
      </w:pPr>
      <w:r w:rsidDel="00000000" w:rsidR="00000000" w:rsidRPr="00000000">
        <w:rPr>
          <w:b w:val="1"/>
          <w:sz w:val="24"/>
          <w:szCs w:val="24"/>
          <w:rtl w:val="0"/>
        </w:rPr>
        <w:t xml:space="preserve">¿Crees que estos centros puedan ser representativos de los datos? ¿Por qué?</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Si, debido a que se observa una buena división de grupos, donde no quedan encimados los centros o los valores muy alejados a éste.</w:t>
      </w:r>
    </w:p>
    <w:p w:rsidR="00000000" w:rsidDel="00000000" w:rsidP="00000000" w:rsidRDefault="00000000" w:rsidRPr="00000000" w14:paraId="00000025">
      <w:pPr>
        <w:ind w:left="720" w:firstLine="0"/>
        <w:jc w:val="center"/>
        <w:rPr>
          <w:sz w:val="24"/>
          <w:szCs w:val="24"/>
        </w:rPr>
      </w:pPr>
      <w:r w:rsidDel="00000000" w:rsidR="00000000" w:rsidRPr="00000000">
        <w:rPr>
          <w:sz w:val="24"/>
          <w:szCs w:val="24"/>
        </w:rPr>
        <w:drawing>
          <wp:inline distB="114300" distT="114300" distL="114300" distR="114300">
            <wp:extent cx="3009900" cy="22288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099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24"/>
          <w:szCs w:val="24"/>
        </w:rPr>
      </w:pPr>
      <w:r w:rsidDel="00000000" w:rsidR="00000000" w:rsidRPr="00000000">
        <w:rPr>
          <w:b w:val="1"/>
          <w:sz w:val="24"/>
          <w:szCs w:val="24"/>
          <w:rtl w:val="0"/>
        </w:rPr>
        <w:t xml:space="preserve">¿Cómo obtuviste el valor de k a usar?</w:t>
      </w:r>
    </w:p>
    <w:p w:rsidR="00000000" w:rsidDel="00000000" w:rsidP="00000000" w:rsidRDefault="00000000" w:rsidRPr="00000000" w14:paraId="00000027">
      <w:pPr>
        <w:ind w:left="720" w:firstLine="720"/>
        <w:jc w:val="both"/>
        <w:rPr>
          <w:sz w:val="24"/>
          <w:szCs w:val="24"/>
        </w:rPr>
      </w:pPr>
      <w:r w:rsidDel="00000000" w:rsidR="00000000" w:rsidRPr="00000000">
        <w:rPr>
          <w:sz w:val="24"/>
          <w:szCs w:val="24"/>
          <w:rtl w:val="0"/>
        </w:rPr>
        <w:t xml:space="preserve">A partir de la creación de una curva de codo y sus agrupaciones que iban generando de acuerdo a cuanto más suave era la curva en ese momento. </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Por lo cual se optó con un K de 3 clusters.</w:t>
      </w:r>
    </w:p>
    <w:p w:rsidR="00000000" w:rsidDel="00000000" w:rsidP="00000000" w:rsidRDefault="00000000" w:rsidRPr="00000000" w14:paraId="00000029">
      <w:pPr>
        <w:numPr>
          <w:ilvl w:val="0"/>
          <w:numId w:val="1"/>
        </w:numPr>
        <w:ind w:left="720" w:hanging="360"/>
        <w:jc w:val="both"/>
        <w:rPr>
          <w:b w:val="1"/>
          <w:sz w:val="24"/>
          <w:szCs w:val="24"/>
        </w:rPr>
      </w:pPr>
      <w:r w:rsidDel="00000000" w:rsidR="00000000" w:rsidRPr="00000000">
        <w:rPr>
          <w:b w:val="1"/>
          <w:sz w:val="24"/>
          <w:szCs w:val="24"/>
          <w:rtl w:val="0"/>
        </w:rPr>
        <w:t xml:space="preserve">¿Los centros serían más representativos si usaras un valor más alto? ¿Más bajo?</w:t>
      </w:r>
    </w:p>
    <w:p w:rsidR="00000000" w:rsidDel="00000000" w:rsidP="00000000" w:rsidRDefault="00000000" w:rsidRPr="00000000" w14:paraId="0000002A">
      <w:pPr>
        <w:ind w:left="720" w:firstLine="720"/>
        <w:jc w:val="both"/>
        <w:rPr>
          <w:sz w:val="24"/>
          <w:szCs w:val="24"/>
        </w:rPr>
      </w:pPr>
      <w:r w:rsidDel="00000000" w:rsidR="00000000" w:rsidRPr="00000000">
        <w:rPr>
          <w:sz w:val="24"/>
          <w:szCs w:val="24"/>
          <w:rtl w:val="0"/>
        </w:rPr>
        <w:t xml:space="preserve">Al tener menos centros se pierden muchos datos, dejando los más básicos o un punto en el que ya ni se puedan distinguir correctamente,quitándoles representatividad ;por el otro lado tener más valores de centro toma en cuenta todos los datos, pero resultaría imposible encontrar una relación buena, ya que, más centros implica más separaciones de datos, puede resultar más representativo, pero la finalidad es encontrar aquellos que sí hagan sentido y no de más.</w:t>
      </w:r>
    </w:p>
    <w:p w:rsidR="00000000" w:rsidDel="00000000" w:rsidP="00000000" w:rsidRDefault="00000000" w:rsidRPr="00000000" w14:paraId="0000002B">
      <w:pPr>
        <w:ind w:left="720" w:firstLine="720"/>
        <w:jc w:val="both"/>
        <w:rPr>
          <w:sz w:val="24"/>
          <w:szCs w:val="24"/>
        </w:rPr>
      </w:pPr>
      <w:r w:rsidDel="00000000" w:rsidR="00000000" w:rsidRPr="00000000">
        <w:rPr>
          <w:rtl w:val="0"/>
        </w:rPr>
      </w:r>
    </w:p>
    <w:p w:rsidR="00000000" w:rsidDel="00000000" w:rsidP="00000000" w:rsidRDefault="00000000" w:rsidRPr="00000000" w14:paraId="0000002C">
      <w:pPr>
        <w:ind w:left="720" w:firstLine="720"/>
        <w:jc w:val="both"/>
        <w:rPr>
          <w:sz w:val="24"/>
          <w:szCs w:val="24"/>
        </w:rPr>
      </w:pPr>
      <w:r w:rsidDel="00000000" w:rsidR="00000000" w:rsidRPr="00000000">
        <w:rPr>
          <w:sz w:val="24"/>
          <w:szCs w:val="24"/>
          <w:rtl w:val="0"/>
        </w:rPr>
        <w:t xml:space="preserve">Particularmente en nuestro caso, al colocar dos clusters resultaba que entre ellos estaban muy separados y poner cuatro centroides hacía que quedaran unos encima de otros.</w:t>
      </w:r>
    </w:p>
    <w:p w:rsidR="00000000" w:rsidDel="00000000" w:rsidP="00000000" w:rsidRDefault="00000000" w:rsidRPr="00000000" w14:paraId="0000002D">
      <w:pPr>
        <w:numPr>
          <w:ilvl w:val="0"/>
          <w:numId w:val="1"/>
        </w:numPr>
        <w:ind w:left="720" w:hanging="360"/>
        <w:jc w:val="both"/>
        <w:rPr>
          <w:b w:val="1"/>
          <w:sz w:val="24"/>
          <w:szCs w:val="24"/>
        </w:rPr>
      </w:pPr>
      <w:r w:rsidDel="00000000" w:rsidR="00000000" w:rsidRPr="00000000">
        <w:rPr>
          <w:b w:val="1"/>
          <w:sz w:val="24"/>
          <w:szCs w:val="24"/>
          <w:rtl w:val="0"/>
        </w:rPr>
        <w:t xml:space="preserve">¿Qué distancia tienen los centros entre sí? ¿Hay alguno que esté muy cercano a otros?</w:t>
      </w:r>
    </w:p>
    <w:p w:rsidR="00000000" w:rsidDel="00000000" w:rsidP="00000000" w:rsidRDefault="00000000" w:rsidRPr="00000000" w14:paraId="0000002E">
      <w:pPr>
        <w:ind w:left="720" w:firstLine="0"/>
        <w:jc w:val="center"/>
        <w:rPr>
          <w:b w:val="1"/>
          <w:sz w:val="24"/>
          <w:szCs w:val="24"/>
        </w:rPr>
      </w:pPr>
      <w:r w:rsidDel="00000000" w:rsidR="00000000" w:rsidRPr="00000000">
        <w:rPr>
          <w:b w:val="1"/>
          <w:sz w:val="24"/>
          <w:szCs w:val="24"/>
        </w:rPr>
        <w:drawing>
          <wp:inline distB="114300" distT="114300" distL="114300" distR="114300">
            <wp:extent cx="3629025" cy="28384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sz w:val="24"/>
          <w:szCs w:val="24"/>
        </w:rPr>
      </w:pPr>
      <w:r w:rsidDel="00000000" w:rsidR="00000000" w:rsidRPr="00000000">
        <w:rPr>
          <w:sz w:val="24"/>
          <w:szCs w:val="24"/>
          <w:rtl w:val="0"/>
        </w:rPr>
        <w:t xml:space="preserve">En procesamiento y transporte podemos observar que efectivamente tenemos dos centros que se encuentran cercanos.</w:t>
      </w:r>
    </w:p>
    <w:p w:rsidR="00000000" w:rsidDel="00000000" w:rsidP="00000000" w:rsidRDefault="00000000" w:rsidRPr="00000000" w14:paraId="00000030">
      <w:pPr>
        <w:ind w:left="720" w:firstLine="0"/>
        <w:jc w:val="center"/>
        <w:rPr>
          <w:b w:val="1"/>
          <w:sz w:val="24"/>
          <w:szCs w:val="24"/>
        </w:rPr>
      </w:pPr>
      <w:r w:rsidDel="00000000" w:rsidR="00000000" w:rsidRPr="00000000">
        <w:rPr>
          <w:b w:val="1"/>
          <w:sz w:val="24"/>
          <w:szCs w:val="24"/>
        </w:rPr>
        <w:drawing>
          <wp:inline distB="114300" distT="114300" distL="114300" distR="114300">
            <wp:extent cx="3619500" cy="27622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95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b w:val="1"/>
          <w:sz w:val="24"/>
          <w:szCs w:val="24"/>
        </w:rPr>
      </w:pPr>
      <w:r w:rsidDel="00000000" w:rsidR="00000000" w:rsidRPr="00000000">
        <w:rPr>
          <w:sz w:val="24"/>
          <w:szCs w:val="24"/>
          <w:rtl w:val="0"/>
        </w:rPr>
        <w:t xml:space="preserve">En procesamiento y empaquetamiento los centros se encuentran distantes.</w:t>
      </w:r>
      <w:r w:rsidDel="00000000" w:rsidR="00000000" w:rsidRPr="00000000">
        <w:rPr>
          <w:rtl w:val="0"/>
        </w:rPr>
      </w:r>
    </w:p>
    <w:p w:rsidR="00000000" w:rsidDel="00000000" w:rsidP="00000000" w:rsidRDefault="00000000" w:rsidRPr="00000000" w14:paraId="00000032">
      <w:pPr>
        <w:ind w:left="720" w:firstLine="0"/>
        <w:jc w:val="center"/>
        <w:rPr>
          <w:b w:val="1"/>
          <w:sz w:val="24"/>
          <w:szCs w:val="24"/>
        </w:rPr>
      </w:pPr>
      <w:r w:rsidDel="00000000" w:rsidR="00000000" w:rsidRPr="00000000">
        <w:rPr>
          <w:b w:val="1"/>
          <w:sz w:val="24"/>
          <w:szCs w:val="24"/>
        </w:rPr>
        <w:drawing>
          <wp:inline distB="114300" distT="114300" distL="114300" distR="114300">
            <wp:extent cx="3790950" cy="2781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909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center"/>
        <w:rPr>
          <w:sz w:val="24"/>
          <w:szCs w:val="24"/>
        </w:rPr>
      </w:pPr>
      <w:r w:rsidDel="00000000" w:rsidR="00000000" w:rsidRPr="00000000">
        <w:rPr>
          <w:sz w:val="24"/>
          <w:szCs w:val="24"/>
          <w:rtl w:val="0"/>
        </w:rPr>
        <w:t xml:space="preserve">En procesamiento y empaquetamiento es la relación de centros que se encuentran más juntos, por lo cual podrían ser casi idénticos los valores.</w:t>
      </w:r>
    </w:p>
    <w:p w:rsidR="00000000" w:rsidDel="00000000" w:rsidP="00000000" w:rsidRDefault="00000000" w:rsidRPr="00000000" w14:paraId="00000034">
      <w:pPr>
        <w:ind w:left="720" w:firstLine="0"/>
        <w:jc w:val="center"/>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b w:val="1"/>
          <w:sz w:val="24"/>
          <w:szCs w:val="24"/>
        </w:rPr>
      </w:pPr>
      <w:r w:rsidDel="00000000" w:rsidR="00000000" w:rsidRPr="00000000">
        <w:rPr>
          <w:b w:val="1"/>
          <w:sz w:val="24"/>
          <w:szCs w:val="24"/>
          <w:rtl w:val="0"/>
        </w:rPr>
        <w:t xml:space="preserve">¿Qué pasaría con los centros si tuviéramos muchos outliers en el análisis de cajas y bigotes?</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Los centros más separados no serían tomados en cuenta, y los valores más alejados a ellos tampoco quedarían en el gráfico de caja y bigotes.</w:t>
      </w:r>
    </w:p>
    <w:p w:rsidR="00000000" w:rsidDel="00000000" w:rsidP="00000000" w:rsidRDefault="00000000" w:rsidRPr="00000000" w14:paraId="00000037">
      <w:pPr>
        <w:numPr>
          <w:ilvl w:val="0"/>
          <w:numId w:val="1"/>
        </w:numPr>
        <w:ind w:left="720" w:hanging="360"/>
        <w:jc w:val="both"/>
        <w:rPr>
          <w:b w:val="1"/>
          <w:sz w:val="24"/>
          <w:szCs w:val="24"/>
        </w:rPr>
      </w:pPr>
      <w:r w:rsidDel="00000000" w:rsidR="00000000" w:rsidRPr="00000000">
        <w:rPr>
          <w:b w:val="1"/>
          <w:sz w:val="24"/>
          <w:szCs w:val="24"/>
          <w:rtl w:val="0"/>
        </w:rPr>
        <w:t xml:space="preserve">¿Qué puedes decir de los datos basándose en los centros?</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Que las tres columnas empleadas no tienen relación, pero que el transporte y empaquetado si pueden llegar a tener los mismos valores, ya que sus centros están más juntos, por tanto podrían agruparse en uno solo.</w:t>
      </w:r>
    </w:p>
    <w:p w:rsidR="00000000" w:rsidDel="00000000" w:rsidP="00000000" w:rsidRDefault="00000000" w:rsidRPr="00000000" w14:paraId="00000039">
      <w:pPr>
        <w:ind w:left="720" w:firstLine="0"/>
        <w:jc w:val="center"/>
        <w:rPr>
          <w:sz w:val="24"/>
          <w:szCs w:val="24"/>
        </w:rPr>
      </w:pPr>
      <w:r w:rsidDel="00000000" w:rsidR="00000000" w:rsidRPr="00000000">
        <w:rPr>
          <w:sz w:val="24"/>
          <w:szCs w:val="24"/>
        </w:rPr>
        <w:drawing>
          <wp:inline distB="114300" distT="114300" distL="114300" distR="114300">
            <wp:extent cx="1495425" cy="11525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95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center"/>
        <w:rPr>
          <w:sz w:val="24"/>
          <w:szCs w:val="24"/>
        </w:rPr>
      </w:pPr>
      <w:r w:rsidDel="00000000" w:rsidR="00000000" w:rsidRPr="00000000">
        <w:rPr>
          <w:sz w:val="24"/>
          <w:szCs w:val="24"/>
          <w:rtl w:val="0"/>
        </w:rPr>
        <w:t xml:space="preserve">De hecho un 70% de los valores tienden a morado, por lo cual se podría decir que casi todos los valores de Procesamiento,Empaquetado y Transporte son los mismos.</w:t>
      </w:r>
    </w:p>
    <w:p w:rsidR="00000000" w:rsidDel="00000000" w:rsidP="00000000" w:rsidRDefault="00000000" w:rsidRPr="00000000" w14:paraId="0000003B">
      <w:pPr>
        <w:ind w:left="720" w:firstLine="0"/>
        <w:jc w:val="center"/>
        <w:rPr>
          <w:sz w:val="24"/>
          <w:szCs w:val="24"/>
        </w:rPr>
      </w:pPr>
      <w:r w:rsidDel="00000000" w:rsidR="00000000" w:rsidRPr="00000000">
        <w:rPr>
          <w:sz w:val="24"/>
          <w:szCs w:val="24"/>
          <w:rtl w:val="0"/>
        </w:rPr>
        <w:t xml:space="preserve">Pero la hipótesis se descarta porque no todos son iguales.</w:t>
      </w:r>
    </w:p>
    <w:p w:rsidR="00000000" w:rsidDel="00000000" w:rsidP="00000000" w:rsidRDefault="00000000" w:rsidRPr="00000000" w14:paraId="0000003C">
      <w:pPr>
        <w:ind w:left="720" w:firstLine="0"/>
        <w:jc w:val="both"/>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