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Fonts w:ascii="Times New Roman" w:cs="Times New Roman" w:eastAsia="Times New Roman" w:hAnsi="Times New Roman"/>
          <w:b w:val="1"/>
        </w:rPr>
        <w:drawing>
          <wp:inline distB="114300" distT="114300" distL="114300" distR="114300">
            <wp:extent cx="4164634" cy="1290638"/>
            <wp:effectExtent b="0" l="0" r="0" t="0"/>
            <wp:docPr descr="Resultado de imagen para ITESM" id="1" name="image1.png"/>
            <a:graphic>
              <a:graphicData uri="http://schemas.openxmlformats.org/drawingml/2006/picture">
                <pic:pic>
                  <pic:nvPicPr>
                    <pic:cNvPr descr="Resultado de imagen para ITESM" id="0" name="image1.png"/>
                    <pic:cNvPicPr preferRelativeResize="0"/>
                  </pic:nvPicPr>
                  <pic:blipFill>
                    <a:blip r:embed="rId6"/>
                    <a:srcRect b="0" l="0" r="0" t="0"/>
                    <a:stretch>
                      <a:fillRect/>
                    </a:stretch>
                  </pic:blipFill>
                  <pic:spPr>
                    <a:xfrm>
                      <a:off x="0" y="0"/>
                      <a:ext cx="4164634"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Instituto Tecnológico de Estudios Superiores Monterrey</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CAMPUS QUERÉTARO</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Herramientas computacionales: el arte de la analítica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Grupo 120</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Pedro Oscar Pérez Murueta</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Actividad </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Repositorio </w:t>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ab/>
        <w:tab/>
        <w:tab/>
        <w:tab/>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PRESENTA:</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 Equipo 4</w:t>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Jordana Betancourt Menchaca - A01707434</w:t>
      </w:r>
    </w:p>
    <w:p w:rsidR="00000000" w:rsidDel="00000000" w:rsidP="00000000" w:rsidRDefault="00000000" w:rsidRPr="00000000" w14:paraId="00000019">
      <w:pPr>
        <w:jc w:val="center"/>
        <w:rPr>
          <w:sz w:val="28"/>
          <w:szCs w:val="28"/>
        </w:rPr>
      </w:pPr>
      <w:r w:rsidDel="00000000" w:rsidR="00000000" w:rsidRPr="00000000">
        <w:rPr>
          <w:sz w:val="28"/>
          <w:szCs w:val="28"/>
          <w:rtl w:val="0"/>
        </w:rPr>
        <w:tab/>
        <w:t xml:space="preserve">Leonardo Santiago Ramos Pérez A01707812</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Stefano Herrejón - A00571720</w:t>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Fecha:</w:t>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26 de octubre de 2021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ab/>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Repositorio Link :</w:t>
      </w:r>
      <w:hyperlink r:id="rId7">
        <w:r w:rsidDel="00000000" w:rsidR="00000000" w:rsidRPr="00000000">
          <w:rPr>
            <w:b w:val="1"/>
            <w:color w:val="1155cc"/>
            <w:sz w:val="24"/>
            <w:szCs w:val="24"/>
            <w:u w:val="single"/>
            <w:rtl w:val="0"/>
          </w:rPr>
          <w:t xml:space="preserve">Equipo4</w:t>
        </w:r>
      </w:hyperlink>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Base de datos seleccionada : </w:t>
      </w:r>
    </w:p>
    <w:p w:rsidR="00000000" w:rsidDel="00000000" w:rsidP="00000000" w:rsidRDefault="00000000" w:rsidRPr="00000000" w14:paraId="00000025">
      <w:pPr>
        <w:jc w:val="both"/>
        <w:rPr>
          <w:sz w:val="24"/>
          <w:szCs w:val="24"/>
        </w:rPr>
      </w:pPr>
      <w:r w:rsidDel="00000000" w:rsidR="00000000" w:rsidRPr="00000000">
        <w:rPr>
          <w:sz w:val="24"/>
          <w:szCs w:val="24"/>
          <w:rtl w:val="0"/>
        </w:rPr>
        <w:tab/>
        <w:t xml:space="preserve">Link : </w:t>
      </w:r>
      <w:hyperlink r:id="rId8">
        <w:r w:rsidDel="00000000" w:rsidR="00000000" w:rsidRPr="00000000">
          <w:rPr>
            <w:color w:val="1155cc"/>
            <w:sz w:val="24"/>
            <w:szCs w:val="24"/>
            <w:u w:val="single"/>
            <w:rtl w:val="0"/>
          </w:rPr>
          <w:t xml:space="preserve">Base de Datos</w:t>
        </w:r>
      </w:hyperlink>
      <w:r w:rsidDel="00000000" w:rsidR="00000000" w:rsidRPr="00000000">
        <w:rPr>
          <w:sz w:val="24"/>
          <w:szCs w:val="24"/>
          <w:rtl w:val="0"/>
        </w:rPr>
        <w:t xml:space="preserve"> </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b w:val="1"/>
          <w:sz w:val="24"/>
          <w:szCs w:val="24"/>
          <w:rtl w:val="0"/>
        </w:rPr>
        <w:t xml:space="preserve">Motivos :</w:t>
      </w:r>
      <w:r w:rsidDel="00000000" w:rsidR="00000000" w:rsidRPr="00000000">
        <w:rPr>
          <w:sz w:val="24"/>
          <w:szCs w:val="24"/>
          <w:rtl w:val="0"/>
        </w:rPr>
        <w:t xml:space="preserve"> La razón principal de elegir esta base de datos recae en la idea de  poder analizar alimentos que consumimos diariamente, viendo aquellos que causan mayor contaminación ambiental y sustituyendolos por otros que tengan menor impacto.</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Resultará de gran trascendencia ser conscientes de que cualquier cosa que comamos aunque no sea ultra procesada causa daño ambiental.</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b w:val="1"/>
          <w:sz w:val="24"/>
          <w:szCs w:val="24"/>
          <w:rtl w:val="0"/>
        </w:rPr>
        <w:t xml:space="preserve">Información esperada :</w:t>
      </w:r>
      <w:r w:rsidDel="00000000" w:rsidR="00000000" w:rsidRPr="00000000">
        <w:rPr>
          <w:sz w:val="24"/>
          <w:szCs w:val="24"/>
          <w:rtl w:val="0"/>
        </w:rPr>
        <w:t xml:space="preserve"> Poder establecer relaciones entre las comidas, calorías,kilogramos  y la contaminación qué estos producen. </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Saber qué carnes, frutas y verduras son las que más dióxido de carbono producen y las que menos.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¿Celdas vacías, caracteres extraños, signos de puntuación?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En la primera columna “Greenhouse emmisions(Kg CO2 - equivalents per kg product)”, algunos alimentos cuentan con valores negativos, al analizarlos, se cae en cuenta que estos productos vienen de árboles, por lo cual es correcto que sean negativos, ya que, de hecho, absorben C02.</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Alimentos en diferentes columnas tienen valores 0, de igual manera, al examinar si eran correctos estos datos, se concluyó que efectivamente eran apropiados al contexto. Por ejemplo, a las manzanas no se les alimenta con otra cosa que no sea agua o las moras no requieren ningún procedimiento extra, como cera (en caso de las manzanas).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La base de datos no contiene datos NULL, además al estar en inglés no contiene acentos o letras que no puedan ser procesadas.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Leonardo812/Equipo4.git" TargetMode="External"/><Relationship Id="rId8" Type="http://schemas.openxmlformats.org/officeDocument/2006/relationships/hyperlink" Target="https://www.kaggle.com/selfvivek/environment-impact-of-food-p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