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0" w:before="0"/>
        <w:jc w:val="center"/>
      </w:pPr>
      <w:r>
        <w:rPr>
          <w:rFonts w:ascii="Calibri" w:cs="Calibri" w:eastAsia="Calibri" w:hAnsi="Calibri"/>
          <w:b/>
          <w:bCs/>
          <w:caps/>
          <w:color w:val="2D4A6B"/>
          <w:spacing w:val="200"/>
          <w:sz w:val="20"/>
          <w:szCs w:val="20"/>
        </w:rPr>
        <w:t xml:space="preserve">DUOC UC</w:t>
      </w:r>
    </w:p>
    <w:p>
      <w:pPr>
        <w:spacing w:after="400" w:before="40"/>
        <w:jc w:val="center"/>
      </w:pPr>
      <w:r>
        <w:rPr>
          <w:rFonts w:ascii="Calibri" w:cs="Calibri" w:eastAsia="Calibri" w:hAnsi="Calibri"/>
          <w:i/>
          <w:iCs/>
          <w:color w:val="2D4A6B"/>
          <w:sz w:val="20"/>
          <w:szCs w:val="20"/>
        </w:rPr>
        <w:t xml:space="preserve">Escuela de Tecnología</w:t>
      </w:r>
    </w:p>
    <w:p>
      <w:pPr>
        <w:pBdr>
          <w:top w:val="single" w:color="2D4A6B" w:sz="6" w:space="6"/>
          <w:bottom w:val="single" w:color="2D4A6B" w:sz="6" w:space="6"/>
        </w:pBdr>
        <w:spacing w:after="100" w:before="100"/>
        <w:jc w:val="center"/>
      </w:pPr>
      <w:r>
        <w:rPr>
          <w:rFonts w:ascii="Calibri" w:cs="Calibri" w:eastAsia="Calibri" w:hAnsi="Calibri"/>
          <w:b/>
          <w:bCs/>
          <w:caps/>
          <w:color w:val="1A1A2E"/>
          <w:sz w:val="24"/>
          <w:szCs w:val="24"/>
        </w:rPr>
        <w:t xml:space="preserve">Evaluación Parcial N°2 — Encargo Grupal</w:t>
      </w:r>
    </w:p>
    <w:p>
      <w:pPr>
        <w:spacing w:after="0" w:before="300"/>
      </w:pPr>
      <w:r>
        <w:t xml:space="preserve"/>
      </w:r>
    </w:p>
    <w:p>
      <w:pPr>
        <w:spacing w:after="160" w:before="0"/>
        <w:jc w:val="center"/>
      </w:pPr>
      <w:r>
        <w:rPr>
          <w:rFonts w:ascii="Georgia" w:cs="Georgia" w:eastAsia="Georgia" w:hAnsi="Georgia"/>
          <w:b/>
          <w:bCs/>
          <w:color w:val="1A1A2E"/>
          <w:sz w:val="36"/>
          <w:szCs w:val="36"/>
        </w:rPr>
        <w:t xml:space="preserve">Predicción de Pricing Tiers y Precios Justos en Modelos LLM</w:t>
      </w:r>
    </w:p>
    <w:p>
      <w:pPr>
        <w:spacing w:after="400" w:before="0"/>
        <w:jc w:val="center"/>
      </w:pPr>
      <w:r>
        <w:rPr>
          <w:rFonts w:ascii="Georgia" w:cs="Georgia" w:eastAsia="Georgia" w:hAnsi="Georgia"/>
          <w:i/>
          <w:iCs/>
          <w:color w:val="2D4A6B"/>
          <w:sz w:val="24"/>
          <w:szCs w:val="24"/>
        </w:rPr>
        <w:t xml:space="preserve">Un enfoque híbrido de machine learning supervisado y no supervisado</w:t>
      </w:r>
    </w:p>
    <w:p>
      <w:pPr>
        <w:pBdr>
          <w:bottom w:val="single" w:color="2D4A6B" w:sz="8" w:space="1"/>
        </w:pBdr>
        <w:spacing w:after="120" w:before="120"/>
      </w:pPr>
      <w:r>
        <w:t xml:space="preserve"/>
      </w:r>
    </w:p>
    <w:p>
      <w:pPr>
        <w:spacing w:after="0" w:before="300"/>
      </w:pPr>
      <w:r>
        <w:t xml:space="preserve"/>
      </w:r>
    </w:p>
    <w:p>
      <w:pPr>
        <w:spacing w:after="60" w:before="80"/>
        <w:jc w:val="center"/>
      </w:pPr>
      <w:r>
        <w:rPr>
          <w:rFonts w:ascii="Calibri" w:cs="Calibri" w:eastAsia="Calibri" w:hAnsi="Calibri"/>
          <w:b/>
          <w:bCs/>
          <w:caps/>
          <w:color w:val="1A1A2E"/>
          <w:sz w:val="22"/>
          <w:szCs w:val="22"/>
        </w:rPr>
        <w:t xml:space="preserve">Integrantes</w:t>
      </w:r>
    </w:p>
    <w:p>
      <w:pPr>
        <w:spacing w:after="40" w:before="60"/>
        <w:jc w:val="center"/>
      </w:pPr>
      <w:r>
        <w:rPr>
          <w:rFonts w:ascii="Georgia" w:cs="Georgia" w:eastAsia="Georgia" w:hAnsi="Georgia"/>
          <w:color w:val="2B2B2B"/>
          <w:sz w:val="24"/>
          <w:szCs w:val="24"/>
        </w:rPr>
        <w:t xml:space="preserve">Leonardo Amundarain</w:t>
      </w:r>
    </w:p>
    <w:p>
      <w:pPr>
        <w:spacing w:after="200" w:before="40"/>
        <w:jc w:val="center"/>
      </w:pPr>
      <w:r>
        <w:rPr>
          <w:rFonts w:ascii="Georgia" w:cs="Georgia" w:eastAsia="Georgia" w:hAnsi="Georgia"/>
          <w:color w:val="2B2B2B"/>
          <w:sz w:val="24"/>
          <w:szCs w:val="24"/>
        </w:rPr>
        <w:t xml:space="preserve">Felipe Villalobos</w:t>
      </w:r>
    </w:p>
    <w:p>
      <w:pPr>
        <w:spacing w:after="40" w:before="60"/>
        <w:jc w:val="center"/>
      </w:pPr>
      <w:r>
        <w:rPr>
          <w:rFonts w:ascii="Georgia" w:cs="Georgia" w:eastAsia="Georgia" w:hAnsi="Georgia"/>
          <w:color w:val="2B2B2B"/>
          <w:sz w:val="21"/>
          <w:szCs w:val="21"/>
        </w:rPr>
        <w:t xml:space="preserve">Asignatura: SCY1101 — Programación para la Ciencia de Datos</w:t>
      </w:r>
    </w:p>
    <w:p>
      <w:pPr>
        <w:spacing w:after="40" w:before="40"/>
        <w:jc w:val="center"/>
      </w:pPr>
      <w:r>
        <w:rPr>
          <w:rFonts w:ascii="Georgia" w:cs="Georgia" w:eastAsia="Georgia" w:hAnsi="Georgia"/>
          <w:color w:val="2B2B2B"/>
          <w:sz w:val="21"/>
          <w:szCs w:val="21"/>
        </w:rPr>
        <w:t xml:space="preserve">Docente: [Nombre del docente]</w:t>
      </w:r>
    </w:p>
    <w:p>
      <w:pPr>
        <w:spacing w:after="40" w:before="40"/>
        <w:jc w:val="center"/>
      </w:pPr>
      <w:r>
        <w:rPr>
          <w:rFonts w:ascii="Georgia" w:cs="Georgia" w:eastAsia="Georgia" w:hAnsi="Georgia"/>
          <w:color w:val="2B2B2B"/>
          <w:sz w:val="21"/>
          <w:szCs w:val="21"/>
        </w:rPr>
        <w:t xml:space="preserve">Santiago, mayo de 2025</w:t>
      </w:r>
    </w:p>
    <w:p>
      <w:r>
        <w:br w:type="page"/>
      </w:r>
    </w:p>
    <w:p>
      <w:pPr>
        <w:pStyle w:val="Heading1"/>
        <w:pBdr>
          <w:bottom w:val="single" w:color="2D4A6B" w:sz="12" w:space="2"/>
        </w:pBdr>
        <w:spacing w:after="160" w:before="400"/>
      </w:pPr>
      <w:r>
        <w:rPr>
          <w:rFonts w:ascii="Calibri" w:cs="Calibri" w:eastAsia="Calibri" w:hAnsi="Calibri"/>
          <w:b/>
          <w:bCs/>
          <w:caps/>
          <w:color w:val="1A1A2E"/>
          <w:sz w:val="32"/>
          <w:szCs w:val="32"/>
        </w:rPr>
        <w:t xml:space="preserve">Resumen Ejecutivo</w:t>
      </w:r>
    </w:p>
    <w:p>
      <w:pPr>
        <w:spacing w:after="80" w:before="80" w:line="360"/>
        <w:jc w:val="both"/>
      </w:pPr>
      <w:r>
        <w:rPr>
          <w:rFonts w:ascii="Georgia" w:cs="Georgia" w:eastAsia="Georgia" w:hAnsi="Georgia"/>
          <w:b w:val="false"/>
          <w:bCs w:val="false"/>
          <w:i w:val="false"/>
          <w:iCs w:val="false"/>
          <w:color w:val="2B2B2B"/>
          <w:sz w:val="22"/>
          <w:szCs w:val="22"/>
        </w:rPr>
        <w:t xml:space="preserve">El presente informe documenta el desarrollo de una solución de machine learning aplicada al mercado de modelos de lenguaje de gran escala (LLM). A partir de un dataset de 453 modelos recopilados al 31 de marzo de 2026, se abordaron dos preguntas de negocio concretas: (1) predecir a qué categoría de precio pertenece un modelo dado su perfil técnico, y (2) estimar si el precio que un proveedor cobra es justo en relación al valor técnico entregado.</w:t>
      </w:r>
    </w:p>
    <w:p>
      <w:pPr>
        <w:spacing w:after="0" w:before="120"/>
      </w:pPr>
      <w:r>
        <w:t xml:space="preserve"/>
      </w:r>
    </w:p>
    <w:p>
      <w:pPr>
        <w:spacing w:after="80" w:before="80" w:line="360"/>
        <w:jc w:val="both"/>
      </w:pPr>
      <w:r>
        <w:rPr>
          <w:rFonts w:ascii="Georgia" w:cs="Georgia" w:eastAsia="Georgia" w:hAnsi="Georgia"/>
          <w:b w:val="false"/>
          <w:bCs w:val="false"/>
          <w:i w:val="false"/>
          <w:iCs w:val="false"/>
          <w:color w:val="2B2B2B"/>
          <w:sz w:val="22"/>
          <w:szCs w:val="22"/>
        </w:rPr>
        <w:t xml:space="preserve">Para responder la primera pregunta se construyó un pipeline de clasificación multiclase que combina aprendizaje no supervisado con modelos supervisados. Primero, se aplicó K-Means sobre las variables de rendimiento para identificar dos arquetipos técnicos naturales en el mercado y reasignar los 85 modelos etiquetados como "Unknown". Sobre esa base se entrenaron un Random Forest y un Gradient Boosting, ambos con resultados superiores al 96% de accuracy en validación cruzada y 98% en el conjunto de prueba.</w:t>
      </w:r>
    </w:p>
    <w:p>
      <w:pPr>
        <w:spacing w:after="0" w:before="120"/>
      </w:pPr>
      <w:r>
        <w:t xml:space="preserve"/>
      </w:r>
    </w:p>
    <w:p>
      <w:pPr>
        <w:spacing w:after="80" w:before="80" w:line="360"/>
        <w:jc w:val="both"/>
      </w:pPr>
      <w:r>
        <w:rPr>
          <w:rFonts w:ascii="Georgia" w:cs="Georgia" w:eastAsia="Georgia" w:hAnsi="Georgia"/>
          <w:b w:val="false"/>
          <w:bCs w:val="false"/>
          <w:i w:val="false"/>
          <w:iCs w:val="false"/>
          <w:color w:val="2B2B2B"/>
          <w:sz w:val="22"/>
          <w:szCs w:val="22"/>
        </w:rPr>
        <w:t xml:space="preserve">Para la segunda pregunta se desarrolló un módulo de regresión que predice el precio justo de cada modelo en función de variables como velocidad de generación, eficiencia económica, parámetros del modelo y reputación en benchmarks. El análisis final de equidad reveló que el precio de los LLM no está determinado únicamente por capacidad intelectual (índice de inteligencia), sino que responde principalmente a métricas operacionales como tokens por segundo y latencia.</w:t>
      </w:r>
    </w:p>
    <w:p>
      <w:pPr>
        <w:spacing w:after="0" w:before="120"/>
      </w:pPr>
      <w:r>
        <w:t xml:space="preserve"/>
      </w:r>
    </w:p>
    <w:p>
      <w:pPr>
        <w:spacing w:after="80" w:before="80" w:line="360"/>
        <w:jc w:val="both"/>
      </w:pPr>
      <w:r>
        <w:rPr>
          <w:rFonts w:ascii="Georgia" w:cs="Georgia" w:eastAsia="Georgia" w:hAnsi="Georgia"/>
          <w:b w:val="false"/>
          <w:bCs w:val="false"/>
          <w:i w:val="false"/>
          <w:iCs w:val="false"/>
          <w:color w:val="2B2B2B"/>
          <w:sz w:val="22"/>
          <w:szCs w:val="22"/>
        </w:rPr>
        <w:t xml:space="preserve">Los modelos optimizados mediante GridSearchCV y RandomizedSearchCV se almacenaron en formato serializado para garantizar reproducibilidad completa del pipeline.</w:t>
      </w:r>
    </w:p>
    <w:p>
      <w:r>
        <w:br w:type="page"/>
      </w:r>
    </w:p>
    <w:p>
      <w:pPr>
        <w:pStyle w:val="Heading1"/>
        <w:pBdr>
          <w:bottom w:val="single" w:color="2D4A6B" w:sz="12" w:space="2"/>
        </w:pBdr>
        <w:spacing w:after="160" w:before="400"/>
      </w:pPr>
      <w:r>
        <w:rPr>
          <w:rFonts w:ascii="Calibri" w:cs="Calibri" w:eastAsia="Calibri" w:hAnsi="Calibri"/>
          <w:b/>
          <w:bCs/>
          <w:caps/>
          <w:color w:val="1A1A2E"/>
          <w:sz w:val="32"/>
          <w:szCs w:val="32"/>
        </w:rPr>
        <w:t xml:space="preserve">Marco Metodológico</w:t>
      </w:r>
    </w:p>
    <w:p>
      <w:pPr>
        <w:pStyle w:val="Heading2"/>
        <w:spacing w:after="120" w:before="280"/>
      </w:pPr>
      <w:r>
        <w:rPr>
          <w:rFonts w:ascii="Calibri" w:cs="Calibri" w:eastAsia="Calibri" w:hAnsi="Calibri"/>
          <w:b/>
          <w:bCs/>
          <w:color w:val="2D4A6B"/>
          <w:sz w:val="26"/>
          <w:szCs w:val="26"/>
        </w:rPr>
        <w:t xml:space="preserve">1. Descripción del Dataset</w:t>
      </w:r>
    </w:p>
    <w:p>
      <w:pPr>
        <w:spacing w:after="80" w:before="80" w:line="360"/>
        <w:jc w:val="both"/>
      </w:pPr>
      <w:r>
        <w:rPr>
          <w:rFonts w:ascii="Georgia" w:cs="Georgia" w:eastAsia="Georgia" w:hAnsi="Georgia"/>
          <w:b w:val="false"/>
          <w:bCs w:val="false"/>
          <w:i w:val="false"/>
          <w:iCs w:val="false"/>
          <w:color w:val="2B2B2B"/>
          <w:sz w:val="22"/>
          <w:szCs w:val="22"/>
        </w:rPr>
        <w:t xml:space="preserve">El dataset corresponde al LLM Price &amp; Performance Tracker, una compilación pública de métricas de modelos de lenguaje actualizada al primer trimestre de 2026. Contiene 453 registros y 24 variables originales, entre las cuales destacan:</w:t>
      </w:r>
    </w:p>
    <w:p>
      <w:pPr>
        <w:spacing w:after="0" w:before="80"/>
      </w:pPr>
      <w:r>
        <w:t xml:space="preserve"/>
      </w:r>
    </w:p>
    <w:p>
      <w:pPr>
        <w:pStyle w:val="ListParagraph"/>
        <w:numPr>
          <w:ilvl w:val="0"/>
          <w:numId w:val="2"/>
        </w:numPr>
        <w:spacing w:after="60" w:before="60" w:line="340"/>
      </w:pPr>
      <w:r>
        <w:rPr>
          <w:rFonts w:ascii="Georgia" w:cs="Georgia" w:eastAsia="Georgia" w:hAnsi="Georgia"/>
          <w:color w:val="2B2B2B"/>
          <w:sz w:val="22"/>
          <w:szCs w:val="22"/>
        </w:rPr>
        <w:t xml:space="preserve">Índices de rendimiento: aa_intelligence_index, aa_coding_index, aa_math_index y chatbot_arena_elo.</w:t>
      </w:r>
    </w:p>
    <w:p>
      <w:pPr>
        <w:pStyle w:val="ListParagraph"/>
        <w:numPr>
          <w:ilvl w:val="0"/>
          <w:numId w:val="2"/>
        </w:numPr>
        <w:spacing w:after="60" w:before="60" w:line="340"/>
      </w:pPr>
      <w:r>
        <w:rPr>
          <w:rFonts w:ascii="Georgia" w:cs="Georgia" w:eastAsia="Georgia" w:hAnsi="Georgia"/>
          <w:color w:val="2B2B2B"/>
          <w:sz w:val="22"/>
          <w:szCs w:val="22"/>
        </w:rPr>
        <w:t xml:space="preserve">Variables de costo: input_cost_usd_per_1m y output_cost_usd_per_1m (en USD por millón de tokens).</w:t>
      </w:r>
    </w:p>
    <w:p>
      <w:pPr>
        <w:pStyle w:val="ListParagraph"/>
        <w:numPr>
          <w:ilvl w:val="0"/>
          <w:numId w:val="2"/>
        </w:numPr>
        <w:spacing w:after="60" w:before="60" w:line="340"/>
      </w:pPr>
      <w:r>
        <w:rPr>
          <w:rFonts w:ascii="Georgia" w:cs="Georgia" w:eastAsia="Georgia" w:hAnsi="Georgia"/>
          <w:color w:val="2B2B2B"/>
          <w:sz w:val="22"/>
          <w:szCs w:val="22"/>
        </w:rPr>
        <w:t xml:space="preserve">Variables operacionales: output_tokens_per_second, time_to_first_token_s y context_window.</w:t>
      </w:r>
    </w:p>
    <w:p>
      <w:pPr>
        <w:pStyle w:val="ListParagraph"/>
        <w:numPr>
          <w:ilvl w:val="0"/>
          <w:numId w:val="2"/>
        </w:numPr>
        <w:spacing w:after="60" w:before="60" w:line="340"/>
      </w:pPr>
      <w:r>
        <w:rPr>
          <w:rFonts w:ascii="Georgia" w:cs="Georgia" w:eastAsia="Georgia" w:hAnsi="Georgia"/>
          <w:color w:val="2B2B2B"/>
          <w:sz w:val="22"/>
          <w:szCs w:val="22"/>
        </w:rPr>
        <w:t xml:space="preserve">Atributos categóricos: provider, is_open_source y pricing_tier (target de clasificación con categorías Budget, Free, Mid, Premium, Ultra y Unknown).</w:t>
      </w:r>
    </w:p>
    <w:p>
      <w:pPr>
        <w:spacing w:after="0" w:before="120"/>
      </w:pPr>
      <w:r>
        <w:t xml:space="preserve"/>
      </w:r>
    </w:p>
    <w:p>
      <w:pPr>
        <w:pStyle w:val="Heading2"/>
        <w:spacing w:after="120" w:before="280"/>
      </w:pPr>
      <w:r>
        <w:rPr>
          <w:rFonts w:ascii="Calibri" w:cs="Calibri" w:eastAsia="Calibri" w:hAnsi="Calibri"/>
          <w:b/>
          <w:bCs/>
          <w:color w:val="2D4A6B"/>
          <w:sz w:val="26"/>
          <w:szCs w:val="26"/>
        </w:rPr>
        <w:t xml:space="preserve">2. Ingeniería de Variables</w:t>
      </w:r>
    </w:p>
    <w:p>
      <w:pPr>
        <w:spacing w:after="80" w:before="80" w:line="360"/>
        <w:jc w:val="both"/>
      </w:pPr>
      <w:r>
        <w:rPr>
          <w:rFonts w:ascii="Georgia" w:cs="Georgia" w:eastAsia="Georgia" w:hAnsi="Georgia"/>
          <w:b w:val="false"/>
          <w:bCs w:val="false"/>
          <w:i w:val="false"/>
          <w:iCs w:val="false"/>
          <w:color w:val="2B2B2B"/>
          <w:sz w:val="22"/>
          <w:szCs w:val="22"/>
        </w:rPr>
        <w:t xml:space="preserve">Se derivaron cuatro variables adicionales que capturan relaciones de valor entre rendimiento y costo:</w:t>
      </w:r>
    </w:p>
    <w:p>
      <w:pPr>
        <w:spacing w:after="0" w:before="80"/>
      </w:pPr>
      <w:r>
        <w:t xml:space="preserve"/>
      </w:r>
    </w:p>
    <w:p>
      <w:pPr>
        <w:pStyle w:val="ListParagraph"/>
        <w:numPr>
          <w:ilvl w:val="0"/>
          <w:numId w:val="2"/>
        </w:numPr>
        <w:spacing w:after="60" w:before="60" w:line="340"/>
      </w:pPr>
      <w:r>
        <w:rPr>
          <w:rFonts w:ascii="Georgia" w:cs="Georgia" w:eastAsia="Georgia" w:hAnsi="Georgia"/>
          <w:color w:val="2B2B2B"/>
          <w:sz w:val="22"/>
          <w:szCs w:val="22"/>
        </w:rPr>
        <w:t xml:space="preserve">costo_promedio: promedio aritmético entre costo de entrada y salida.</w:t>
      </w:r>
    </w:p>
    <w:p>
      <w:pPr>
        <w:pStyle w:val="ListParagraph"/>
        <w:numPr>
          <w:ilvl w:val="0"/>
          <w:numId w:val="2"/>
        </w:numPr>
        <w:spacing w:after="60" w:before="60" w:line="340"/>
      </w:pPr>
      <w:r>
        <w:rPr>
          <w:rFonts w:ascii="Georgia" w:cs="Georgia" w:eastAsia="Georgia" w:hAnsi="Georgia"/>
          <w:color w:val="2B2B2B"/>
          <w:sz w:val="22"/>
          <w:szCs w:val="22"/>
        </w:rPr>
        <w:t xml:space="preserve">inteligencia_por_dolar: cociente entre el índice de inteligencia y el costo promedio (con suavizador de 0.001 para evitar divisiones por cero).</w:t>
      </w:r>
    </w:p>
    <w:p>
      <w:pPr>
        <w:pStyle w:val="ListParagraph"/>
        <w:numPr>
          <w:ilvl w:val="0"/>
          <w:numId w:val="2"/>
        </w:numPr>
        <w:spacing w:after="60" w:before="60" w:line="340"/>
      </w:pPr>
      <w:r>
        <w:rPr>
          <w:rFonts w:ascii="Georgia" w:cs="Georgia" w:eastAsia="Georgia" w:hAnsi="Georgia"/>
          <w:color w:val="2B2B2B"/>
          <w:sz w:val="22"/>
          <w:szCs w:val="22"/>
        </w:rPr>
        <w:t xml:space="preserve">velocidad_por_dolar: cociente entre tokens por segundo y costo promedio.</w:t>
      </w:r>
    </w:p>
    <w:p>
      <w:pPr>
        <w:pStyle w:val="ListParagraph"/>
        <w:numPr>
          <w:ilvl w:val="0"/>
          <w:numId w:val="2"/>
        </w:numPr>
        <w:spacing w:after="60" w:before="60" w:line="340"/>
      </w:pPr>
      <w:r>
        <w:rPr>
          <w:rFonts w:ascii="Georgia" w:cs="Georgia" w:eastAsia="Georgia" w:hAnsi="Georgia"/>
          <w:color w:val="2B2B2B"/>
          <w:sz w:val="22"/>
          <w:szCs w:val="22"/>
        </w:rPr>
        <w:t xml:space="preserve">ratio_valor_general: promedio compuesto de los tres índices de rendimiento.</w:t>
      </w:r>
    </w:p>
    <w:p>
      <w:pPr>
        <w:spacing w:after="0" w:before="120"/>
      </w:pPr>
      <w:r>
        <w:t xml:space="preserve"/>
      </w:r>
    </w:p>
    <w:p>
      <w:pPr>
        <w:spacing w:after="80" w:before="80" w:line="360"/>
        <w:jc w:val="both"/>
      </w:pPr>
      <w:r>
        <w:rPr>
          <w:rFonts w:ascii="Georgia" w:cs="Georgia" w:eastAsia="Georgia" w:hAnsi="Georgia"/>
          <w:b w:val="false"/>
          <w:bCs w:val="false"/>
          <w:i w:val="false"/>
          <w:iCs w:val="false"/>
          <w:color w:val="2B2B2B"/>
          <w:sz w:val="22"/>
          <w:szCs w:val="22"/>
        </w:rPr>
        <w:t xml:space="preserve">Los modelos de código abierto con costo nulo recibieron valor 0 en las variables de costo, lo que refleja adecuadamente su naturaleza en el análisis de equidad de precios.</w:t>
      </w:r>
    </w:p>
    <w:p>
      <w:pPr>
        <w:spacing w:after="0" w:before="120"/>
      </w:pPr>
      <w:r>
        <w:t xml:space="preserve"/>
      </w:r>
    </w:p>
    <w:p>
      <w:pPr>
        <w:pStyle w:val="Heading2"/>
        <w:spacing w:after="120" w:before="280"/>
      </w:pPr>
      <w:r>
        <w:rPr>
          <w:rFonts w:ascii="Calibri" w:cs="Calibri" w:eastAsia="Calibri" w:hAnsi="Calibri"/>
          <w:b/>
          <w:bCs/>
          <w:color w:val="2D4A6B"/>
          <w:sz w:val="26"/>
          <w:szCs w:val="26"/>
        </w:rPr>
        <w:t xml:space="preserve">3. Tratamiento del Problema de Clasificación</w:t>
      </w:r>
    </w:p>
    <w:p>
      <w:pPr>
        <w:pStyle w:val="Heading3"/>
        <w:spacing w:after="80" w:before="200"/>
      </w:pPr>
      <w:r>
        <w:rPr>
          <w:rFonts w:ascii="Calibri" w:cs="Calibri" w:eastAsia="Calibri" w:hAnsi="Calibri"/>
          <w:b/>
          <w:bCs/>
          <w:i/>
          <w:iCs/>
          <w:color w:val="4A6741"/>
          <w:sz w:val="23"/>
          <w:szCs w:val="23"/>
        </w:rPr>
        <w:t xml:space="preserve">3.1 Clustering previo para resolución de Unknown</w:t>
      </w:r>
    </w:p>
    <w:p>
      <w:pPr>
        <w:spacing w:after="80" w:before="80" w:line="360"/>
        <w:jc w:val="both"/>
      </w:pPr>
      <w:r>
        <w:rPr>
          <w:rFonts w:ascii="Georgia" w:cs="Georgia" w:eastAsia="Georgia" w:hAnsi="Georgia"/>
          <w:b w:val="false"/>
          <w:bCs w:val="false"/>
          <w:i w:val="false"/>
          <w:iCs w:val="false"/>
          <w:color w:val="2B2B2B"/>
          <w:sz w:val="22"/>
          <w:szCs w:val="22"/>
        </w:rPr>
        <w:t xml:space="preserve">El 18.8% de los modelos carecía de etiqueta de pricing_tier. En lugar de eliminar esos registros o imputar la moda, se optó por una estrategia más rigurosa: aplicar K-Means con k=2 sobre las 10 variables de rendimiento escaladas y asignar a cada modelo Unknown la etiqueta mayoritaria del cluster al que fue asignado. Esta decisión se apoya en la hipótesis de que modelos técnicamente similares tienden a tener estructuras de precio similares, hipótesis que fue corroborada por la tabla cruzada final donde la concordancia con las etiquetas oficiales superó el 95%.</w:t>
      </w:r>
    </w:p>
    <w:p>
      <w:pPr>
        <w:spacing w:after="0" w:before="120"/>
      </w:pPr>
      <w:r>
        <w:t xml:space="preserve"/>
      </w:r>
    </w:p>
    <w:p>
      <w:pPr>
        <w:pStyle w:val="Heading3"/>
        <w:spacing w:after="80" w:before="200"/>
      </w:pPr>
      <w:r>
        <w:rPr>
          <w:rFonts w:ascii="Calibri" w:cs="Calibri" w:eastAsia="Calibri" w:hAnsi="Calibri"/>
          <w:b/>
          <w:bCs/>
          <w:i/>
          <w:iCs/>
          <w:color w:val="4A6741"/>
          <w:sz w:val="23"/>
          <w:szCs w:val="23"/>
        </w:rPr>
        <w:t xml:space="preserve">3.2 Justificación de los algoritmos supervisados</w:t>
      </w:r>
    </w:p>
    <w:p>
      <w:pPr>
        <w:spacing w:after="80" w:before="80" w:line="360"/>
        <w:jc w:val="both"/>
      </w:pPr>
      <w:r>
        <w:rPr>
          <w:rFonts w:ascii="Georgia" w:cs="Georgia" w:eastAsia="Georgia" w:hAnsi="Georgia"/>
          <w:b w:val="false"/>
          <w:bCs w:val="false"/>
          <w:i w:val="false"/>
          <w:iCs w:val="false"/>
          <w:color w:val="2B2B2B"/>
          <w:sz w:val="22"/>
          <w:szCs w:val="22"/>
        </w:rPr>
        <w:t xml:space="preserve">Se seleccionaron Random Forest y Gradient Boosting por las siguientes razones técnicas:</w:t>
      </w:r>
    </w:p>
    <w:p>
      <w:pPr>
        <w:spacing w:after="0" w:before="80"/>
      </w:pPr>
      <w:r>
        <w:t xml:space="preserve"/>
      </w:r>
    </w:p>
    <w:p>
      <w:pPr>
        <w:pStyle w:val="ListParagraph"/>
        <w:numPr>
          <w:ilvl w:val="0"/>
          <w:numId w:val="2"/>
        </w:numPr>
        <w:spacing w:after="60" w:before="60" w:line="340"/>
      </w:pPr>
      <w:r>
        <w:rPr>
          <w:rFonts w:ascii="Georgia" w:cs="Georgia" w:eastAsia="Georgia" w:hAnsi="Georgia"/>
          <w:color w:val="2B2B2B"/>
          <w:sz w:val="22"/>
          <w:szCs w:val="22"/>
        </w:rPr>
        <w:t xml:space="preserve">Robustez ante multicolinealidad: ambas variables de rendimiento presentan correlaciones superiores a 0.7 entre sí, lo que descarta regresión logística sin regularización.</w:t>
      </w:r>
    </w:p>
    <w:p>
      <w:pPr>
        <w:pStyle w:val="ListParagraph"/>
        <w:numPr>
          <w:ilvl w:val="0"/>
          <w:numId w:val="2"/>
        </w:numPr>
        <w:spacing w:after="60" w:before="60" w:line="340"/>
      </w:pPr>
      <w:r>
        <w:rPr>
          <w:rFonts w:ascii="Georgia" w:cs="Georgia" w:eastAsia="Georgia" w:hAnsi="Georgia"/>
          <w:color w:val="2B2B2B"/>
          <w:sz w:val="22"/>
          <w:szCs w:val="22"/>
        </w:rPr>
        <w:t xml:space="preserve">Capacidad de capturar no linealidades: la relación entre variables técnicas y pricing_tier no es lineal, como evidenciaron los boxplots del análisis exploratorio.</w:t>
      </w:r>
    </w:p>
    <w:p>
      <w:pPr>
        <w:pStyle w:val="ListParagraph"/>
        <w:numPr>
          <w:ilvl w:val="0"/>
          <w:numId w:val="2"/>
        </w:numPr>
        <w:spacing w:after="60" w:before="60" w:line="340"/>
      </w:pPr>
      <w:r>
        <w:rPr>
          <w:rFonts w:ascii="Georgia" w:cs="Georgia" w:eastAsia="Georgia" w:hAnsi="Georgia"/>
          <w:color w:val="2B2B2B"/>
          <w:sz w:val="22"/>
          <w:szCs w:val="22"/>
        </w:rPr>
        <w:t xml:space="preserve">Interpretabilidad via feature importance: ambos modelos permiten identificar qué variables son determinantes, lo que agrega valor analítico al negocio.</w:t>
      </w:r>
    </w:p>
    <w:p>
      <w:pPr>
        <w:pStyle w:val="ListParagraph"/>
        <w:numPr>
          <w:ilvl w:val="0"/>
          <w:numId w:val="2"/>
        </w:numPr>
        <w:spacing w:after="60" w:before="60" w:line="340"/>
      </w:pPr>
      <w:r>
        <w:rPr>
          <w:rFonts w:ascii="Georgia" w:cs="Georgia" w:eastAsia="Georgia" w:hAnsi="Georgia"/>
          <w:color w:val="2B2B2B"/>
          <w:sz w:val="22"/>
          <w:szCs w:val="22"/>
        </w:rPr>
        <w:t xml:space="preserve">Manejo nativo de variables mixtas: el dataset combina índices continuos con variables binarias (is_open_source), lo que favorece a los modelos basados en árboles.</w:t>
      </w:r>
    </w:p>
    <w:p>
      <w:pPr>
        <w:spacing w:after="0" w:before="120"/>
      </w:pPr>
      <w:r>
        <w:t xml:space="preserve"/>
      </w:r>
    </w:p>
    <w:p>
      <w:pPr>
        <w:pStyle w:val="Heading2"/>
        <w:spacing w:after="120" w:before="280"/>
      </w:pPr>
      <w:r>
        <w:rPr>
          <w:rFonts w:ascii="Calibri" w:cs="Calibri" w:eastAsia="Calibri" w:hAnsi="Calibri"/>
          <w:b/>
          <w:bCs/>
          <w:color w:val="2D4A6B"/>
          <w:sz w:val="26"/>
          <w:szCs w:val="26"/>
        </w:rPr>
        <w:t xml:space="preserve">4. Tratamiento del Problema de Regresión</w:t>
      </w:r>
    </w:p>
    <w:p>
      <w:pPr>
        <w:spacing w:after="80" w:before="80" w:line="360"/>
        <w:jc w:val="both"/>
      </w:pPr>
      <w:r>
        <w:rPr>
          <w:rFonts w:ascii="Georgia" w:cs="Georgia" w:eastAsia="Georgia" w:hAnsi="Georgia"/>
          <w:b w:val="false"/>
          <w:bCs w:val="false"/>
          <w:i w:val="false"/>
          <w:iCs w:val="false"/>
          <w:color w:val="2B2B2B"/>
          <w:sz w:val="22"/>
          <w:szCs w:val="22"/>
        </w:rPr>
        <w:t xml:space="preserve">Paralelo al pipeline de clasificación, se desarrolló un módulo de regresión que estima el precio de salida justo (output_cost_usd_per_1m) de cada modelo en función de su perfil técnico. Se utilizaron Random Forest Regressor y Gradient Boosting Regressor con las mismas variables de entrada, excluyendo las variables de costo del lado del target para evitar fuga de información.</w:t>
      </w:r>
    </w:p>
    <w:p>
      <w:pPr>
        <w:spacing w:after="0" w:before="120"/>
      </w:pPr>
      <w:r>
        <w:t xml:space="preserve"/>
      </w:r>
    </w:p>
    <w:p>
      <w:pPr>
        <w:pStyle w:val="Heading2"/>
        <w:spacing w:after="120" w:before="280"/>
      </w:pPr>
      <w:r>
        <w:rPr>
          <w:rFonts w:ascii="Calibri" w:cs="Calibri" w:eastAsia="Calibri" w:hAnsi="Calibri"/>
          <w:b/>
          <w:bCs/>
          <w:color w:val="2D4A6B"/>
          <w:sz w:val="26"/>
          <w:szCs w:val="26"/>
        </w:rPr>
        <w:t xml:space="preserve">5. Estrategia de Evaluación</w:t>
      </w:r>
    </w:p>
    <w:p>
      <w:pPr>
        <w:spacing w:after="80" w:before="80" w:line="360"/>
        <w:jc w:val="both"/>
      </w:pPr>
      <w:r>
        <w:rPr>
          <w:rFonts w:ascii="Georgia" w:cs="Georgia" w:eastAsia="Georgia" w:hAnsi="Georgia"/>
          <w:b w:val="false"/>
          <w:bCs w:val="false"/>
          <w:i w:val="false"/>
          <w:iCs w:val="false"/>
          <w:color w:val="2B2B2B"/>
          <w:sz w:val="22"/>
          <w:szCs w:val="22"/>
        </w:rPr>
        <w:t xml:space="preserve">La evaluación de todos los modelos siguió el mismo protocolo: división entrenamiento/prueba 80/20 con estratificación (StratifiedKFold para clasificación, KFold para regresión), validación cruzada de 5 pliegues y semilla aleatoria fija (random_state=42) para garantizar reproducibilidad total. Las métricas reportadas cubren accuracy, precisión, recall, F1 ponderado, matrices de confusión por clase para clasificación, y R², MAE y RMSE para regresión.</w:t>
      </w:r>
    </w:p>
    <w:p>
      <w:r>
        <w:br w:type="page"/>
      </w:r>
    </w:p>
    <w:p>
      <w:pPr>
        <w:pStyle w:val="Heading1"/>
        <w:pBdr>
          <w:bottom w:val="single" w:color="2D4A6B" w:sz="12" w:space="2"/>
        </w:pBdr>
        <w:spacing w:after="160" w:before="400"/>
      </w:pPr>
      <w:r>
        <w:rPr>
          <w:rFonts w:ascii="Calibri" w:cs="Calibri" w:eastAsia="Calibri" w:hAnsi="Calibri"/>
          <w:b/>
          <w:bCs/>
          <w:caps/>
          <w:color w:val="1A1A2E"/>
          <w:sz w:val="32"/>
          <w:szCs w:val="32"/>
        </w:rPr>
        <w:t xml:space="preserve">Análisis Experimental</w:t>
      </w:r>
    </w:p>
    <w:p>
      <w:pPr>
        <w:pStyle w:val="Heading2"/>
        <w:spacing w:after="120" w:before="280"/>
      </w:pPr>
      <w:r>
        <w:rPr>
          <w:rFonts w:ascii="Calibri" w:cs="Calibri" w:eastAsia="Calibri" w:hAnsi="Calibri"/>
          <w:b/>
          <w:bCs/>
          <w:color w:val="2D4A6B"/>
          <w:sz w:val="26"/>
          <w:szCs w:val="26"/>
        </w:rPr>
        <w:t xml:space="preserve">1. Análisis Exploratorio de Datos</w:t>
      </w:r>
    </w:p>
    <w:p>
      <w:pPr>
        <w:spacing w:after="80" w:before="80" w:line="360"/>
        <w:jc w:val="both"/>
      </w:pPr>
      <w:r>
        <w:rPr>
          <w:rFonts w:ascii="Georgia" w:cs="Georgia" w:eastAsia="Georgia" w:hAnsi="Georgia"/>
          <w:b w:val="false"/>
          <w:bCs w:val="false"/>
          <w:i w:val="false"/>
          <w:iCs w:val="false"/>
          <w:color w:val="2B2B2B"/>
          <w:sz w:val="22"/>
          <w:szCs w:val="22"/>
        </w:rPr>
        <w:t xml:space="preserve">El análisis exploratorio reveló tres patrones estructurales relevantes para el diseño del modelo:</w:t>
      </w:r>
    </w:p>
    <w:p>
      <w:pPr>
        <w:spacing w:after="0" w:before="80"/>
      </w:pPr>
      <w:r>
        <w:t xml:space="preserve"/>
      </w:r>
    </w:p>
    <w:p>
      <w:pPr>
        <w:pStyle w:val="ListParagraph"/>
        <w:numPr>
          <w:ilvl w:val="0"/>
          <w:numId w:val="2"/>
        </w:numPr>
        <w:spacing w:after="60" w:before="60" w:line="340"/>
      </w:pPr>
      <w:r>
        <w:rPr>
          <w:rFonts w:ascii="Georgia" w:cs="Georgia" w:eastAsia="Georgia" w:hAnsi="Georgia"/>
          <w:color w:val="2B2B2B"/>
          <w:sz w:val="22"/>
          <w:szCs w:val="22"/>
        </w:rPr>
        <w:t xml:space="preserve">Distribución sesgada del pricing_tier: la categoría Mid concentra el 41.3% de los modelos, mientras que Ultra (modelos de muy alto valor) representa apenas el 2.2%. Este desbalance fue considerado en la selección de métricas de evaluación, priorizando F1 ponderado sobre accuracy simple.</w:t>
      </w:r>
    </w:p>
    <w:p>
      <w:pPr>
        <w:pStyle w:val="ListParagraph"/>
        <w:numPr>
          <w:ilvl w:val="0"/>
          <w:numId w:val="2"/>
        </w:numPr>
        <w:spacing w:after="60" w:before="60" w:line="340"/>
      </w:pPr>
      <w:r>
        <w:rPr>
          <w:rFonts w:ascii="Georgia" w:cs="Georgia" w:eastAsia="Georgia" w:hAnsi="Georgia"/>
          <w:color w:val="2B2B2B"/>
          <w:sz w:val="22"/>
          <w:szCs w:val="22"/>
        </w:rPr>
        <w:t xml:space="preserve">Alta correlación entre índices de rendimiento: los índices de inteligencia, codificación y matemática presentan correlaciones de Pearson superiores a 0.75, lo que sugiere que capturan una dimensión común de capacidad técnica. La matriz de correlación fue visualizada mediante mapa de calor.</w:t>
      </w:r>
    </w:p>
    <w:p>
      <w:pPr>
        <w:pStyle w:val="ListParagraph"/>
        <w:numPr>
          <w:ilvl w:val="0"/>
          <w:numId w:val="2"/>
        </w:numPr>
        <w:spacing w:after="60" w:before="60" w:line="340"/>
      </w:pPr>
      <w:r>
        <w:rPr>
          <w:rFonts w:ascii="Georgia" w:cs="Georgia" w:eastAsia="Georgia" w:hAnsi="Georgia"/>
          <w:color w:val="2B2B2B"/>
          <w:sz w:val="22"/>
          <w:szCs w:val="22"/>
        </w:rPr>
        <w:t xml:space="preserve">Heterogeneidad de proveedores: los 10 principales proveedores concentran el 78% de los modelos, siendo Anthropic, OpenAI y Google los más representados. La distribución por proveedor fue documentada en el notebook 01.</w:t>
      </w:r>
    </w:p>
    <w:p>
      <w:pPr>
        <w:spacing w:after="0" w:before="120"/>
      </w:pPr>
      <w:r>
        <w:t xml:space="preserve"/>
      </w:r>
    </w:p>
    <w:p>
      <w:pPr>
        <w:pStyle w:val="Heading2"/>
        <w:spacing w:after="120" w:before="280"/>
      </w:pPr>
      <w:r>
        <w:rPr>
          <w:rFonts w:ascii="Calibri" w:cs="Calibri" w:eastAsia="Calibri" w:hAnsi="Calibri"/>
          <w:b/>
          <w:bCs/>
          <w:color w:val="2D4A6B"/>
          <w:sz w:val="26"/>
          <w:szCs w:val="26"/>
        </w:rPr>
        <w:t xml:space="preserve">2. Configuración de Experimentos — Clasificación</w:t>
      </w:r>
    </w:p>
    <w:p>
      <w:pPr>
        <w:spacing w:after="80" w:before="80" w:line="360"/>
        <w:jc w:val="both"/>
      </w:pPr>
      <w:r>
        <w:rPr>
          <w:rFonts w:ascii="Georgia" w:cs="Georgia" w:eastAsia="Georgia" w:hAnsi="Georgia"/>
          <w:b w:val="false"/>
          <w:bCs w:val="false"/>
          <w:i w:val="false"/>
          <w:iCs w:val="false"/>
          <w:color w:val="2B2B2B"/>
          <w:sz w:val="22"/>
          <w:szCs w:val="22"/>
        </w:rPr>
        <w:t xml:space="preserve">Los experimentos de clasificación se ejecutaron en los notebooks 02, 03 y 04 bajo la siguiente configuración base: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rPr>
          <w:tblHeader/>
        </w:trPr>
        <w:tc>
          <w:tcPr>
            <w:tcW w:type="dxa" w:w="32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Parámetro</w:t>
            </w:r>
          </w:p>
        </w:tc>
        <w:tc>
          <w:tcPr>
            <w:tcW w:type="dxa" w:w="30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Random Forest</w:t>
            </w:r>
          </w:p>
        </w:tc>
        <w:tc>
          <w:tcPr>
            <w:tcW w:type="dxa" w:w="30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Gradient Boosting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n_estimators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100</w:t>
            </w:r>
          </w:p>
        </w:tc>
      </w:tr>
      <w:tr>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max_depth</w:t>
            </w:r>
          </w:p>
        </w:tc>
        <w:tc>
          <w:tcPr>
            <w:tcW w:type="dxa" w:w="30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10</w:t>
            </w:r>
          </w:p>
        </w:tc>
        <w:tc>
          <w:tcPr>
            <w:tcW w:type="dxa" w:w="30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learning_rate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0.1</w:t>
            </w:r>
          </w:p>
        </w:tc>
      </w:tr>
      <w:tr>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random_state</w:t>
            </w:r>
          </w:p>
        </w:tc>
        <w:tc>
          <w:tcPr>
            <w:tcW w:type="dxa" w:w="30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42</w:t>
            </w:r>
          </w:p>
        </w:tc>
        <w:tc>
          <w:tcPr>
            <w:tcW w:type="dxa" w:w="30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42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n_jobs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-1 (paralelo)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N/A</w:t>
            </w:r>
          </w:p>
        </w:tc>
      </w:tr>
    </w:tbl>
    <w:p>
      <w:pPr>
        <w:spacing w:after="0" w:before="160"/>
      </w:pPr>
      <w:r>
        <w:t xml:space="preserve"/>
      </w:r>
    </w:p>
    <w:p>
      <w:pPr>
        <w:spacing w:after="80" w:before="80" w:line="360"/>
        <w:jc w:val="both"/>
      </w:pPr>
      <w:r>
        <w:rPr>
          <w:rFonts w:ascii="Georgia" w:cs="Georgia" w:eastAsia="Georgia" w:hAnsi="Georgia"/>
          <w:b w:val="false"/>
          <w:bCs w:val="false"/>
          <w:i/>
          <w:iCs/>
          <w:color w:val="2B2B2B"/>
          <w:sz w:val="22"/>
          <w:szCs w:val="22"/>
        </w:rPr>
        <w:t xml:space="preserve">Nota. Configuración base de los modelos en la etapa de entrenamiento inicial (Notebook 02). Los parámetros fueron refinados en la etapa de optimización.</w:t>
      </w:r>
    </w:p>
    <w:p>
      <w:pPr>
        <w:spacing w:after="0" w:before="120"/>
      </w:pPr>
      <w:r>
        <w:t xml:space="preserve"/>
      </w:r>
    </w:p>
    <w:p>
      <w:pPr>
        <w:pStyle w:val="Heading2"/>
        <w:spacing w:after="120" w:before="280"/>
      </w:pPr>
      <w:r>
        <w:rPr>
          <w:rFonts w:ascii="Calibri" w:cs="Calibri" w:eastAsia="Calibri" w:hAnsi="Calibri"/>
          <w:b/>
          <w:bCs/>
          <w:color w:val="2D4A6B"/>
          <w:sz w:val="26"/>
          <w:szCs w:val="26"/>
        </w:rPr>
        <w:t xml:space="preserve">3. Configuración de Experimentos — Regresión</w:t>
      </w:r>
    </w:p>
    <w:p>
      <w:pPr>
        <w:spacing w:after="80" w:before="80" w:line="360"/>
        <w:jc w:val="both"/>
      </w:pPr>
      <w:r>
        <w:rPr>
          <w:rFonts w:ascii="Georgia" w:cs="Georgia" w:eastAsia="Georgia" w:hAnsi="Georgia"/>
          <w:b w:val="false"/>
          <w:bCs w:val="false"/>
          <w:i w:val="false"/>
          <w:iCs w:val="false"/>
          <w:color w:val="2B2B2B"/>
          <w:sz w:val="22"/>
          <w:szCs w:val="22"/>
        </w:rPr>
        <w:t xml:space="preserve">Los modelos de regresión (Notebooks 07 y 08) utilizaron el mismo esquema de validación cruzada 5-fold. El target fue el costo de salida (output_cost_usd_per_1m) normalizado. El conjunto de features incluye velocidad, latencia, parámetros del modelo, benchmarks y ratios de eficiencia, excluyendo explícitamente el costo de entrada para evitar fuga de información.</w:t>
      </w:r>
    </w:p>
    <w:p>
      <w:r>
        <w:br w:type="page"/>
      </w:r>
    </w:p>
    <w:p>
      <w:pPr>
        <w:pStyle w:val="Heading1"/>
        <w:pBdr>
          <w:bottom w:val="single" w:color="2D4A6B" w:sz="12" w:space="2"/>
        </w:pBdr>
        <w:spacing w:after="160" w:before="400"/>
      </w:pPr>
      <w:r>
        <w:rPr>
          <w:rFonts w:ascii="Calibri" w:cs="Calibri" w:eastAsia="Calibri" w:hAnsi="Calibri"/>
          <w:b/>
          <w:bCs/>
          <w:caps/>
          <w:color w:val="1A1A2E"/>
          <w:sz w:val="32"/>
          <w:szCs w:val="32"/>
        </w:rPr>
        <w:t xml:space="preserve">Resultados y Comparación de Modelos</w:t>
      </w:r>
    </w:p>
    <w:p>
      <w:pPr>
        <w:pStyle w:val="Heading2"/>
        <w:spacing w:after="120" w:before="280"/>
      </w:pPr>
      <w:r>
        <w:rPr>
          <w:rFonts w:ascii="Calibri" w:cs="Calibri" w:eastAsia="Calibri" w:hAnsi="Calibri"/>
          <w:b/>
          <w:bCs/>
          <w:color w:val="2D4A6B"/>
          <w:sz w:val="26"/>
          <w:szCs w:val="26"/>
        </w:rPr>
        <w:t xml:space="preserve">1. Resultados de Clasificación — Modelos Base</w:t>
      </w:r>
    </w:p>
    <w:p>
      <w:pPr>
        <w:spacing w:after="80" w:before="80" w:line="360"/>
        <w:jc w:val="both"/>
      </w:pPr>
      <w:r>
        <w:rPr>
          <w:rFonts w:ascii="Georgia" w:cs="Georgia" w:eastAsia="Georgia" w:hAnsi="Georgia"/>
          <w:b w:val="false"/>
          <w:bCs w:val="false"/>
          <w:i w:val="false"/>
          <w:iCs w:val="false"/>
          <w:color w:val="2B2B2B"/>
          <w:sz w:val="22"/>
          <w:szCs w:val="22"/>
        </w:rPr>
        <w:t xml:space="preserve">Tras el entrenamiento inicial sobre el dataset con Unknown reasignados mediante clustering, ambos modelos alcanzaron un desempeño notable:</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1550"/>
        <w:gridCol w:w="1550"/>
      </w:tblGrid>
      <w:tr>
        <w:trPr>
          <w:tblHeader/>
        </w:trPr>
        <w:tc>
          <w:tcPr>
            <w:tcW w:type="dxa" w:w="30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Modelo</w:t>
            </w:r>
          </w:p>
        </w:tc>
        <w:tc>
          <w:tcPr>
            <w:tcW w:type="dxa" w:w="155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Accuracy Test</w:t>
            </w:r>
          </w:p>
        </w:tc>
        <w:tc>
          <w:tcPr>
            <w:tcW w:type="dxa" w:w="155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Accuracy CV</w:t>
            </w:r>
          </w:p>
        </w:tc>
        <w:tc>
          <w:tcPr>
            <w:tcW w:type="dxa" w:w="155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Std. CV</w:t>
            </w:r>
          </w:p>
        </w:tc>
        <w:tc>
          <w:tcPr>
            <w:tcW w:type="dxa" w:w="155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F1 Weighted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Random Forest</w:t>
            </w:r>
          </w:p>
        </w:tc>
        <w:tc>
          <w:tcPr>
            <w:tcW w:type="dxa" w:w="15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98.90%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96.09%</w:t>
            </w:r>
          </w:p>
        </w:tc>
        <w:tc>
          <w:tcPr>
            <w:tcW w:type="dxa" w:w="15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±1.37%</w:t>
            </w:r>
          </w:p>
        </w:tc>
        <w:tc>
          <w:tcPr>
            <w:tcW w:type="dxa" w:w="15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~0.989</w:t>
            </w:r>
          </w:p>
        </w:tc>
      </w:tr>
      <w:tr>
        <w:tc>
          <w:tcPr>
            <w:tcW w:type="dxa" w:w="30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Gradient Boosting</w:t>
            </w:r>
          </w:p>
        </w:tc>
        <w:tc>
          <w:tcPr>
            <w:tcW w:type="dxa" w:w="155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98.90%</w:t>
            </w:r>
          </w:p>
        </w:tc>
        <w:tc>
          <w:tcPr>
            <w:tcW w:type="dxa" w:w="155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96.64%</w:t>
            </w:r>
          </w:p>
        </w:tc>
        <w:tc>
          <w:tcPr>
            <w:tcW w:type="dxa" w:w="155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±1.44%</w:t>
            </w:r>
          </w:p>
        </w:tc>
        <w:tc>
          <w:tcPr>
            <w:tcW w:type="dxa" w:w="155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~0.989</w:t>
            </w:r>
          </w:p>
        </w:tc>
      </w:tr>
    </w:tbl>
    <w:p>
      <w:pPr>
        <w:spacing w:after="0" w:before="160"/>
      </w:pPr>
      <w:r>
        <w:t xml:space="preserve"/>
      </w:r>
    </w:p>
    <w:p>
      <w:pPr>
        <w:spacing w:after="80" w:before="80" w:line="360"/>
        <w:jc w:val="both"/>
      </w:pPr>
      <w:r>
        <w:rPr>
          <w:rFonts w:ascii="Georgia" w:cs="Georgia" w:eastAsia="Georgia" w:hAnsi="Georgia"/>
          <w:b w:val="false"/>
          <w:bCs w:val="false"/>
          <w:i/>
          <w:iCs/>
          <w:color w:val="2B2B2B"/>
          <w:sz w:val="22"/>
          <w:szCs w:val="22"/>
        </w:rPr>
        <w:t xml:space="preserve">Nota. CV = validación cruzada 5-fold con StratifiedKFold. Std. CV = desviación estándar entre pliegues.</w:t>
      </w:r>
    </w:p>
    <w:p>
      <w:pPr>
        <w:spacing w:after="0" w:before="120"/>
      </w:pPr>
      <w:r>
        <w:t xml:space="preserve"/>
      </w:r>
    </w:p>
    <w:p>
      <w:pPr>
        <w:spacing w:after="80" w:before="80" w:line="360"/>
        <w:jc w:val="both"/>
      </w:pPr>
      <w:r>
        <w:rPr>
          <w:rFonts w:ascii="Georgia" w:cs="Georgia" w:eastAsia="Georgia" w:hAnsi="Georgia"/>
          <w:b w:val="false"/>
          <w:bCs w:val="false"/>
          <w:i w:val="false"/>
          <w:iCs w:val="false"/>
          <w:color w:val="2B2B2B"/>
          <w:sz w:val="22"/>
          <w:szCs w:val="22"/>
        </w:rPr>
        <w:t xml:space="preserve">Ambos modelos alcanzaron el mismo accuracy en el conjunto de prueba. La diferencia es observable en la validación cruzada, donde Gradient Boosting obtiene 0.55 puntos porcentuales más, con varianza comparable. Este resultado es consistente con la teoría: el boosting secuencial suele superar ligeramente al bagging en datasets de tamaño moderado con baja dimensionalidad efectiva.</w:t>
      </w:r>
    </w:p>
    <w:p>
      <w:pPr>
        <w:spacing w:after="0" w:before="120"/>
      </w:pPr>
      <w:r>
        <w:t xml:space="preserve"/>
      </w:r>
    </w:p>
    <w:p>
      <w:pPr>
        <w:pStyle w:val="Heading3"/>
        <w:spacing w:after="80" w:before="200"/>
      </w:pPr>
      <w:r>
        <w:rPr>
          <w:rFonts w:ascii="Calibri" w:cs="Calibri" w:eastAsia="Calibri" w:hAnsi="Calibri"/>
          <w:b/>
          <w:bCs/>
          <w:i/>
          <w:iCs/>
          <w:color w:val="4A6741"/>
          <w:sz w:val="23"/>
          <w:szCs w:val="23"/>
        </w:rPr>
        <w:t xml:space="preserve">Análisis por clase — Random Forest</w:t>
      </w:r>
    </w:p>
    <w:p>
      <w:pPr>
        <w:spacing w:after="80" w:before="80" w:line="360"/>
        <w:jc w:val="both"/>
      </w:pPr>
      <w:r>
        <w:rPr>
          <w:rFonts w:ascii="Georgia" w:cs="Georgia" w:eastAsia="Georgia" w:hAnsi="Georgia"/>
          <w:b w:val="false"/>
          <w:bCs w:val="false"/>
          <w:i w:val="false"/>
          <w:iCs w:val="false"/>
          <w:color w:val="2B2B2B"/>
          <w:sz w:val="22"/>
          <w:szCs w:val="22"/>
        </w:rPr>
        <w:t xml:space="preserve">El examen de las matrices de confusión reveló que el único error cometido por ambos modelos fue la confusión de un modelo de categoría Premium con Mid. Las cinco categorías restantes (Budget, Free, Mid, Ultra) se clasificaron con 100% de precisión, lo que indica que las variables de rendimiento y costo son altamente discriminativas para estas clases.</w:t>
      </w:r>
    </w:p>
    <w:p>
      <w:pPr>
        <w:spacing w:after="0" w:before="80"/>
      </w:pPr>
      <w:r>
        <w:t xml:space="preserve"/>
      </w:r>
    </w:p>
    <w:p>
      <w:pPr>
        <w:pStyle w:val="ListParagraph"/>
        <w:numPr>
          <w:ilvl w:val="0"/>
          <w:numId w:val="2"/>
        </w:numPr>
        <w:spacing w:after="60" w:before="60" w:line="340"/>
      </w:pPr>
      <w:r>
        <w:rPr>
          <w:rFonts w:ascii="Georgia" w:cs="Georgia" w:eastAsia="Georgia" w:hAnsi="Georgia"/>
          <w:color w:val="2B2B2B"/>
          <w:sz w:val="22"/>
          <w:szCs w:val="22"/>
        </w:rPr>
        <w:t xml:space="preserve">Budget (0): 22/22 correctas — 100%</w:t>
      </w:r>
    </w:p>
    <w:p>
      <w:pPr>
        <w:pStyle w:val="ListParagraph"/>
        <w:numPr>
          <w:ilvl w:val="0"/>
          <w:numId w:val="2"/>
        </w:numPr>
        <w:spacing w:after="60" w:before="60" w:line="340"/>
      </w:pPr>
      <w:r>
        <w:rPr>
          <w:rFonts w:ascii="Georgia" w:cs="Georgia" w:eastAsia="Georgia" w:hAnsi="Georgia"/>
          <w:color w:val="2B2B2B"/>
          <w:sz w:val="22"/>
          <w:szCs w:val="22"/>
        </w:rPr>
        <w:t xml:space="preserve">Free (1): 24/24 correctas — 100%</w:t>
      </w:r>
    </w:p>
    <w:p>
      <w:pPr>
        <w:pStyle w:val="ListParagraph"/>
        <w:numPr>
          <w:ilvl w:val="0"/>
          <w:numId w:val="2"/>
        </w:numPr>
        <w:spacing w:after="60" w:before="60" w:line="340"/>
      </w:pPr>
      <w:r>
        <w:rPr>
          <w:rFonts w:ascii="Georgia" w:cs="Georgia" w:eastAsia="Georgia" w:hAnsi="Georgia"/>
          <w:color w:val="2B2B2B"/>
          <w:sz w:val="22"/>
          <w:szCs w:val="22"/>
        </w:rPr>
        <w:t xml:space="preserve">Mid (2): 37/37 correctas — 100%</w:t>
      </w:r>
    </w:p>
    <w:p>
      <w:pPr>
        <w:pStyle w:val="ListParagraph"/>
        <w:numPr>
          <w:ilvl w:val="0"/>
          <w:numId w:val="2"/>
        </w:numPr>
        <w:spacing w:after="60" w:before="60" w:line="340"/>
      </w:pPr>
      <w:r>
        <w:rPr>
          <w:rFonts w:ascii="Georgia" w:cs="Georgia" w:eastAsia="Georgia" w:hAnsi="Georgia"/>
          <w:color w:val="2B2B2B"/>
          <w:sz w:val="22"/>
          <w:szCs w:val="22"/>
        </w:rPr>
        <w:t xml:space="preserve">Premium (3): 4/5 correctas — 80%, 1 confundido con Mid</w:t>
      </w:r>
    </w:p>
    <w:p>
      <w:pPr>
        <w:pStyle w:val="ListParagraph"/>
        <w:numPr>
          <w:ilvl w:val="0"/>
          <w:numId w:val="2"/>
        </w:numPr>
        <w:spacing w:after="60" w:before="60" w:line="340"/>
      </w:pPr>
      <w:r>
        <w:rPr>
          <w:rFonts w:ascii="Georgia" w:cs="Georgia" w:eastAsia="Georgia" w:hAnsi="Georgia"/>
          <w:color w:val="2B2B2B"/>
          <w:sz w:val="22"/>
          <w:szCs w:val="22"/>
        </w:rPr>
        <w:t xml:space="preserve">Ultra (4): 2/2 correctas — 100%</w:t>
      </w:r>
    </w:p>
    <w:p>
      <w:pPr>
        <w:spacing w:after="0" w:before="120"/>
      </w:pPr>
      <w:r>
        <w:t xml:space="preserve"/>
      </w:r>
    </w:p>
    <w:p>
      <w:pPr>
        <w:pStyle w:val="Heading2"/>
        <w:spacing w:after="120" w:before="280"/>
      </w:pPr>
      <w:r>
        <w:rPr>
          <w:rFonts w:ascii="Calibri" w:cs="Calibri" w:eastAsia="Calibri" w:hAnsi="Calibri"/>
          <w:b/>
          <w:bCs/>
          <w:color w:val="2D4A6B"/>
          <w:sz w:val="26"/>
          <w:szCs w:val="26"/>
        </w:rPr>
        <w:t xml:space="preserve">2. Resultados de Regresión — Modelos Base</w:t>
      </w:r>
    </w:p>
    <w:p>
      <w:pPr>
        <w:spacing w:after="80" w:before="80" w:line="360"/>
        <w:jc w:val="both"/>
      </w:pPr>
      <w:r>
        <w:rPr>
          <w:rFonts w:ascii="Georgia" w:cs="Georgia" w:eastAsia="Georgia" w:hAnsi="Georgia"/>
          <w:b w:val="false"/>
          <w:bCs w:val="false"/>
          <w:i w:val="false"/>
          <w:iCs w:val="false"/>
          <w:color w:val="2B2B2B"/>
          <w:sz w:val="22"/>
          <w:szCs w:val="22"/>
        </w:rPr>
        <w:t xml:space="preserve">Los modelos de regresión para estimación de precio justo mostraron un ajuste elevado en ambos casos, con R² cercano a 0.90, lo que indica que las variables técnicas seleccionadas explican la mayor parte de la variación en el precio de los modelos LLM:</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1550"/>
        <w:gridCol w:w="1550"/>
      </w:tblGrid>
      <w:tr>
        <w:trPr>
          <w:tblHeader/>
        </w:trPr>
        <w:tc>
          <w:tcPr>
            <w:tcW w:type="dxa" w:w="30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Modelo</w:t>
            </w:r>
          </w:p>
        </w:tc>
        <w:tc>
          <w:tcPr>
            <w:tcW w:type="dxa" w:w="155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R² Test</w:t>
            </w:r>
          </w:p>
        </w:tc>
        <w:tc>
          <w:tcPr>
            <w:tcW w:type="dxa" w:w="155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R² CV (media)</w:t>
            </w:r>
          </w:p>
        </w:tc>
        <w:tc>
          <w:tcPr>
            <w:tcW w:type="dxa" w:w="155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MAE</w:t>
            </w:r>
          </w:p>
        </w:tc>
        <w:tc>
          <w:tcPr>
            <w:tcW w:type="dxa" w:w="155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RMSE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Random Forest Reg.</w:t>
            </w:r>
          </w:p>
        </w:tc>
        <w:tc>
          <w:tcPr>
            <w:tcW w:type="dxa" w:w="15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~0.8912</w:t>
            </w:r>
          </w:p>
        </w:tc>
        <w:tc>
          <w:tcPr>
            <w:tcW w:type="dxa" w:w="15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~0.87</w:t>
            </w:r>
          </w:p>
        </w:tc>
        <w:tc>
          <w:tcPr>
            <w:tcW w:type="dxa" w:w="15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Bajo</w:t>
            </w:r>
          </w:p>
        </w:tc>
        <w:tc>
          <w:tcPr>
            <w:tcW w:type="dxa" w:w="15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Bajo</w:t>
            </w:r>
          </w:p>
        </w:tc>
      </w:tr>
      <w:tr>
        <w:tc>
          <w:tcPr>
            <w:tcW w:type="dxa" w:w="30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Gradient Boosting Reg.</w:t>
            </w:r>
          </w:p>
        </w:tc>
        <w:tc>
          <w:tcPr>
            <w:tcW w:type="dxa" w:w="155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~0.8780</w:t>
            </w:r>
          </w:p>
        </w:tc>
        <w:tc>
          <w:tcPr>
            <w:tcW w:type="dxa" w:w="155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~0.86</w:t>
            </w:r>
          </w:p>
        </w:tc>
        <w:tc>
          <w:tcPr>
            <w:tcW w:type="dxa" w:w="155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Bajo</w:t>
            </w:r>
          </w:p>
        </w:tc>
        <w:tc>
          <w:tcPr>
            <w:tcW w:type="dxa" w:w="155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Bajo</w:t>
            </w:r>
          </w:p>
        </w:tc>
      </w:tr>
    </w:tbl>
    <w:p>
      <w:pPr>
        <w:spacing w:after="0" w:before="160"/>
      </w:pPr>
      <w:r>
        <w:t xml:space="preserve"/>
      </w:r>
    </w:p>
    <w:p>
      <w:pPr>
        <w:spacing w:after="80" w:before="80" w:line="360"/>
        <w:jc w:val="both"/>
      </w:pPr>
      <w:r>
        <w:rPr>
          <w:rFonts w:ascii="Georgia" w:cs="Georgia" w:eastAsia="Georgia" w:hAnsi="Georgia"/>
          <w:b w:val="false"/>
          <w:bCs w:val="false"/>
          <w:i/>
          <w:iCs/>
          <w:color w:val="2B2B2B"/>
          <w:sz w:val="22"/>
          <w:szCs w:val="22"/>
        </w:rPr>
        <w:t xml:space="preserve">Nota. Valores exactos de MAE y RMSE dependen de la escala del target tras normalización. R² CV = promedio de 5 pliegues.</w:t>
      </w:r>
    </w:p>
    <w:p>
      <w:pPr>
        <w:spacing w:after="0" w:before="120"/>
      </w:pPr>
      <w:r>
        <w:t xml:space="preserve"/>
      </w:r>
    </w:p>
    <w:p>
      <w:pPr>
        <w:pStyle w:val="Heading2"/>
        <w:spacing w:after="120" w:before="280"/>
      </w:pPr>
      <w:r>
        <w:rPr>
          <w:rFonts w:ascii="Calibri" w:cs="Calibri" w:eastAsia="Calibri" w:hAnsi="Calibri"/>
          <w:b/>
          <w:bCs/>
          <w:color w:val="2D4A6B"/>
          <w:sz w:val="26"/>
          <w:szCs w:val="26"/>
        </w:rPr>
        <w:t xml:space="preserve">3. Variables Más Relevantes</w:t>
      </w:r>
    </w:p>
    <w:p>
      <w:pPr>
        <w:spacing w:after="80" w:before="80" w:line="360"/>
        <w:jc w:val="both"/>
      </w:pPr>
      <w:r>
        <w:rPr>
          <w:rFonts w:ascii="Georgia" w:cs="Georgia" w:eastAsia="Georgia" w:hAnsi="Georgia"/>
          <w:b w:val="false"/>
          <w:bCs w:val="false"/>
          <w:i w:val="false"/>
          <w:iCs w:val="false"/>
          <w:color w:val="2B2B2B"/>
          <w:sz w:val="22"/>
          <w:szCs w:val="22"/>
        </w:rPr>
        <w:t xml:space="preserve">El análisis de importancia de variables (feature importance) de ambos modelos coincide en identificar las siguientes variables como determinantes del precio:</w:t>
      </w:r>
    </w:p>
    <w:p>
      <w:pPr>
        <w:spacing w:after="0" w:before="80"/>
      </w:pPr>
      <w:r>
        <w:t xml:space="preserve"/>
      </w:r>
    </w:p>
    <w:p>
      <w:pPr>
        <w:pStyle w:val="ListParagraph"/>
        <w:numPr>
          <w:ilvl w:val="0"/>
          <w:numId w:val="2"/>
        </w:numPr>
        <w:spacing w:after="60" w:before="60" w:line="340"/>
      </w:pPr>
      <w:r>
        <w:rPr>
          <w:rFonts w:ascii="Georgia" w:cs="Georgia" w:eastAsia="Georgia" w:hAnsi="Georgia"/>
          <w:color w:val="2B2B2B"/>
          <w:sz w:val="22"/>
          <w:szCs w:val="22"/>
        </w:rPr>
        <w:t xml:space="preserve">output_tokens_per_second (velocidad de generación): variable más importante en Random Forest para regresión.</w:t>
      </w:r>
    </w:p>
    <w:p>
      <w:pPr>
        <w:pStyle w:val="ListParagraph"/>
        <w:numPr>
          <w:ilvl w:val="0"/>
          <w:numId w:val="2"/>
        </w:numPr>
        <w:spacing w:after="60" w:before="60" w:line="340"/>
      </w:pPr>
      <w:r>
        <w:rPr>
          <w:rFonts w:ascii="Georgia" w:cs="Georgia" w:eastAsia="Georgia" w:hAnsi="Georgia"/>
          <w:color w:val="2B2B2B"/>
          <w:sz w:val="22"/>
          <w:szCs w:val="22"/>
        </w:rPr>
        <w:t xml:space="preserve">speed_per_dollar (eficiencia económica): captura la relación entre rendimiento operacional y costo.</w:t>
      </w:r>
    </w:p>
    <w:p>
      <w:pPr>
        <w:pStyle w:val="ListParagraph"/>
        <w:numPr>
          <w:ilvl w:val="0"/>
          <w:numId w:val="2"/>
        </w:numPr>
        <w:spacing w:after="60" w:before="60" w:line="340"/>
      </w:pPr>
      <w:r>
        <w:rPr>
          <w:rFonts w:ascii="Georgia" w:cs="Georgia" w:eastAsia="Georgia" w:hAnsi="Georgia"/>
          <w:color w:val="2B2B2B"/>
          <w:sz w:val="22"/>
          <w:szCs w:val="22"/>
        </w:rPr>
        <w:t xml:space="preserve">parameter_count (tamaño del modelo): proxy del costo de infraestructura del proveedor.</w:t>
      </w:r>
    </w:p>
    <w:p>
      <w:pPr>
        <w:pStyle w:val="ListParagraph"/>
        <w:numPr>
          <w:ilvl w:val="0"/>
          <w:numId w:val="2"/>
        </w:numPr>
        <w:spacing w:after="60" w:before="60" w:line="340"/>
      </w:pPr>
      <w:r>
        <w:rPr>
          <w:rFonts w:ascii="Georgia" w:cs="Georgia" w:eastAsia="Georgia" w:hAnsi="Georgia"/>
          <w:color w:val="2B2B2B"/>
          <w:sz w:val="22"/>
          <w:szCs w:val="22"/>
        </w:rPr>
        <w:t xml:space="preserve">time_to_first_token_s (latencia): las latencias bajas se asocian con mayor precio de servicio.</w:t>
      </w:r>
    </w:p>
    <w:p>
      <w:pPr>
        <w:pStyle w:val="ListParagraph"/>
        <w:numPr>
          <w:ilvl w:val="0"/>
          <w:numId w:val="2"/>
        </w:numPr>
        <w:spacing w:after="60" w:before="60" w:line="340"/>
      </w:pPr>
      <w:r>
        <w:rPr>
          <w:rFonts w:ascii="Georgia" w:cs="Georgia" w:eastAsia="Georgia" w:hAnsi="Georgia"/>
          <w:color w:val="2B2B2B"/>
          <w:sz w:val="22"/>
          <w:szCs w:val="22"/>
        </w:rPr>
        <w:t xml:space="preserve">chatbot_arena_elo (reputación en benchmarks públicos): modelos con alta reputación sostienen precios más elevados.</w:t>
      </w:r>
    </w:p>
    <w:p>
      <w:pPr>
        <w:spacing w:after="0" w:before="120"/>
      </w:pPr>
      <w:r>
        <w:t xml:space="preserve"/>
      </w:r>
    </w:p>
    <w:p>
      <w:pPr>
        <w:spacing w:after="80" w:before="80" w:line="360"/>
        <w:jc w:val="both"/>
      </w:pPr>
      <w:r>
        <w:rPr>
          <w:rFonts w:ascii="Georgia" w:cs="Georgia" w:eastAsia="Georgia" w:hAnsi="Georgia"/>
          <w:b w:val="false"/>
          <w:bCs w:val="false"/>
          <w:i w:val="false"/>
          <w:iCs w:val="false"/>
          <w:color w:val="2B2B2B"/>
          <w:sz w:val="22"/>
          <w:szCs w:val="22"/>
        </w:rPr>
        <w:t xml:space="preserve">Este hallazgo es relevante para el negocio: el precio de los LLM no está determinado únicamente por su capacidad intelectual abstracta, sino por métricas operacionales que afectan la experiencia del usuario final. Un modelo con índice de inteligencia alto pero velocidad baja tiende a ser subvalorado en precio relativo.</w:t>
      </w:r>
    </w:p>
    <w:p>
      <w:r>
        <w:br w:type="page"/>
      </w:r>
    </w:p>
    <w:p>
      <w:pPr>
        <w:pStyle w:val="Heading1"/>
        <w:pBdr>
          <w:bottom w:val="single" w:color="2D4A6B" w:sz="12" w:space="2"/>
        </w:pBdr>
        <w:spacing w:after="160" w:before="400"/>
      </w:pPr>
      <w:r>
        <w:rPr>
          <w:rFonts w:ascii="Calibri" w:cs="Calibri" w:eastAsia="Calibri" w:hAnsi="Calibri"/>
          <w:b/>
          <w:bCs/>
          <w:caps/>
          <w:color w:val="1A1A2E"/>
          <w:sz w:val="32"/>
          <w:szCs w:val="32"/>
        </w:rPr>
        <w:t xml:space="preserve">Optimización de Hiperparámetros</w:t>
      </w:r>
    </w:p>
    <w:p>
      <w:pPr>
        <w:pStyle w:val="Heading2"/>
        <w:spacing w:after="120" w:before="280"/>
      </w:pPr>
      <w:r>
        <w:rPr>
          <w:rFonts w:ascii="Calibri" w:cs="Calibri" w:eastAsia="Calibri" w:hAnsi="Calibri"/>
          <w:b/>
          <w:bCs/>
          <w:color w:val="2D4A6B"/>
          <w:sz w:val="26"/>
          <w:szCs w:val="26"/>
        </w:rPr>
        <w:t xml:space="preserve">1. Metodología de Búsqueda</w:t>
      </w:r>
    </w:p>
    <w:p>
      <w:pPr>
        <w:spacing w:after="80" w:before="80" w:line="360"/>
        <w:jc w:val="both"/>
      </w:pPr>
      <w:r>
        <w:rPr>
          <w:rFonts w:ascii="Georgia" w:cs="Georgia" w:eastAsia="Georgia" w:hAnsi="Georgia"/>
          <w:b w:val="false"/>
          <w:bCs w:val="false"/>
          <w:i w:val="false"/>
          <w:iCs w:val="false"/>
          <w:color w:val="2B2B2B"/>
          <w:sz w:val="22"/>
          <w:szCs w:val="22"/>
        </w:rPr>
        <w:t xml:space="preserve">Se implementaron dos estrategias complementarias de búsqueda de hiperparámetros: GridSearchCV y RandomizedSearchCV. La elección de usar ambas no es redundante; responde a propósitos distintos dentro del proceso de optimización.</w:t>
      </w:r>
    </w:p>
    <w:p>
      <w:pPr>
        <w:spacing w:after="0" w:before="120"/>
      </w:pPr>
      <w:r>
        <w:t xml:space="preserve"/>
      </w:r>
    </w:p>
    <w:p>
      <w:pPr>
        <w:spacing w:after="80" w:before="80" w:line="360"/>
        <w:jc w:val="both"/>
      </w:pPr>
      <w:r>
        <w:rPr>
          <w:rFonts w:ascii="Georgia" w:cs="Georgia" w:eastAsia="Georgia" w:hAnsi="Georgia"/>
          <w:b/>
          <w:bCs/>
          <w:color w:val="2B2B2B"/>
          <w:sz w:val="22"/>
          <w:szCs w:val="22"/>
        </w:rPr>
        <w:t xml:space="preserve">GridSearchCV </w:t>
      </w:r>
      <w:r>
        <w:rPr>
          <w:rFonts w:ascii="Georgia" w:cs="Georgia" w:eastAsia="Georgia" w:hAnsi="Georgia"/>
          <w:color w:val="2B2B2B"/>
          <w:sz w:val="22"/>
          <w:szCs w:val="22"/>
        </w:rPr>
        <w:t xml:space="preserve">explora de forma exhaustiva todas las combinaciones de una grilla predefinida. Esto garantiza encontrar el óptimo dentro del espacio acotado, pero el tiempo de cómputo crece exponencialmente con la cantidad de parámetros. Se utilizó para refinar combinaciones en rangos conocidos como prometedores.</w:t>
      </w:r>
    </w:p>
    <w:p>
      <w:pPr>
        <w:spacing w:after="0" w:before="80"/>
      </w:pPr>
      <w:r>
        <w:t xml:space="preserve"/>
      </w:r>
    </w:p>
    <w:p>
      <w:pPr>
        <w:spacing w:after="80" w:before="80" w:line="360"/>
        <w:jc w:val="both"/>
      </w:pPr>
      <w:r>
        <w:rPr>
          <w:rFonts w:ascii="Georgia" w:cs="Georgia" w:eastAsia="Georgia" w:hAnsi="Georgia"/>
          <w:b/>
          <w:bCs/>
          <w:color w:val="2B2B2B"/>
          <w:sz w:val="22"/>
          <w:szCs w:val="22"/>
        </w:rPr>
        <w:t xml:space="preserve">RandomizedSearchCV </w:t>
      </w:r>
      <w:r>
        <w:rPr>
          <w:rFonts w:ascii="Georgia" w:cs="Georgia" w:eastAsia="Georgia" w:hAnsi="Georgia"/>
          <w:color w:val="2B2B2B"/>
          <w:sz w:val="22"/>
          <w:szCs w:val="22"/>
        </w:rPr>
        <w:t xml:space="preserve">muestrea n_iter combinaciones al azar desde distribuciones o listas de valores. Permite explorar espacios de búsqueda más amplios en menos tiempo, siendo especialmente útil cuando se desconoce en qué región del espacio se encuentran los mejores hiperparámetros. Bergstra y Bengio (2012) demostraron que con recursos computacionales equivalentes, la búsqueda aleatoria iguala o supera a la exhaustiva cuando pocos hiperparámetros dominan el rendimiento.</w:t>
      </w:r>
    </w:p>
    <w:p>
      <w:pPr>
        <w:spacing w:after="0" w:before="120"/>
      </w:pPr>
      <w:r>
        <w:t xml:space="preserve"/>
      </w:r>
    </w:p>
    <w:p>
      <w:pPr>
        <w:pStyle w:val="Heading2"/>
        <w:spacing w:after="120" w:before="280"/>
      </w:pPr>
      <w:r>
        <w:rPr>
          <w:rFonts w:ascii="Calibri" w:cs="Calibri" w:eastAsia="Calibri" w:hAnsi="Calibri"/>
          <w:b/>
          <w:bCs/>
          <w:color w:val="2D4A6B"/>
          <w:sz w:val="26"/>
          <w:szCs w:val="26"/>
        </w:rPr>
        <w:t xml:space="preserve">2. Configuración de GridSearchCV</w:t>
      </w:r>
    </w:p>
    <w:p>
      <w:pPr>
        <w:spacing w:after="80" w:before="80" w:line="360"/>
        <w:jc w:val="both"/>
      </w:pPr>
      <w:r>
        <w:rPr>
          <w:rFonts w:ascii="Georgia" w:cs="Georgia" w:eastAsia="Georgia" w:hAnsi="Georgia"/>
          <w:b w:val="false"/>
          <w:bCs w:val="false"/>
          <w:i w:val="false"/>
          <w:iCs w:val="false"/>
          <w:color w:val="2B2B2B"/>
          <w:sz w:val="22"/>
          <w:szCs w:val="22"/>
        </w:rPr>
        <w:t xml:space="preserve">Se definieron grillas separadas para Random Forest y Gradient Boosting en clasificación:</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Hiperparámetro</w:t>
            </w:r>
          </w:p>
        </w:tc>
        <w:tc>
          <w:tcPr>
            <w:tcW w:type="dxa" w:w="32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Random Forest</w:t>
            </w:r>
          </w:p>
        </w:tc>
        <w:tc>
          <w:tcPr>
            <w:tcW w:type="dxa" w:w="32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Gradient Boosting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n_estimators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[50, 100, 150]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[50, 100, 150]</w:t>
            </w:r>
          </w:p>
        </w:tc>
      </w:tr>
      <w:tr>
        <w:tc>
          <w:tcPr>
            <w:tcW w:type="dxa" w:w="28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max_depth</w:t>
            </w:r>
          </w:p>
        </w:tc>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[5, 10, 15, 20]</w:t>
            </w:r>
          </w:p>
        </w:tc>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[3, 5, 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min_samples_split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[2, 5, 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[2, 5, 10]</w:t>
            </w:r>
          </w:p>
        </w:tc>
      </w:tr>
      <w:tr>
        <w:tc>
          <w:tcPr>
            <w:tcW w:type="dxa" w:w="28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min_samples_leaf</w:t>
            </w:r>
          </w:p>
        </w:tc>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[1, 2, 4]</w:t>
            </w:r>
          </w:p>
        </w:tc>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learning_rate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[0.01, 0.05, 0.1]</w:t>
            </w:r>
          </w:p>
        </w:tc>
      </w:tr>
      <w:tr>
        <w:tc>
          <w:tcPr>
            <w:tcW w:type="dxa" w:w="28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Total combinaciones</w:t>
            </w:r>
          </w:p>
        </w:tc>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108</w:t>
            </w:r>
          </w:p>
        </w:tc>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81</w:t>
            </w:r>
          </w:p>
        </w:tc>
      </w:tr>
    </w:tbl>
    <w:p>
      <w:pPr>
        <w:spacing w:after="0" w:before="160"/>
      </w:pPr>
      <w:r>
        <w:t xml:space="preserve"/>
      </w:r>
    </w:p>
    <w:p>
      <w:pPr>
        <w:spacing w:after="80" w:before="80" w:line="360"/>
        <w:jc w:val="both"/>
      </w:pPr>
      <w:r>
        <w:rPr>
          <w:rFonts w:ascii="Georgia" w:cs="Georgia" w:eastAsia="Georgia" w:hAnsi="Georgia"/>
          <w:b w:val="false"/>
          <w:bCs w:val="false"/>
          <w:i/>
          <w:iCs/>
          <w:color w:val="2B2B2B"/>
          <w:sz w:val="22"/>
          <w:szCs w:val="22"/>
        </w:rPr>
        <w:t xml:space="preserve">Nota. CV = 5 pliegues con StratifiedKFold. Métrica de optimización: F1 weighted.</w:t>
      </w:r>
    </w:p>
    <w:p>
      <w:pPr>
        <w:spacing w:after="0" w:before="120"/>
      </w:pPr>
      <w:r>
        <w:t xml:space="preserve"/>
      </w:r>
    </w:p>
    <w:p>
      <w:pPr>
        <w:pStyle w:val="Heading2"/>
        <w:spacing w:after="120" w:before="280"/>
      </w:pPr>
      <w:r>
        <w:rPr>
          <w:rFonts w:ascii="Calibri" w:cs="Calibri" w:eastAsia="Calibri" w:hAnsi="Calibri"/>
          <w:b/>
          <w:bCs/>
          <w:color w:val="2D4A6B"/>
          <w:sz w:val="26"/>
          <w:szCs w:val="26"/>
        </w:rPr>
        <w:t xml:space="preserve">3. Configuración de RandomizedSearchCV</w:t>
      </w:r>
    </w:p>
    <w:p>
      <w:pPr>
        <w:spacing w:after="80" w:before="80" w:line="360"/>
        <w:jc w:val="both"/>
      </w:pPr>
      <w:r>
        <w:rPr>
          <w:rFonts w:ascii="Georgia" w:cs="Georgia" w:eastAsia="Georgia" w:hAnsi="Georgia"/>
          <w:b w:val="false"/>
          <w:bCs w:val="false"/>
          <w:i w:val="false"/>
          <w:iCs w:val="false"/>
          <w:color w:val="2B2B2B"/>
          <w:sz w:val="22"/>
          <w:szCs w:val="22"/>
        </w:rPr>
        <w:t xml:space="preserve">Se amplió el espacio de búsqueda respecto al Grid, incorporando valores adicionales y el hiperparámetro max_features (RF) y subsample (GB), que no estaban en la grilla original:</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Hiperparámetro</w:t>
            </w:r>
          </w:p>
        </w:tc>
        <w:tc>
          <w:tcPr>
            <w:tcW w:type="dxa" w:w="32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Random Forest</w:t>
            </w:r>
          </w:p>
        </w:tc>
        <w:tc>
          <w:tcPr>
            <w:tcW w:type="dxa" w:w="32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Gradient Boosting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n_estimators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[50, 100, 150, 200, 300]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[50, 100, 150, 200, 300]</w:t>
            </w:r>
          </w:p>
        </w:tc>
      </w:tr>
      <w:tr>
        <w:tc>
          <w:tcPr>
            <w:tcW w:type="dxa" w:w="28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max_depth</w:t>
            </w:r>
          </w:p>
        </w:tc>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[5, 10, 15, 20, None]</w:t>
            </w:r>
          </w:p>
        </w:tc>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[3, 5, 7, 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min_samples_split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[2, 5, 10, 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[2, 5, 10, 15]</w:t>
            </w:r>
          </w:p>
        </w:tc>
      </w:tr>
      <w:tr>
        <w:tc>
          <w:tcPr>
            <w:tcW w:type="dxa" w:w="28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min_samples_leaf</w:t>
            </w:r>
          </w:p>
        </w:tc>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[1, 2, 4, 6]</w:t>
            </w:r>
          </w:p>
        </w:tc>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max_features / subsample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['sqrt', 'log2', None]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[0.7, 0.8, 0.9, 1.0]</w:t>
            </w:r>
          </w:p>
        </w:tc>
      </w:tr>
      <w:tr>
        <w:tc>
          <w:tcPr>
            <w:tcW w:type="dxa" w:w="28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learning_rate</w:t>
            </w:r>
          </w:p>
        </w:tc>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w:t>
            </w:r>
          </w:p>
        </w:tc>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[0.01, 0.05, 0.1, 0.15, 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Combinaciones posibles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~600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~400</w:t>
            </w:r>
          </w:p>
        </w:tc>
      </w:tr>
      <w:tr>
        <w:tc>
          <w:tcPr>
            <w:tcW w:type="dxa" w:w="28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n_iter (exploradas)</w:t>
            </w:r>
          </w:p>
        </w:tc>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30</w:t>
            </w:r>
          </w:p>
        </w:tc>
        <w:tc>
          <w:tcPr>
            <w:tcW w:type="dxa" w:w="32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30</w:t>
            </w:r>
          </w:p>
        </w:tc>
      </w:tr>
    </w:tbl>
    <w:p>
      <w:pPr>
        <w:spacing w:after="0" w:before="160"/>
      </w:pPr>
      <w:r>
        <w:t xml:space="preserve"/>
      </w:r>
    </w:p>
    <w:p>
      <w:pPr>
        <w:spacing w:after="80" w:before="80" w:line="360"/>
        <w:jc w:val="both"/>
      </w:pPr>
      <w:r>
        <w:rPr>
          <w:rFonts w:ascii="Georgia" w:cs="Georgia" w:eastAsia="Georgia" w:hAnsi="Georgia"/>
          <w:b w:val="false"/>
          <w:bCs w:val="false"/>
          <w:i/>
          <w:iCs/>
          <w:color w:val="2B2B2B"/>
          <w:sz w:val="22"/>
          <w:szCs w:val="22"/>
        </w:rPr>
        <w:t xml:space="preserve">Nota. El espacio ampliado de RandomSearch permite explorar valores como max_depth=None (sin restricción) y max_features='log2', que no fueron considerados en la grilla original.</w:t>
      </w:r>
    </w:p>
    <w:p>
      <w:pPr>
        <w:spacing w:after="0" w:before="120"/>
      </w:pPr>
      <w:r>
        <w:t xml:space="preserve"/>
      </w:r>
    </w:p>
    <w:p>
      <w:pPr>
        <w:pStyle w:val="Heading2"/>
        <w:spacing w:after="120" w:before="280"/>
      </w:pPr>
      <w:r>
        <w:rPr>
          <w:rFonts w:ascii="Calibri" w:cs="Calibri" w:eastAsia="Calibri" w:hAnsi="Calibri"/>
          <w:b/>
          <w:bCs/>
          <w:color w:val="2D4A6B"/>
          <w:sz w:val="26"/>
          <w:szCs w:val="26"/>
        </w:rPr>
        <w:t xml:space="preserve">4. Comparación de los Cuatro Modelos Optimizados</w:t>
      </w:r>
    </w:p>
    <w:p>
      <w:pPr>
        <w:spacing w:after="80" w:before="80" w:line="360"/>
        <w:jc w:val="both"/>
      </w:pPr>
      <w:r>
        <w:rPr>
          <w:rFonts w:ascii="Georgia" w:cs="Georgia" w:eastAsia="Georgia" w:hAnsi="Georgia"/>
          <w:b w:val="false"/>
          <w:bCs w:val="false"/>
          <w:i w:val="false"/>
          <w:iCs w:val="false"/>
          <w:color w:val="2B2B2B"/>
          <w:sz w:val="22"/>
          <w:szCs w:val="22"/>
        </w:rPr>
        <w:t xml:space="preserve">La comparación final entre los cuatro modelos optimizados se realizó sobre el conjunto de prueba con métricas de CV score (F1), accuracy y F1 weighted:</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600"/>
      </w:tblGrid>
      <w:tr>
        <w:trPr>
          <w:tblHeader/>
        </w:trPr>
        <w:tc>
          <w:tcPr>
            <w:tcW w:type="dxa" w:w="28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Modelo</w:t>
            </w:r>
          </w:p>
        </w:tc>
        <w:tc>
          <w:tcPr>
            <w:tcW w:type="dxa" w:w="16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CV F1</w:t>
            </w:r>
          </w:p>
        </w:tc>
        <w:tc>
          <w:tcPr>
            <w:tcW w:type="dxa" w:w="16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Test Acc.</w:t>
            </w:r>
          </w:p>
        </w:tc>
        <w:tc>
          <w:tcPr>
            <w:tcW w:type="dxa" w:w="16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Test F1</w:t>
            </w:r>
          </w:p>
        </w:tc>
        <w:tc>
          <w:tcPr>
            <w:tcW w:type="dxa" w:w="16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Δ vs 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RF — GridSearch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~0.962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~0.989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~0.989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+0.3%</w:t>
            </w:r>
          </w:p>
        </w:tc>
      </w:tr>
      <w:tr>
        <w:tc>
          <w:tcPr>
            <w:tcW w:type="dxa" w:w="28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GB — GridSearch</w:t>
            </w:r>
          </w:p>
        </w:tc>
        <w:tc>
          <w:tcPr>
            <w:tcW w:type="dxa" w:w="16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~0.968</w:t>
            </w:r>
          </w:p>
        </w:tc>
        <w:tc>
          <w:tcPr>
            <w:tcW w:type="dxa" w:w="16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~0.989</w:t>
            </w:r>
          </w:p>
        </w:tc>
        <w:tc>
          <w:tcPr>
            <w:tcW w:type="dxa" w:w="16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~0.989</w:t>
            </w:r>
          </w:p>
        </w:tc>
        <w:tc>
          <w:tcPr>
            <w:tcW w:type="dxa" w:w="16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RF — RandomSearch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~0.960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~0.989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~0.989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+0.3%</w:t>
            </w:r>
          </w:p>
        </w:tc>
      </w:tr>
      <w:tr>
        <w:tc>
          <w:tcPr>
            <w:tcW w:type="dxa" w:w="28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GB — RandomSearch</w:t>
            </w:r>
          </w:p>
        </w:tc>
        <w:tc>
          <w:tcPr>
            <w:tcW w:type="dxa" w:w="16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~0.966</w:t>
            </w:r>
          </w:p>
        </w:tc>
        <w:tc>
          <w:tcPr>
            <w:tcW w:type="dxa" w:w="16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~0.989</w:t>
            </w:r>
          </w:p>
        </w:tc>
        <w:tc>
          <w:tcPr>
            <w:tcW w:type="dxa" w:w="16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~0.989</w:t>
            </w:r>
          </w:p>
        </w:tc>
        <w:tc>
          <w:tcPr>
            <w:tcW w:type="dxa" w:w="16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+0.2%</w:t>
            </w:r>
          </w:p>
        </w:tc>
      </w:tr>
    </w:tbl>
    <w:p>
      <w:pPr>
        <w:spacing w:after="0" w:before="160"/>
      </w:pPr>
      <w:r>
        <w:t xml:space="preserve"/>
      </w:r>
    </w:p>
    <w:p>
      <w:pPr>
        <w:spacing w:after="80" w:before="80" w:line="360"/>
        <w:jc w:val="both"/>
      </w:pPr>
      <w:r>
        <w:rPr>
          <w:rFonts w:ascii="Georgia" w:cs="Georgia" w:eastAsia="Georgia" w:hAnsi="Georgia"/>
          <w:b w:val="false"/>
          <w:bCs w:val="false"/>
          <w:i/>
          <w:iCs/>
          <w:color w:val="2B2B2B"/>
          <w:sz w:val="22"/>
          <w:szCs w:val="22"/>
        </w:rPr>
        <w:t xml:space="preserve">Nota. Δ vs Base = mejora aproximada respecto al modelo sin optimización. Los valores exactos se encuentran en results/metrics/comparacion_optimizacion.csv.</w:t>
      </w:r>
    </w:p>
    <w:p>
      <w:pPr>
        <w:spacing w:after="0" w:before="120"/>
      </w:pPr>
      <w:r>
        <w:t xml:space="preserve"/>
      </w:r>
    </w:p>
    <w:p>
      <w:pPr>
        <w:pStyle w:val="Heading2"/>
        <w:spacing w:after="120" w:before="280"/>
      </w:pPr>
      <w:r>
        <w:rPr>
          <w:rFonts w:ascii="Calibri" w:cs="Calibri" w:eastAsia="Calibri" w:hAnsi="Calibri"/>
          <w:b/>
          <w:bCs/>
          <w:color w:val="2D4A6B"/>
          <w:sz w:val="26"/>
          <w:szCs w:val="26"/>
        </w:rPr>
        <w:t xml:space="preserve">5. Análisis del Impacto de la Optimización</w:t>
      </w:r>
    </w:p>
    <w:p>
      <w:pPr>
        <w:spacing w:after="80" w:before="80" w:line="360"/>
        <w:jc w:val="both"/>
      </w:pPr>
      <w:r>
        <w:rPr>
          <w:rFonts w:ascii="Georgia" w:cs="Georgia" w:eastAsia="Georgia" w:hAnsi="Georgia"/>
          <w:b w:val="false"/>
          <w:bCs w:val="false"/>
          <w:i w:val="false"/>
          <w:iCs w:val="false"/>
          <w:color w:val="2B2B2B"/>
          <w:sz w:val="22"/>
          <w:szCs w:val="22"/>
        </w:rPr>
        <w:t xml:space="preserve">La optimización produjo mejoras modestas pero consistentes en validación cruzada. Esto es esperable cuando el modelo base ya está bien configurado: las ganancias marginales tienden a reducirse una vez que los hiperparámetros principales están en un rango razonable.</w:t>
      </w:r>
    </w:p>
    <w:p>
      <w:pPr>
        <w:spacing w:after="0" w:before="80"/>
      </w:pPr>
      <w:r>
        <w:t xml:space="preserve"/>
      </w:r>
    </w:p>
    <w:p>
      <w:pPr>
        <w:spacing w:after="80" w:before="80" w:line="360"/>
        <w:jc w:val="both"/>
      </w:pPr>
      <w:r>
        <w:rPr>
          <w:rFonts w:ascii="Georgia" w:cs="Georgia" w:eastAsia="Georgia" w:hAnsi="Georgia"/>
          <w:b w:val="false"/>
          <w:bCs w:val="false"/>
          <w:i w:val="false"/>
          <w:iCs w:val="false"/>
          <w:color w:val="2B2B2B"/>
          <w:sz w:val="22"/>
          <w:szCs w:val="22"/>
        </w:rPr>
        <w:t xml:space="preserve">El hallazgo más relevante del proceso fue que RandomizedSearchCV con 30 iteraciones logró scores comparables a GridSearchCV con 108 combinaciones, empleando aproximadamente un 28% del tiempo de cómputo. Esto valida la afirmación teórica de que para este tipo de problema, la búsqueda aleatoria es una alternativa eficiente a la exhaustiva.</w:t>
      </w:r>
    </w:p>
    <w:p>
      <w:pPr>
        <w:spacing w:after="0" w:before="80"/>
      </w:pPr>
      <w:r>
        <w:t xml:space="preserve"/>
      </w:r>
    </w:p>
    <w:p>
      <w:pPr>
        <w:spacing w:after="80" w:before="80" w:line="360"/>
        <w:jc w:val="both"/>
      </w:pPr>
      <w:r>
        <w:rPr>
          <w:rFonts w:ascii="Georgia" w:cs="Georgia" w:eastAsia="Georgia" w:hAnsi="Georgia"/>
          <w:b w:val="false"/>
          <w:bCs w:val="false"/>
          <w:i w:val="false"/>
          <w:iCs w:val="false"/>
          <w:color w:val="2B2B2B"/>
          <w:sz w:val="22"/>
          <w:szCs w:val="22"/>
        </w:rPr>
        <w:t xml:space="preserve">En el módulo de regresión, la optimización mejoró el R² en aproximadamente 1-2 puntos porcentuales, con el impacto más visible en la reducción del RMSE, lo que sugiere que los parámetros base eran ligeramente suboptimales en el control de overfitting (max_depth demasiado profundo).</w:t>
      </w:r>
    </w:p>
    <w:p>
      <w:r>
        <w:br w:type="page"/>
      </w:r>
    </w:p>
    <w:p>
      <w:pPr>
        <w:pStyle w:val="Heading1"/>
        <w:pBdr>
          <w:bottom w:val="single" w:color="2D4A6B" w:sz="12" w:space="2"/>
        </w:pBdr>
        <w:spacing w:after="160" w:before="400"/>
      </w:pPr>
      <w:r>
        <w:rPr>
          <w:rFonts w:ascii="Calibri" w:cs="Calibri" w:eastAsia="Calibri" w:hAnsi="Calibri"/>
          <w:b/>
          <w:bCs/>
          <w:caps/>
          <w:color w:val="1A1A2E"/>
          <w:sz w:val="32"/>
          <w:szCs w:val="32"/>
        </w:rPr>
        <w:t xml:space="preserve">Conclusiones y Recomendaciones</w:t>
      </w:r>
    </w:p>
    <w:p>
      <w:pPr>
        <w:pStyle w:val="Heading2"/>
        <w:spacing w:after="120" w:before="280"/>
      </w:pPr>
      <w:r>
        <w:rPr>
          <w:rFonts w:ascii="Calibri" w:cs="Calibri" w:eastAsia="Calibri" w:hAnsi="Calibri"/>
          <w:b/>
          <w:bCs/>
          <w:color w:val="2D4A6B"/>
          <w:sz w:val="26"/>
          <w:szCs w:val="26"/>
        </w:rPr>
        <w:t xml:space="preserve">1. Hallazgos Principales</w:t>
      </w:r>
    </w:p>
    <w:p>
      <w:pPr>
        <w:spacing w:after="80" w:before="80" w:line="360"/>
        <w:jc w:val="both"/>
      </w:pPr>
      <w:r>
        <w:rPr>
          <w:rFonts w:ascii="Georgia" w:cs="Georgia" w:eastAsia="Georgia" w:hAnsi="Georgia"/>
          <w:b w:val="false"/>
          <w:bCs w:val="false"/>
          <w:i w:val="false"/>
          <w:iCs w:val="false"/>
          <w:color w:val="2B2B2B"/>
          <w:sz w:val="22"/>
          <w:szCs w:val="22"/>
        </w:rPr>
        <w:t xml:space="preserve">El proyecto permitió derivar tres conclusiones de relevancia tanto técnica como de negocio:</w:t>
      </w:r>
    </w:p>
    <w:p>
      <w:pPr>
        <w:spacing w:after="0" w:before="80"/>
      </w:pPr>
      <w:r>
        <w:t xml:space="preserve"/>
      </w:r>
    </w:p>
    <w:p>
      <w:pPr>
        <w:spacing w:after="80" w:before="80" w:line="360"/>
        <w:jc w:val="both"/>
      </w:pPr>
      <w:r>
        <w:rPr>
          <w:rFonts w:ascii="Georgia" w:cs="Georgia" w:eastAsia="Georgia" w:hAnsi="Georgia"/>
          <w:b/>
          <w:bCs/>
          <w:color w:val="2B2B2B"/>
          <w:sz w:val="22"/>
          <w:szCs w:val="22"/>
        </w:rPr>
        <w:t xml:space="preserve">El mercado LLM tiene estructura cluster natural. </w:t>
      </w:r>
      <w:r>
        <w:rPr>
          <w:rFonts w:ascii="Georgia" w:cs="Georgia" w:eastAsia="Georgia" w:hAnsi="Georgia"/>
          <w:color w:val="2B2B2B"/>
          <w:sz w:val="22"/>
          <w:szCs w:val="22"/>
        </w:rPr>
        <w:t xml:space="preserve">El K-Means identificó dos arquetipos técnicos bien diferenciados: un cluster de modelos económicos/gratuitos (87.5% del mercado) y un cluster de modelos premium de alto rendimiento (12.5%). Esta segmentación no fue impuesta por el analista, sino descubierta a partir de los datos.</w:t>
      </w:r>
    </w:p>
    <w:p>
      <w:pPr>
        <w:spacing w:after="0" w:before="80"/>
      </w:pPr>
      <w:r>
        <w:t xml:space="preserve"/>
      </w:r>
    </w:p>
    <w:p>
      <w:pPr>
        <w:spacing w:after="80" w:before="80" w:line="360"/>
        <w:jc w:val="both"/>
      </w:pPr>
      <w:r>
        <w:rPr>
          <w:rFonts w:ascii="Georgia" w:cs="Georgia" w:eastAsia="Georgia" w:hAnsi="Georgia"/>
          <w:b/>
          <w:bCs/>
          <w:color w:val="2B2B2B"/>
          <w:sz w:val="22"/>
          <w:szCs w:val="22"/>
        </w:rPr>
        <w:t xml:space="preserve">La clasificación de pricing_tier es un problema altamente estructurado. </w:t>
      </w:r>
      <w:r>
        <w:rPr>
          <w:rFonts w:ascii="Georgia" w:cs="Georgia" w:eastAsia="Georgia" w:hAnsi="Georgia"/>
          <w:color w:val="2B2B2B"/>
          <w:sz w:val="22"/>
          <w:szCs w:val="22"/>
        </w:rPr>
        <w:t xml:space="preserve">El accuracy de 98.9% con un único error en todo el conjunto de prueba indica que existe una correspondencia casi perfecta entre el perfil técnico de un modelo y su categoría de precio. Esto sugiere que los proveedores fijan precios en función de parámetros objetivos y no arbitrarios.</w:t>
      </w:r>
    </w:p>
    <w:p>
      <w:pPr>
        <w:spacing w:after="0" w:before="80"/>
      </w:pPr>
      <w:r>
        <w:t xml:space="preserve"/>
      </w:r>
    </w:p>
    <w:p>
      <w:pPr>
        <w:spacing w:after="80" w:before="80" w:line="360"/>
        <w:jc w:val="both"/>
      </w:pPr>
      <w:r>
        <w:rPr>
          <w:rFonts w:ascii="Georgia" w:cs="Georgia" w:eastAsia="Georgia" w:hAnsi="Georgia"/>
          <w:b/>
          <w:bCs/>
          <w:color w:val="2B2B2B"/>
          <w:sz w:val="22"/>
          <w:szCs w:val="22"/>
        </w:rPr>
        <w:t xml:space="preserve">El precio no es proporcional a la inteligencia. </w:t>
      </w:r>
      <w:r>
        <w:rPr>
          <w:rFonts w:ascii="Georgia" w:cs="Georgia" w:eastAsia="Georgia" w:hAnsi="Georgia"/>
          <w:color w:val="2B2B2B"/>
          <w:sz w:val="22"/>
          <w:szCs w:val="22"/>
        </w:rPr>
        <w:t xml:space="preserve">El análisis de equidad de precios del Notebook 10 reveló que la variable dominante en la predicción del precio es la velocidad operacional (tokens por segundo), no el índice de inteligencia abstracta. Esto implica que un modelo con alta capacidad cognitiva pero baja velocidad de respuesta puede estar siendo subvalorado en el mercado actual.</w:t>
      </w:r>
    </w:p>
    <w:p>
      <w:pPr>
        <w:spacing w:after="0" w:before="120"/>
      </w:pPr>
      <w:r>
        <w:t xml:space="preserve"/>
      </w:r>
    </w:p>
    <w:p>
      <w:pPr>
        <w:pStyle w:val="Heading2"/>
        <w:spacing w:after="120" w:before="280"/>
      </w:pPr>
      <w:r>
        <w:rPr>
          <w:rFonts w:ascii="Calibri" w:cs="Calibri" w:eastAsia="Calibri" w:hAnsi="Calibri"/>
          <w:b/>
          <w:bCs/>
          <w:color w:val="2D4A6B"/>
          <w:sz w:val="26"/>
          <w:szCs w:val="26"/>
        </w:rPr>
        <w:t xml:space="preserve">2. Dificultades Encontradas</w:t>
      </w:r>
    </w:p>
    <w:p>
      <w:pPr>
        <w:spacing w:after="80" w:before="80" w:line="360"/>
        <w:jc w:val="both"/>
      </w:pPr>
      <w:r>
        <w:rPr>
          <w:rFonts w:ascii="Georgia" w:cs="Georgia" w:eastAsia="Georgia" w:hAnsi="Georgia"/>
          <w:b w:val="false"/>
          <w:bCs w:val="false"/>
          <w:i w:val="false"/>
          <w:iCs w:val="false"/>
          <w:color w:val="2B2B2B"/>
          <w:sz w:val="22"/>
          <w:szCs w:val="22"/>
        </w:rPr>
        <w:t xml:space="preserve">Durante el desarrollo del proyecto se identificaron tres dificultades principales:</w:t>
      </w:r>
    </w:p>
    <w:p>
      <w:pPr>
        <w:spacing w:after="0" w:before="80"/>
      </w:pPr>
      <w:r>
        <w:t xml:space="preserve"/>
      </w:r>
    </w:p>
    <w:p>
      <w:pPr>
        <w:pStyle w:val="ListParagraph"/>
        <w:numPr>
          <w:ilvl w:val="0"/>
          <w:numId w:val="2"/>
        </w:numPr>
        <w:spacing w:after="60" w:before="60" w:line="340"/>
      </w:pPr>
      <w:r>
        <w:rPr>
          <w:rFonts w:ascii="Georgia" w:cs="Georgia" w:eastAsia="Georgia" w:hAnsi="Georgia"/>
          <w:color w:val="2B2B2B"/>
          <w:sz w:val="22"/>
          <w:szCs w:val="22"/>
        </w:rPr>
        <w:t xml:space="preserve">Manejo de la etiqueta Unknown: la decisión de reasignar mediante clustering en lugar de eliminar los registros implicó un riesgo de sesgo. Se mitigó documentando la tabla cruzada entre etiquetas oficiales y reasignadas, que mostró concordancia superior al 95%.</w:t>
      </w:r>
    </w:p>
    <w:p>
      <w:pPr>
        <w:pStyle w:val="ListParagraph"/>
        <w:numPr>
          <w:ilvl w:val="0"/>
          <w:numId w:val="2"/>
        </w:numPr>
        <w:spacing w:after="60" w:before="60" w:line="340"/>
      </w:pPr>
      <w:r>
        <w:rPr>
          <w:rFonts w:ascii="Georgia" w:cs="Georgia" w:eastAsia="Georgia" w:hAnsi="Georgia"/>
          <w:color w:val="2B2B2B"/>
          <w:sz w:val="22"/>
          <w:szCs w:val="22"/>
        </w:rPr>
        <w:t xml:space="preserve">Alta multicolinealidad entre índices: las correlaciones elevadas entre variables de rendimiento generaron cierta redundancia informacional. Fue mitigada usando modelos basados en árboles, que son inherentemente robustos a este problema.</w:t>
      </w:r>
    </w:p>
    <w:p>
      <w:pPr>
        <w:pStyle w:val="ListParagraph"/>
        <w:numPr>
          <w:ilvl w:val="0"/>
          <w:numId w:val="2"/>
        </w:numPr>
        <w:spacing w:after="60" w:before="60" w:line="340"/>
      </w:pPr>
      <w:r>
        <w:rPr>
          <w:rFonts w:ascii="Georgia" w:cs="Georgia" w:eastAsia="Georgia" w:hAnsi="Georgia"/>
          <w:color w:val="2B2B2B"/>
          <w:sz w:val="22"/>
          <w:szCs w:val="22"/>
        </w:rPr>
        <w:t xml:space="preserve">Código duplicado entre notebooks: el preprocesamiento se repite en varios notebooks en lugar de importarse desde src/data_preprocessing.py. Esto fue una decisión deliberada para facilitar la ejecución independiente de cada notebook, pero introduce riesgo de inconsistencia si se modifica el pipeline.</w:t>
      </w:r>
    </w:p>
    <w:p>
      <w:pPr>
        <w:spacing w:after="0" w:before="120"/>
      </w:pPr>
      <w:r>
        <w:t xml:space="preserve"/>
      </w:r>
    </w:p>
    <w:p>
      <w:pPr>
        <w:pStyle w:val="Heading2"/>
        <w:spacing w:after="120" w:before="280"/>
      </w:pPr>
      <w:r>
        <w:rPr>
          <w:rFonts w:ascii="Calibri" w:cs="Calibri" w:eastAsia="Calibri" w:hAnsi="Calibri"/>
          <w:b/>
          <w:bCs/>
          <w:color w:val="2D4A6B"/>
          <w:sz w:val="26"/>
          <w:szCs w:val="26"/>
        </w:rPr>
        <w:t xml:space="preserve">3. Recomendaciones para Trabajo Futuro</w:t>
      </w:r>
    </w:p>
    <w:p>
      <w:pPr>
        <w:pStyle w:val="ListParagraph"/>
        <w:numPr>
          <w:ilvl w:val="0"/>
          <w:numId w:val="2"/>
        </w:numPr>
        <w:spacing w:after="60" w:before="60" w:line="340"/>
      </w:pPr>
      <w:r>
        <w:rPr>
          <w:rFonts w:ascii="Georgia" w:cs="Georgia" w:eastAsia="Georgia" w:hAnsi="Georgia"/>
          <w:color w:val="2B2B2B"/>
          <w:sz w:val="22"/>
          <w:szCs w:val="22"/>
        </w:rPr>
        <w:t xml:space="preserve">Incorporar modelos de gradient boosting modernos como XGBoost o LightGBM, que suelen superar a sklearn GradientBoosting en datasets de tamaño similar.</w:t>
      </w:r>
    </w:p>
    <w:p>
      <w:pPr>
        <w:pStyle w:val="ListParagraph"/>
        <w:numPr>
          <w:ilvl w:val="0"/>
          <w:numId w:val="2"/>
        </w:numPr>
        <w:spacing w:after="60" w:before="60" w:line="340"/>
      </w:pPr>
      <w:r>
        <w:rPr>
          <w:rFonts w:ascii="Georgia" w:cs="Georgia" w:eastAsia="Georgia" w:hAnsi="Georgia"/>
          <w:color w:val="2B2B2B"/>
          <w:sz w:val="22"/>
          <w:szCs w:val="22"/>
        </w:rPr>
        <w:t xml:space="preserve">Explorar técnicas de reducción de dimensionalidad (PCA o UMAP) como preprocesamiento para el módulo de regresión, dado el alto grado de correlación entre features.</w:t>
      </w:r>
    </w:p>
    <w:p>
      <w:pPr>
        <w:pStyle w:val="ListParagraph"/>
        <w:numPr>
          <w:ilvl w:val="0"/>
          <w:numId w:val="2"/>
        </w:numPr>
        <w:spacing w:after="60" w:before="60" w:line="340"/>
      </w:pPr>
      <w:r>
        <w:rPr>
          <w:rFonts w:ascii="Georgia" w:cs="Georgia" w:eastAsia="Georgia" w:hAnsi="Georgia"/>
          <w:color w:val="2B2B2B"/>
          <w:sz w:val="22"/>
          <w:szCs w:val="22"/>
        </w:rPr>
        <w:t xml:space="preserve">Refactorizar los notebooks para que importen las funciones de preprocesamiento desde el módulo src/ en lugar de duplicar el código.</w:t>
      </w:r>
    </w:p>
    <w:p>
      <w:pPr>
        <w:pStyle w:val="ListParagraph"/>
        <w:numPr>
          <w:ilvl w:val="0"/>
          <w:numId w:val="2"/>
        </w:numPr>
        <w:spacing w:after="60" w:before="60" w:line="340"/>
      </w:pPr>
      <w:r>
        <w:rPr>
          <w:rFonts w:ascii="Georgia" w:cs="Georgia" w:eastAsia="Georgia" w:hAnsi="Georgia"/>
          <w:color w:val="2B2B2B"/>
          <w:sz w:val="22"/>
          <w:szCs w:val="22"/>
        </w:rPr>
        <w:t xml:space="preserve">Implementar un dashboard de monitoreo que permita actualizar el modelo cuando se incorporen nuevos modelos LLM al mercado, dado que el campo evoluciona rápidamente.</w:t>
      </w:r>
    </w:p>
    <w:p>
      <w:pPr>
        <w:pStyle w:val="ListParagraph"/>
        <w:numPr>
          <w:ilvl w:val="0"/>
          <w:numId w:val="2"/>
        </w:numPr>
        <w:spacing w:after="60" w:before="60" w:line="340"/>
      </w:pPr>
      <w:r>
        <w:rPr>
          <w:rFonts w:ascii="Georgia" w:cs="Georgia" w:eastAsia="Georgia" w:hAnsi="Georgia"/>
          <w:color w:val="2B2B2B"/>
          <w:sz w:val="22"/>
          <w:szCs w:val="22"/>
        </w:rPr>
        <w:t xml:space="preserve">Extender el análisis de equidad de precios a nivel de proveedor para identificar si algún actor del mercado cobra de forma sistemáticamente diferente al resto con igual perfil técnico.</w:t>
      </w:r>
    </w:p>
    <w:p>
      <w:r>
        <w:br w:type="page"/>
      </w:r>
    </w:p>
    <w:p>
      <w:pPr>
        <w:pStyle w:val="Heading1"/>
        <w:pBdr>
          <w:bottom w:val="single" w:color="2D4A6B" w:sz="12" w:space="2"/>
        </w:pBdr>
        <w:spacing w:after="160" w:before="400"/>
      </w:pPr>
      <w:r>
        <w:rPr>
          <w:rFonts w:ascii="Calibri" w:cs="Calibri" w:eastAsia="Calibri" w:hAnsi="Calibri"/>
          <w:b/>
          <w:bCs/>
          <w:caps/>
          <w:color w:val="1A1A2E"/>
          <w:sz w:val="32"/>
          <w:szCs w:val="32"/>
        </w:rPr>
        <w:t xml:space="preserve">Referencias</w:t>
      </w:r>
    </w:p>
    <w:p>
      <w:pPr>
        <w:spacing w:after="80" w:before="80" w:line="360"/>
        <w:jc w:val="both"/>
      </w:pPr>
      <w:r>
        <w:rPr>
          <w:rFonts w:ascii="Georgia" w:cs="Georgia" w:eastAsia="Georgia" w:hAnsi="Georgia"/>
          <w:b w:val="false"/>
          <w:bCs w:val="false"/>
          <w:i/>
          <w:iCs/>
          <w:color w:val="2B2B2B"/>
          <w:sz w:val="22"/>
          <w:szCs w:val="22"/>
        </w:rPr>
        <w:t xml:space="preserve">Las referencias bibliográficas se omiten en esta versión del informe por indicación del equipo. El código y los notebooks incluyen comentarios en línea que identifican las fuentes conceptuales de las técnicas implementadas.</w:t>
      </w:r>
    </w:p>
    <w:p>
      <w:r>
        <w:br w:type="page"/>
      </w:r>
    </w:p>
    <w:p>
      <w:pPr>
        <w:pStyle w:val="Heading1"/>
        <w:pBdr>
          <w:bottom w:val="single" w:color="2D4A6B" w:sz="12" w:space="2"/>
        </w:pBdr>
        <w:spacing w:after="160" w:before="400"/>
      </w:pPr>
      <w:r>
        <w:rPr>
          <w:rFonts w:ascii="Calibri" w:cs="Calibri" w:eastAsia="Calibri" w:hAnsi="Calibri"/>
          <w:b/>
          <w:bCs/>
          <w:caps/>
          <w:color w:val="1A1A2E"/>
          <w:sz w:val="32"/>
          <w:szCs w:val="32"/>
        </w:rPr>
        <w:t xml:space="preserve">Anexo — Estructura del Proyecto</w:t>
      </w:r>
    </w:p>
    <w:p>
      <w:pPr>
        <w:spacing w:after="80" w:before="80" w:line="360"/>
        <w:jc w:val="both"/>
      </w:pPr>
      <w:r>
        <w:rPr>
          <w:rFonts w:ascii="Georgia" w:cs="Georgia" w:eastAsia="Georgia" w:hAnsi="Georgia"/>
          <w:b w:val="false"/>
          <w:bCs w:val="false"/>
          <w:i w:val="false"/>
          <w:iCs w:val="false"/>
          <w:color w:val="2B2B2B"/>
          <w:sz w:val="22"/>
          <w:szCs w:val="22"/>
        </w:rPr>
        <w:t xml:space="preserve">El entregable se organiza bajo la carpeta raíz EV_PARCIAL_2_ML_PRICING/ con la siguiente estructura:</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rPr>
          <w:tblHeader/>
        </w:trPr>
        <w:tc>
          <w:tcPr>
            <w:tcW w:type="dxa" w:w="38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Ruta</w:t>
            </w:r>
          </w:p>
        </w:tc>
        <w:tc>
          <w:tcPr>
            <w:tcW w:type="dxa" w:w="5400"/>
            <w:tcBorders>
              <w:top w:val="single" w:color="CCCCCC" w:sz="1"/>
              <w:left w:val="single" w:color="CCCCCC" w:sz="1"/>
              <w:bottom w:val="single" w:color="CCCCCC" w:sz="1"/>
              <w:right w:val="single" w:color="CCCCCC" w:sz="1"/>
            </w:tcBorders>
            <w:shd w:fill="2D4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Contenido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notebooks/01–05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Pipeline principal (EDA, clustering, clasificación, optimización, análisis final)</w:t>
            </w:r>
          </w:p>
        </w:tc>
      </w:tr>
      <w:tr>
        <w:tc>
          <w:tcPr>
            <w:tcW w:type="dxa" w:w="38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notebooks/06–10</w:t>
            </w:r>
          </w:p>
        </w:tc>
        <w:tc>
          <w:tcPr>
            <w:tcW w:type="dxa" w:w="54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Pipeline de regresión y análisis de equidad de precios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src/data_preprocessing.py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Funciones de limpieza y feature engineering</w:t>
            </w:r>
          </w:p>
        </w:tc>
      </w:tr>
      <w:tr>
        <w:tc>
          <w:tcPr>
            <w:tcW w:type="dxa" w:w="38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src/model_training.py</w:t>
            </w:r>
          </w:p>
        </w:tc>
        <w:tc>
          <w:tcPr>
            <w:tcW w:type="dxa" w:w="54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Definición y entrenamiento de modelos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src/model_evaluation.py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Métricas, validación cruzada y diagnóstico de overfitting</w:t>
            </w:r>
          </w:p>
        </w:tc>
      </w:tr>
      <w:tr>
        <w:tc>
          <w:tcPr>
            <w:tcW w:type="dxa" w:w="38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src/hyperparameter_tuning.py</w:t>
            </w:r>
          </w:p>
        </w:tc>
        <w:tc>
          <w:tcPr>
            <w:tcW w:type="dxa" w:w="54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GridSearchCV, RandomizedSearchCV y comparación de 4 modelos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models/trained_models/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4 modelos de clasificación + 2 de regresión serializados (.pkl)</w:t>
            </w:r>
          </w:p>
        </w:tc>
      </w:tr>
      <w:tr>
        <w:tc>
          <w:tcPr>
            <w:tcW w:type="dxa" w:w="38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results/plots/</w:t>
            </w:r>
          </w:p>
        </w:tc>
        <w:tc>
          <w:tcPr>
            <w:tcW w:type="dxa" w:w="54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18+ visualizaciones generadas automáticamente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color w:val="2B2B2B"/>
                <w:sz w:val="20"/>
                <w:szCs w:val="20"/>
              </w:rPr>
              <w:t xml:space="preserve">results/metrics/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comparacion_optimizacion.csv y métricas exportadas</w:t>
            </w:r>
          </w:p>
        </w:tc>
      </w:tr>
      <w:tr>
        <w:tc>
          <w:tcPr>
            <w:tcW w:type="dxa" w:w="38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left"/>
            </w:pPr>
            <w:r>
              <w:rPr>
                <w:rFonts w:ascii="Georgia" w:cs="Georgia" w:eastAsia="Georgia" w:hAnsi="Georgia"/>
                <w:color w:val="2B2B2B"/>
                <w:sz w:val="20"/>
                <w:szCs w:val="20"/>
              </w:rPr>
              <w:t xml:space="preserve">README.md</w:t>
            </w:r>
          </w:p>
        </w:tc>
        <w:tc>
          <w:tcPr>
            <w:tcW w:type="dxa" w:w="5400"/>
            <w:tcBorders>
              <w:top w:val="single" w:color="CCCCCC" w:sz="1"/>
              <w:left w:val="single" w:color="CCCCCC" w:sz="1"/>
              <w:bottom w:val="single" w:color="CCCCCC" w:sz="1"/>
              <w:right w:val="single" w:color="CCCCCC" w:sz="1"/>
            </w:tcBorders>
            <w:shd w:fill="F4F1EC" w:val="clear"/>
            <w:tcMar>
              <w:top w:type="dxa" w:w="80"/>
              <w:left w:type="dxa" w:w="140"/>
              <w:bottom w:type="dxa" w:w="80"/>
              <w:right w:type="dxa" w:w="140"/>
            </w:tcMar>
          </w:tcPr>
          <w:p>
            <w:pPr>
              <w:jc w:val="center"/>
            </w:pPr>
            <w:r>
              <w:rPr>
                <w:rFonts w:ascii="Georgia" w:cs="Georgia" w:eastAsia="Georgia" w:hAnsi="Georgia"/>
                <w:color w:val="2B2B2B"/>
                <w:sz w:val="20"/>
                <w:szCs w:val="20"/>
              </w:rPr>
              <w:t xml:space="preserve">Guía de instalación, dependencias y ejecución del proyecto</w:t>
            </w:r>
          </w:p>
        </w:tc>
      </w:tr>
    </w:tbl>
    <w:p>
      <w:pPr>
        <w:spacing w:after="0" w:before="200"/>
      </w:pPr>
      <w:r>
        <w:t xml:space="preserve"/>
      </w:r>
    </w:p>
    <w:p>
      <w:pPr>
        <w:spacing w:after="80" w:before="80" w:line="360"/>
        <w:jc w:val="both"/>
      </w:pPr>
      <w:r>
        <w:rPr>
          <w:rFonts w:ascii="Georgia" w:cs="Georgia" w:eastAsia="Georgia" w:hAnsi="Georgia"/>
          <w:b w:val="false"/>
          <w:bCs w:val="false"/>
          <w:i/>
          <w:iCs/>
          <w:color w:val="2B2B2B"/>
          <w:sz w:val="22"/>
          <w:szCs w:val="22"/>
        </w:rPr>
        <w:t xml:space="preserve">Nota. Todos los notebooks son ejecutables de forma independiente. El dataset original se ubica en datos/llm_price_performance_tracker_2026-03-31.csv.</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C" w:sz="6" w:space="2"/>
      </w:pBdr>
      <w:spacing w:after="0" w:before="80"/>
      <w:jc w:val="center"/>
    </w:pPr>
    <w:r>
      <w:rPr>
        <w:rFonts w:ascii="Calibri" w:cs="Calibri" w:eastAsia="Calibri" w:hAnsi="Calibri"/>
        <w:color w:val="999999"/>
        <w:sz w:val="18"/>
        <w:szCs w:val="18"/>
      </w:rPr>
      <w:t xml:space="preserve">Duoc UC — Evaluación Parcial N°2     |     Página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4A6B" w:sz="6" w:space="2"/>
      </w:pBdr>
      <w:tabs>
        <w:tab w:val="right" w:pos="9026"/>
      </w:tabs>
      <w:spacing w:after="120" w:before="0"/>
    </w:pPr>
    <w:r>
      <w:rPr>
        <w:rFonts w:ascii="Calibri" w:cs="Calibri" w:eastAsia="Calibri" w:hAnsi="Calibri"/>
        <w:i/>
        <w:iCs/>
        <w:color w:val="2D4A6B"/>
        <w:sz w:val="18"/>
        <w:szCs w:val="18"/>
      </w:rPr>
      <w:t xml:space="preserve">Predicción de Pricing Tiers en Modelos LLM</w:t>
    </w:r>
    <w:r>
      <w:rPr>
        <w:rFonts w:ascii="Calibri" w:cs="Calibri" w:eastAsia="Calibri" w:hAnsi="Calibri"/>
        <w:sz w:val="18"/>
        <w:szCs w:val="18"/>
      </w:rPr>
      <w:t xml:space="preserve">	</w:t>
    </w:r>
    <w:r>
      <w:rPr>
        <w:rFonts w:ascii="Calibri" w:cs="Calibri" w:eastAsia="Calibri" w:hAnsi="Calibri"/>
        <w:color w:val="2D4A6B"/>
        <w:sz w:val="18"/>
        <w:szCs w:val="18"/>
      </w:rPr>
      <w:t xml:space="preserve">SCY1101 — Amundarain &amp; Villalobos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aps/>
      <w:color w:val="1A1A2E"/>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D4A6B"/>
      <w:sz w:val="26"/>
      <w:szCs w:val="26"/>
    </w:rPr>
  </w:style>
  <w:style w:type="paragraph" w:styleId="Heading3">
    <w:name w:val="Heading 3"/>
    <w:basedOn w:val="Normal"/>
    <w:next w:val="Normal"/>
    <w:qFormat/>
    <w:pPr>
      <w:spacing w:after="80" w:before="200"/>
      <w:outlineLvl w:val="2"/>
    </w:pPr>
    <w:rPr>
      <w:rFonts w:ascii="Calibri" w:cs="Calibri" w:eastAsia="Calibri" w:hAnsi="Calibri"/>
      <w:b/>
      <w:bCs/>
      <w:i/>
      <w:iCs/>
      <w:color w:val="4A67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2026-05-26T23:18:22.576Z</dcterms:created>
  <dcterms:modified xsi:type="dcterms:W3CDTF">2026-05-26T23:18:22.576Z</dcterms:modified>
</cp:coreProperties>
</file>

<file path=docProps/custom.xml><?xml version="1.0" encoding="utf-8"?>
<Properties xmlns="http://schemas.openxmlformats.org/officeDocument/2006/custom-properties" xmlns:vt="http://schemas.openxmlformats.org/officeDocument/2006/docPropsVTypes"/>
</file>