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2240"/>
      </w:tblGrid>
      <w:tr>
        <w:tc>
          <w:tcPr>
            <w:tcW w:type="dxa" w:w="12240"/>
            <w:shd w:fill="10243E" w:val="clear"/>
            <w:tcMar>
              <w:top w:type="dxa" w:w="900"/>
              <w:left w:type="dxa" w:w="1440"/>
              <w:bottom w:type="dxa" w:w="900"/>
              <w:right w:type="dxa" w:w="1440"/>
            </w:tcMar>
          </w:tcPr>
          <w:p>
            <w:pPr>
              <w:spacing w:after="60"/>
            </w:pPr>
            <w:r>
              <w:rPr>
                <w:b/>
                <w:bCs/>
                <w:color w:val="9FB8CC"/>
                <w:sz w:val="18"/>
                <w:szCs w:val="18"/>
              </w:rPr>
              <w:t xml:space="preserve">PROYECTO ACADÉMICO  ·  SCY1101</w:t>
            </w:r>
          </w:p>
          <w:p>
            <w:pPr>
              <w:spacing w:after="360"/>
            </w:pPr>
            <w:r>
              <w:rPr>
                <w:color w:val="10243E"/>
                <w:sz w:val="4"/>
                <w:szCs w:val="4"/>
              </w:rPr>
              <w:t xml:space="preserve">·</w:t>
            </w:r>
          </w:p>
        </w:tc>
      </w:tr>
    </w:tbl>
    <w:tbl>
      <w:tblPr>
        <w:tblW w:type="dxa" w:w="122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2240"/>
      </w:tblGrid>
      <w:tr>
        <w:tc>
          <w:tcPr>
            <w:tcW w:type="dxa" w:w="12240"/>
            <w:shd w:fill="10243E" w:val="clear"/>
            <w:tcMar>
              <w:top w:type="dxa" w:w="0"/>
              <w:left w:type="dxa" w:w="1440"/>
              <w:bottom w:type="dxa" w:w="1100"/>
              <w:right w:type="dxa" w:w="1440"/>
            </w:tcMar>
          </w:tcPr>
          <w:p>
            <w:pPr>
              <w:spacing w:after="18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Manual de Usuario</w:t>
            </w:r>
          </w:p>
          <w:p>
            <w:pPr>
              <w:spacing w:after="60"/>
            </w:pPr>
            <w:r>
              <w:rPr>
                <w:b/>
                <w:bCs/>
                <w:color w:val="B8862B"/>
                <w:sz w:val="36"/>
                <w:szCs w:val="36"/>
              </w:rPr>
              <w:t xml:space="preserve">LLM Price Performance</w:t>
            </w:r>
          </w:p>
          <w:p>
            <w:pPr>
              <w:spacing w:after="0"/>
            </w:pPr>
            <w:r>
              <w:rPr>
                <w:i/>
                <w:iCs/>
                <w:color w:val="C9D9E5"/>
                <w:sz w:val="20"/>
                <w:szCs w:val="20"/>
              </w:rPr>
              <w:t xml:space="preserve">Solución end-to-end de análisis de precios y rendimiento de modelos de lenguaje</w:t>
            </w:r>
          </w:p>
        </w:tc>
      </w:tr>
    </w:tbl>
    <w:p>
      <w:pPr>
        <w:spacing w:after="900"/>
      </w:pPr>
    </w:p>
    <w:tbl>
      <w:tblPr>
        <w:tblW w:type="dxa" w:w="9360"/>
        <w:jc w:val="center"/>
        <w:tblBorders>
          <w:top w:val="none"/>
          <w:left w:val="none"/>
          <w:bottom w:val="none"/>
          <w:right w:val="none"/>
          <w:insideH w:val="none"/>
          <w:insideV w:val="single" w:color="C9D2D9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left w:type="dxa" w:w="144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B8862B"/>
                <w:sz w:val="16"/>
                <w:szCs w:val="16"/>
              </w:rPr>
              <w:t xml:space="preserve">ASIGNATURA</w:t>
            </w:r>
          </w:p>
          <w:p>
            <w:r>
              <w:rPr>
                <w:b/>
                <w:bCs/>
                <w:color w:val="10243E"/>
                <w:sz w:val="22"/>
                <w:szCs w:val="22"/>
              </w:rPr>
              <w:t xml:space="preserve">SCY1101</w:t>
            </w:r>
          </w:p>
          <w:p>
            <w:r>
              <w:rPr>
                <w:color w:val="4A4A4A"/>
                <w:sz w:val="17"/>
                <w:szCs w:val="17"/>
              </w:rPr>
              <w:t xml:space="preserve">Programación para la Ciencia de Datos</w:t>
            </w:r>
          </w:p>
        </w:tc>
        <w:tc>
          <w:tcPr>
            <w:tcW w:type="dxa" w:w="3120"/>
            <w:tcMar>
              <w:left w:type="dxa" w:w="12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B8862B"/>
                <w:sz w:val="16"/>
                <w:szCs w:val="16"/>
              </w:rPr>
              <w:t xml:space="preserve">EVALUACIÓN</w:t>
            </w:r>
          </w:p>
          <w:p>
            <w:r>
              <w:rPr>
                <w:b/>
                <w:bCs/>
                <w:color w:val="10243E"/>
                <w:sz w:val="22"/>
                <w:szCs w:val="22"/>
              </w:rPr>
              <w:t xml:space="preserve">Parcial N°3</w:t>
            </w:r>
          </w:p>
          <w:p>
            <w:r>
              <w:rPr>
                <w:color w:val="4A4A4A"/>
                <w:sz w:val="17"/>
                <w:szCs w:val="17"/>
              </w:rPr>
              <w:t xml:space="preserve">Encargo con Presentación · 40%</w:t>
            </w:r>
          </w:p>
        </w:tc>
        <w:tc>
          <w:tcPr>
            <w:tcW w:type="dxa" w:w="3120"/>
            <w:tcMar>
              <w:left w:type="dxa" w:w="120"/>
              <w:right w:type="dxa" w:w="1440"/>
            </w:tcMar>
          </w:tcPr>
          <w:p>
            <w:pPr>
              <w:spacing w:after="40"/>
            </w:pPr>
            <w:r>
              <w:rPr>
                <w:b/>
                <w:bCs/>
                <w:color w:val="B8862B"/>
                <w:sz w:val="16"/>
                <w:szCs w:val="16"/>
              </w:rPr>
              <w:t xml:space="preserve">FECHA</w:t>
            </w:r>
          </w:p>
          <w:p>
            <w:r>
              <w:rPr>
                <w:b/>
                <w:bCs/>
                <w:color w:val="10243E"/>
                <w:sz w:val="22"/>
                <w:szCs w:val="22"/>
              </w:rPr>
              <w:t xml:space="preserve">Junio 2026</w:t>
            </w:r>
          </w:p>
          <w:p>
            <w:r>
              <w:rPr>
                <w:color w:val="4A4A4A"/>
                <w:sz w:val="17"/>
                <w:szCs w:val="17"/>
              </w:rPr>
              <w:t xml:space="preserve">Duoc UC</w:t>
            </w:r>
          </w:p>
        </w:tc>
      </w:tr>
    </w:tbl>
    <w:p>
      <w:pPr>
        <w:spacing w:after="700"/>
      </w:pPr>
    </w:p>
    <w:p>
      <w:pPr>
        <w:spacing w:after="100"/>
        <w:jc w:val="center"/>
      </w:pPr>
      <w:r>
        <w:rPr>
          <w:b/>
          <w:bCs/>
          <w:color w:val="B8862B"/>
          <w:sz w:val="17"/>
          <w:szCs w:val="17"/>
        </w:rPr>
        <w:t xml:space="preserve">AUTORES</w:t>
      </w:r>
    </w:p>
    <w:p>
      <w:pPr>
        <w:spacing w:after="0"/>
        <w:jc w:val="center"/>
      </w:pPr>
      <w:r>
        <w:rPr>
          <w:b/>
          <w:bCs/>
          <w:color w:val="10243E"/>
          <w:sz w:val="26"/>
          <w:szCs w:val="26"/>
        </w:rPr>
        <w:t xml:space="preserve">Leonardo Amundarain  ·  Felipe Villalobos</w:t>
      </w:r>
    </w:p>
    <w:p>
      <w:pPr>
        <w:sectPr>
          <w:pgSz w:w="12240" w:h="1584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240" w:before="0"/>
      </w:pPr>
      <w:r>
        <w:rPr>
          <w:b/>
          <w:bCs/>
          <w:color w:val="10243E"/>
          <w:sz w:val="30"/>
          <w:szCs w:val="30"/>
        </w:rPr>
        <w:t xml:space="preserve">Tabla de Contenidos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1</w:t>
      </w:r>
      <w:r>
        <w:rPr>
          <w:b/>
          <w:bCs/>
          <w:color w:val="10243E"/>
          <w:sz w:val="30"/>
          <w:szCs w:val="30"/>
        </w:rPr>
        <w:t xml:space="preserve">   Introducción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LLM Price Performance es una solución de análisis de datos end-to-end orientada a responder una pregunta de negocio concreta: ¿es posible predecir el nivel de precio (pricing tier) de un modelo de lenguaje a partir de sus capacidades técnicas, y qué variables determinan si un modelo ofrece un valor excepcional o está sobrevalorado?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Para responderla, el sistema integra tres fuentes de datos distintas, las procesa mediante un pipeline ETL automatizado, las almacena en una base de datos NoSQL en la nube, las expone a través de una API REST documentada y las presenta en un dashboard interactivo con seis vistas orientadas a distintas audiencias. Todo el sistema está containerizado con Docker para garantizar su reproducibilidad en cualquier entorno.</w:t>
      </w:r>
    </w:p>
    <w:p>
      <w:pPr>
        <w:spacing w:after="60"/>
      </w:pP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EF2F5" w:val="clear"/>
            <w:tcMar>
              <w:top w:type="dxa" w:w="180"/>
              <w:left w:type="dxa" w:w="100"/>
              <w:bottom w:type="dxa" w:w="18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0243E"/>
                <w:sz w:val="30"/>
                <w:szCs w:val="30"/>
              </w:rPr>
              <w:t xml:space="preserve">10.000</w:t>
            </w:r>
          </w:p>
          <w:p>
            <w:pPr>
              <w:spacing w:after="0"/>
              <w:jc w:val="center"/>
            </w:pPr>
            <w:r>
              <w:rPr>
                <w:color w:val="4A4A4A"/>
                <w:sz w:val="16"/>
                <w:szCs w:val="16"/>
              </w:rPr>
              <w:t xml:space="preserve">Modelos LLM analizados</w:t>
            </w:r>
          </w:p>
        </w:tc>
        <w:tc>
          <w:tcPr>
            <w:tcW w:type="dxa" w:w="2340"/>
            <w:shd w:fill="EEF2F5" w:val="clear"/>
            <w:tcMar>
              <w:top w:type="dxa" w:w="180"/>
              <w:left w:type="dxa" w:w="100"/>
              <w:bottom w:type="dxa" w:w="18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0243E"/>
                <w:sz w:val="30"/>
                <w:szCs w:val="30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color w:val="4A4A4A"/>
                <w:sz w:val="16"/>
                <w:szCs w:val="16"/>
              </w:rPr>
              <w:t xml:space="preserve">Fuentes de datos</w:t>
            </w:r>
          </w:p>
        </w:tc>
        <w:tc>
          <w:tcPr>
            <w:tcW w:type="dxa" w:w="2340"/>
            <w:shd w:fill="EEF2F5" w:val="clear"/>
            <w:tcMar>
              <w:top w:type="dxa" w:w="180"/>
              <w:left w:type="dxa" w:w="100"/>
              <w:bottom w:type="dxa" w:w="18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0243E"/>
                <w:sz w:val="30"/>
                <w:szCs w:val="30"/>
              </w:rPr>
              <w:t xml:space="preserve">11</w:t>
            </w:r>
          </w:p>
          <w:p>
            <w:pPr>
              <w:spacing w:after="0"/>
              <w:jc w:val="center"/>
            </w:pPr>
            <w:r>
              <w:rPr>
                <w:color w:val="4A4A4A"/>
                <w:sz w:val="16"/>
                <w:szCs w:val="16"/>
              </w:rPr>
              <w:t xml:space="preserve">Endpoints REST</w:t>
            </w:r>
          </w:p>
        </w:tc>
        <w:tc>
          <w:tcPr>
            <w:tcW w:type="dxa" w:w="2340"/>
            <w:shd w:fill="EEF2F5" w:val="clear"/>
            <w:tcMar>
              <w:top w:type="dxa" w:w="180"/>
              <w:left w:type="dxa" w:w="100"/>
              <w:bottom w:type="dxa" w:w="18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0243E"/>
                <w:sz w:val="30"/>
                <w:szCs w:val="30"/>
              </w:rPr>
              <w:t xml:space="preserve">6</w:t>
            </w:r>
          </w:p>
          <w:p>
            <w:pPr>
              <w:spacing w:after="0"/>
              <w:jc w:val="center"/>
            </w:pPr>
            <w:r>
              <w:rPr>
                <w:color w:val="4A4A4A"/>
                <w:sz w:val="16"/>
                <w:szCs w:val="16"/>
              </w:rPr>
              <w:t xml:space="preserve">Vistas del dashboard</w:t>
            </w:r>
          </w:p>
        </w:tc>
      </w:tr>
    </w:tbl>
    <w:p>
      <w:pPr>
        <w:spacing w:after="220"/>
      </w:pP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1.1  Propósito de este manual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Este documento describe, en lenguaje claro y orientado a la acción, cómo instalar, configurar, operar y solucionar problemas del sistema. Está dirigido a: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sz w:val="21"/>
          <w:szCs w:val="21"/>
        </w:rPr>
        <w:t xml:space="preserve">Docentes y evaluadores que necesiten levantar el sistema para su revisión.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sz w:val="21"/>
          <w:szCs w:val="21"/>
        </w:rPr>
        <w:t xml:space="preserve">Nuevos integrantes del equipo que se incorporen al desarrollo.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sz w:val="21"/>
          <w:szCs w:val="21"/>
        </w:rPr>
        <w:t xml:space="preserve">Cualquier persona con conocimientos básicos de computación interesada en explorar el dashboard.</w:t>
      </w:r>
    </w:p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2</w:t>
      </w:r>
      <w:r>
        <w:rPr>
          <w:b/>
          <w:bCs/>
          <w:color w:val="10243E"/>
          <w:sz w:val="30"/>
          <w:szCs w:val="30"/>
        </w:rPr>
        <w:t xml:space="preserve">   Arquitectura del Sistema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El sistema sigue un flujo lineal de datos en cuatro etapas: extracción desde las fuentes, transformación y carga mediante el pipeline ETL, almacenamiento en MongoDB Atlas, y finalmente exposición a través de la API REST hacia el dashboard.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43E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① FUENTES</w:t>
            </w:r>
          </w:p>
        </w:tc>
        <w:tc>
          <w:tcPr>
            <w:tcW w:type="dxa" w:w="2340"/>
            <w:shd w:fill="2C5F7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② PIPELINE ETL</w:t>
            </w:r>
          </w:p>
        </w:tc>
        <w:tc>
          <w:tcPr>
            <w:tcW w:type="dxa" w:w="2340"/>
            <w:shd w:fill="10243E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③ MONGODB ATLAS</w:t>
            </w:r>
          </w:p>
        </w:tc>
        <w:tc>
          <w:tcPr>
            <w:tcW w:type="dxa" w:w="2340"/>
            <w:shd w:fill="B8862B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④ API REST</w:t>
            </w:r>
          </w:p>
        </w:tc>
      </w:tr>
      <w:tr>
        <w:tc>
          <w:tcPr>
            <w:tcW w:type="dxa" w:w="2340"/>
            <w:tcBorders>
              <w:top w:val="none"/>
              <w:left w:val="single" w:color="C9D2D9" w:sz="2"/>
              <w:bottom w:val="single" w:color="C9D2D9" w:sz="2"/>
              <w:right w:val="single" w:color="C9D2D9" w:sz="2"/>
            </w:tcBorders>
            <w:shd w:fill="EEF2F5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1.  CSV local</w:t>
            </w:r>
          </w:p>
          <w:p>
            <w:pPr>
              <w:spacing w:after="60"/>
            </w:pPr>
            <w:r>
              <w:rPr>
                <w:sz w:val="18"/>
                <w:szCs w:val="18"/>
              </w:rPr>
              <w:t xml:space="preserve">2.  API Banco Central</w:t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>3.  MongoDB</w:t>
            </w:r>
          </w:p>
        </w:tc>
        <w:tc>
          <w:tcPr>
            <w:tcW w:type="dxa" w:w="2340"/>
            <w:tcBorders>
              <w:top w:val="none"/>
              <w:left w:val="single" w:color="C9D2D9" w:sz="2"/>
              <w:bottom w:val="single" w:color="C9D2D9" w:sz="2"/>
              <w:right w:val="single" w:color="C9D2D9" w:sz="2"/>
            </w:tcBorders>
            <w:shd w:fill="EEF2F5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Extract</w:t>
            </w:r>
          </w:p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Transform</w:t>
            </w:r>
          </w:p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Load</w:t>
            </w:r>
          </w:p>
          <w:p>
            <w:pPr>
              <w:spacing w:after="0" w:before="80"/>
            </w:pPr>
            <w:r>
              <w:rPr>
                <w:i/>
                <w:iCs/>
                <w:color w:val="4A4A4A"/>
                <w:sz w:val="15"/>
                <w:szCs w:val="15"/>
              </w:rPr>
              <w:t xml:space="preserve">(validación + USD → CLP)</w:t>
            </w:r>
          </w:p>
        </w:tc>
        <w:tc>
          <w:tcPr>
            <w:tcW w:type="dxa" w:w="2340"/>
            <w:tcBorders>
              <w:top w:val="none"/>
              <w:left w:val="single" w:color="C9D2D9" w:sz="2"/>
              <w:bottom w:val="single" w:color="C9D2D9" w:sz="2"/>
              <w:right w:val="single" w:color="C9D2D9" w:sz="2"/>
            </w:tcBorders>
            <w:shd w:fill="EEF2F5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≈ 10.000 docs</w:t>
            </w:r>
          </w:p>
          <w:p>
            <w:pPr>
              <w:spacing w:after="0"/>
            </w:pPr>
            <w:r>
              <w:rPr>
                <w:sz w:val="17"/>
                <w:szCs w:val="17"/>
              </w:rPr>
              <w:t xml:space="preserve">colección "modelos"</w:t>
            </w:r>
          </w:p>
        </w:tc>
        <w:tc>
          <w:tcPr>
            <w:tcW w:type="dxa" w:w="2340"/>
            <w:tcBorders>
              <w:top w:val="none"/>
              <w:left w:val="single" w:color="C9D2D9" w:sz="2"/>
              <w:bottom w:val="single" w:color="C9D2D9" w:sz="2"/>
              <w:right w:val="single" w:color="C9D2D9" w:sz="2"/>
            </w:tcBorders>
            <w:shd w:fill="EEF2F5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11 endpoints</w:t>
            </w:r>
          </w:p>
          <w:p>
            <w:pPr>
              <w:spacing w:after="0"/>
            </w:pPr>
            <w:r>
              <w:rPr>
                <w:sz w:val="17"/>
                <w:szCs w:val="17"/>
              </w:rPr>
              <w:t xml:space="preserve">Swagger en /docs</w:t>
            </w:r>
          </w:p>
        </w:tc>
      </w:tr>
    </w:tbl>
    <w:p>
      <w:pPr>
        <w:spacing w:after="120"/>
      </w:pPr>
    </w:p>
    <w:p>
      <w:pPr>
        <w:spacing w:after="200"/>
        <w:jc w:val="center"/>
      </w:pPr>
      <w:r>
        <w:rPr>
          <w:i/>
          <w:iCs/>
          <w:color w:val="4A4A4A"/>
          <w:sz w:val="16"/>
          <w:szCs w:val="16"/>
        </w:rPr>
        <w:t xml:space="preserve">↓   La API alimenta al Dashboard (Streamlit + Plotly), que también consume los modelos de Machine Learning   ↓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El pipeline extrae el dataset desde el CSV y lo enriquece con el tipo de cambio USD/CLP consultado en vivo al Banco Central de Chile; valida su esquema y carga el resultado en MongoDB Atlas. La API REST lee desde MongoDB y sirve los datos al dashboard, que además consume los modelos de Machine Learning para predecir el pricing tier en tiempo real.</w:t>
      </w:r>
    </w:p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3</w:t>
      </w:r>
      <w:r>
        <w:rPr>
          <w:b/>
          <w:bCs/>
          <w:color w:val="10243E"/>
          <w:sz w:val="30"/>
          <w:szCs w:val="30"/>
        </w:rPr>
        <w:t xml:space="preserve">   Estructura del Repositorio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ARBOL · ESTRUCTURA DE CARPETAS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EV_PARCIAL_2_ML_PRICING/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etl/                      Pipeline ETL (Extract-Transform-Load)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pipeline.py           Orquestador del pipeline completo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extract_indicador.py  Fuente externa: API Banco Central (USD/CLP)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└── validate_schema.py    Validación de esquema del dataset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api/                      API REST (FastAPI)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main.py               Definición de los 11 endpoints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└── database.py           Conexión y operaciones con MongoDB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dashboard/                 Dashboard interactivo (Streamlit + Plotly)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└── app.py                 6 secciones de visualización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src/                       Módulos de Machine Learning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models/trained_models/    Modelos serializados (.pkl)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notebooks/                 10 notebooks de análisis y modelado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tests/                     Pruebas unitarias (pytest)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conftest.py            Fixtures y mocks de MongoDB / ML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test_health.py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test_modelos.py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├── test_stats.py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│   └── test_prediccion.py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datos/                     Dataset original (CSV)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results/                   Gráficos e informe técnico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Dockerfile                 Imagen de la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Dockerfile.dashboard       Imagen del dashboard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docker-compose.yml         Orquestación de ambos servicios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requirements.txt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├── pytest.ini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└── .env.example               Plantilla de variables de entorno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4</w:t>
      </w:r>
      <w:r>
        <w:rPr>
          <w:b/>
          <w:bCs/>
          <w:color w:val="10243E"/>
          <w:sz w:val="30"/>
          <w:szCs w:val="30"/>
        </w:rPr>
        <w:t xml:space="preserve">   Requisitos Previos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6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6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Recomendado para el despliegue containerizado de extremo a extremo. Único requisito obligatorio si se usa esta vía.</w:t>
            </w:r>
          </w:p>
        </w:tc>
      </w:tr>
      <w:tr>
        <w:tc>
          <w:tcPr>
            <w:tcW w:type="dxa" w:w="2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Python</w:t>
            </w:r>
          </w:p>
        </w:tc>
        <w:tc>
          <w:tcPr>
            <w:tcW w:type="dxa" w:w="6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Versión 3.13 recomendada (compatible con 3.11 a 3.14), solo si se ejecuta sin Docker.</w:t>
            </w:r>
          </w:p>
        </w:tc>
      </w:tr>
      <w:tr>
        <w:tc>
          <w:tcPr>
            <w:tcW w:type="dxa" w:w="2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Git</w:t>
            </w:r>
          </w:p>
        </w:tc>
        <w:tc>
          <w:tcPr>
            <w:tcW w:type="dxa" w:w="6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 clonar el repositorio del proyecto desde GitHub.</w:t>
            </w:r>
          </w:p>
        </w:tc>
      </w:tr>
      <w:tr>
        <w:tc>
          <w:tcPr>
            <w:tcW w:type="dxa" w:w="2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Acceso a MongoDB</w:t>
            </w:r>
          </w:p>
        </w:tc>
        <w:tc>
          <w:tcPr>
            <w:tcW w:type="dxa" w:w="6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Instancia de MongoDB Atlas (recomendada) o local, con su cadena de conexión.</w:t>
            </w:r>
          </w:p>
        </w:tc>
      </w:tr>
      <w:tr>
        <w:tc>
          <w:tcPr>
            <w:tcW w:type="dxa" w:w="2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Conexión a Internet</w:t>
            </w:r>
          </w:p>
        </w:tc>
        <w:tc>
          <w:tcPr>
            <w:tcW w:type="dxa" w:w="6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Necesaria para descargar imágenes Docker y consultar la API del Banco Central de Chile.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B8862B" w:sz="4"/>
          <w:left w:val="single" w:color="B8862B" w:sz="24"/>
          <w:bottom w:val="single" w:color="B8862B" w:sz="4"/>
          <w:right w:val="single" w:color="B8862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4E6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862B"/>
                <w:sz w:val="18"/>
                <w:szCs w:val="18"/>
              </w:rPr>
              <w:t xml:space="preserve">NOTA</w:t>
            </w:r>
          </w:p>
          <w:p>
            <w:pPr>
              <w:spacing w:after="0"/>
              <w:jc w:val="both"/>
            </w:pPr>
            <w:r>
              <w:rPr>
                <w:i/>
                <w:iCs/>
                <w:color w:val="3A3A3A"/>
                <w:sz w:val="20"/>
                <w:szCs w:val="20"/>
              </w:rPr>
              <w:t xml:space="preserve">scikit-learn está fijado en la versión 1.8.0 en requirements.txt porque los modelos .pkl fueron entrenados con esa versión exacta. Usar una versión distinta impide deserializarlos correctamente.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5</w:t>
      </w:r>
      <w:r>
        <w:rPr>
          <w:b/>
          <w:bCs/>
          <w:color w:val="10243E"/>
          <w:sz w:val="30"/>
          <w:szCs w:val="30"/>
        </w:rPr>
        <w:t xml:space="preserve">   Instalación y Configuración</w:t>
      </w: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5.1  Clonar el repositorio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git clone https://github.com/LeonardoAmundarain/EV_PARCIAL_2_ML_PRICING.git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cd EV_PARCIAL_2_ML_PRICING</w:t>
            </w:r>
          </w:p>
        </w:tc>
      </w:tr>
    </w:tbl>
    <w:p>
      <w:pPr>
        <w:spacing w:after="160"/>
      </w:pP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5.2  Configurar variables de entorno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Copie la plantilla incluida en el repositorio y complete sus propias credenciales: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copy .env.example .env      # Windows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# cp .env.example .env      # Linux / Mac</w:t>
            </w:r>
          </w:p>
        </w:tc>
      </w:tr>
    </w:tbl>
    <w:p>
      <w:pPr>
        <w:spacing w:after="140"/>
      </w:pP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Edite el archivo .env con la cadena de conexión real: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.ENV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MONGO_URI=mongodb+srv://USUARIO:PASSWORD@CLUSTER.mongodb.net/?appName=llm-cluster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MONGO_DB=llm_pricing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MONGO_COL=modelos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CSV_PATH=/app/datos/llm_price_performance_tracker_2026-03-31.csv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B8862B" w:sz="4"/>
          <w:left w:val="single" w:color="B8862B" w:sz="24"/>
          <w:bottom w:val="single" w:color="B8862B" w:sz="4"/>
          <w:right w:val="single" w:color="B8862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4E6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862B"/>
                <w:sz w:val="18"/>
                <w:szCs w:val="18"/>
              </w:rPr>
              <w:t xml:space="preserve">NOTA</w:t>
            </w:r>
          </w:p>
          <w:p>
            <w:pPr>
              <w:spacing w:after="0"/>
              <w:jc w:val="both"/>
            </w:pPr>
            <w:r>
              <w:rPr>
                <w:i/>
                <w:iCs/>
                <w:color w:val="3A3A3A"/>
                <w:sz w:val="20"/>
                <w:szCs w:val="20"/>
              </w:rPr>
              <w:t xml:space="preserve">El archivo .env está excluido del repositorio mediante .gitignore para evitar exponer credenciales reales. Las credenciales de acceso a MongoDB Atlas se entregan por separado, de forma directa, por motivos de seguridad.</w:t>
            </w:r>
          </w:p>
        </w:tc>
      </w:tr>
    </w:tbl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5.3  Entorno local sin Docker (opcional)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python -m venv .venv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.venv\Scripts\activate           # Windows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# source .venv/bin/activate      # Linux / Mac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python -m pip install -r requirements.txt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6</w:t>
      </w:r>
      <w:r>
        <w:rPr>
          <w:b/>
          <w:bCs/>
          <w:color w:val="10243E"/>
          <w:sz w:val="30"/>
          <w:szCs w:val="30"/>
        </w:rPr>
        <w:t xml:space="preserve">   Ejecución del Sistema</w:t>
      </w: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6.1  Opción A — Docker (recomendada)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Levanta la API y el dashboard con un único comando. Asegúrese de que Docker Desktop esté abierto y completamente iniciado antes de ejecutar: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docker-compose up --build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4680"/>
        <w:gridCol w:w="4680"/>
      </w:tblGrid>
      <w:tr>
        <w:tc>
          <w:tcPr>
            <w:tcW w:type="dxa" w:w="4680"/>
            <w:shd w:fill="EEF2F5" w:val="clear"/>
            <w:tcMar>
              <w:top w:type="dxa" w:w="180"/>
              <w:left w:type="dxa" w:w="100"/>
              <w:bottom w:type="dxa" w:w="18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0243E"/>
                <w:sz w:val="30"/>
                <w:szCs w:val="30"/>
              </w:rPr>
              <w:t xml:space="preserve">8000</w:t>
            </w:r>
          </w:p>
          <w:p>
            <w:pPr>
              <w:spacing w:after="0"/>
              <w:jc w:val="center"/>
            </w:pPr>
            <w:r>
              <w:rPr>
                <w:color w:val="4A4A4A"/>
                <w:sz w:val="16"/>
                <w:szCs w:val="16"/>
              </w:rPr>
              <w:t xml:space="preserve">Puerto · API REST</w:t>
            </w:r>
          </w:p>
        </w:tc>
        <w:tc>
          <w:tcPr>
            <w:tcW w:type="dxa" w:w="4680"/>
            <w:shd w:fill="EEF2F5" w:val="clear"/>
            <w:tcMar>
              <w:top w:type="dxa" w:w="180"/>
              <w:left w:type="dxa" w:w="100"/>
              <w:bottom w:type="dxa" w:w="18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0243E"/>
                <w:sz w:val="30"/>
                <w:szCs w:val="30"/>
              </w:rPr>
              <w:t xml:space="preserve">8501</w:t>
            </w:r>
          </w:p>
          <w:p>
            <w:pPr>
              <w:spacing w:after="0"/>
              <w:jc w:val="center"/>
            </w:pPr>
            <w:r>
              <w:rPr>
                <w:color w:val="4A4A4A"/>
                <w:sz w:val="16"/>
                <w:szCs w:val="16"/>
              </w:rPr>
              <w:t xml:space="preserve">Puerto · Dashboard</w:t>
            </w:r>
          </w:p>
        </w:tc>
      </w:tr>
    </w:tbl>
    <w:p>
      <w:pPr>
        <w:spacing w:after="200"/>
      </w:pP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6.2  Opción B — Manual, en dos terminales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 1 · API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uvicorn api.main:app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 2 · DASHBOARD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streamlit run dashboard/app.py</w:t>
            </w:r>
          </w:p>
        </w:tc>
      </w:tr>
    </w:tbl>
    <w:p>
      <w:pPr>
        <w:spacing w:after="160"/>
      </w:pP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Verifique en la consola de la API que aparezca el mensaje "Modelos ML cargados correctamente" antes de continuar.</w:t>
      </w:r>
    </w:p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7</w:t>
      </w:r>
      <w:r>
        <w:rPr>
          <w:b/>
          <w:bCs/>
          <w:color w:val="10243E"/>
          <w:sz w:val="30"/>
          <w:szCs w:val="30"/>
        </w:rPr>
        <w:t xml:space="preserve">   Acceso a los Servicios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2600"/>
        <w:gridCol w:w="3300"/>
        <w:gridCol w:w="3460"/>
      </w:tblGrid>
      <w:tr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34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Dashboard</w:t>
            </w:r>
          </w:p>
        </w:tc>
        <w:tc>
          <w:tcPr>
            <w:tcW w:type="dxa" w:w="3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http://localhost:8501</w:t>
            </w:r>
          </w:p>
        </w:tc>
        <w:tc>
          <w:tcPr>
            <w:tcW w:type="dxa" w:w="34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Panel interactivo de análisis y visualización</w:t>
            </w:r>
          </w:p>
        </w:tc>
      </w:tr>
      <w:tr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API · Swagger</w:t>
            </w:r>
          </w:p>
        </w:tc>
        <w:tc>
          <w:tcPr>
            <w:tcW w:type="dxa" w:w="3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http://localhost:8000/docs</w:t>
            </w:r>
          </w:p>
        </w:tc>
        <w:tc>
          <w:tcPr>
            <w:tcW w:type="dxa" w:w="34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Documentación interactiva de los 11 endpoints</w:t>
            </w:r>
          </w:p>
        </w:tc>
      </w:tr>
      <w:tr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Estado del sistema</w:t>
            </w:r>
          </w:p>
        </w:tc>
        <w:tc>
          <w:tcPr>
            <w:tcW w:type="dxa" w:w="3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http://localhost:8000/health</w:t>
            </w:r>
          </w:p>
        </w:tc>
        <w:tc>
          <w:tcPr>
            <w:tcW w:type="dxa" w:w="34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Verifica MongoDB y la carga de modelos ML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8</w:t>
      </w:r>
      <w:r>
        <w:rPr>
          <w:b/>
          <w:bCs/>
          <w:color w:val="10243E"/>
          <w:sz w:val="30"/>
          <w:szCs w:val="30"/>
        </w:rPr>
        <w:t xml:space="preserve">   Pipeline ETL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El pipeline integra tres fuentes de datos distintas, cumpliendo con el estándar de la evaluación: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560"/>
        <w:gridCol w:w="2600"/>
        <w:gridCol w:w="1800"/>
        <w:gridCol w:w="4400"/>
      </w:tblGrid>
      <w:tr>
        <w:tc>
          <w:tcPr>
            <w:tcW w:type="dxa" w:w="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1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4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CSV local</w:t>
            </w:r>
          </w:p>
        </w:tc>
        <w:tc>
          <w:tcPr>
            <w:tcW w:type="dxa" w:w="1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Archivo plano</w:t>
            </w:r>
          </w:p>
        </w:tc>
        <w:tc>
          <w:tcPr>
            <w:tcW w:type="dxa" w:w="44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Dataset base con cerca de 10.000 modelos LLM</w:t>
            </w:r>
          </w:p>
        </w:tc>
      </w:tr>
      <w:tr>
        <w:tc>
          <w:tcPr>
            <w:tcW w:type="dxa" w:w="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API mindicador.cl</w:t>
            </w:r>
          </w:p>
        </w:tc>
        <w:tc>
          <w:tcPr>
            <w:tcW w:type="dxa" w:w="1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API externa</w:t>
            </w:r>
          </w:p>
        </w:tc>
        <w:tc>
          <w:tcPr>
            <w:tcW w:type="dxa" w:w="44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Tipo de cambio USD/CLP del Banco Central de Chile, con timeout, reintentos y fallback documentado</w:t>
            </w:r>
          </w:p>
        </w:tc>
      </w:tr>
      <w:tr>
        <w:tc>
          <w:tcPr>
            <w:tcW w:type="dxa" w:w="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MongoDB Atlas</w:t>
            </w:r>
          </w:p>
        </w:tc>
        <w:tc>
          <w:tcPr>
            <w:tcW w:type="dxa" w:w="1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Base NoSQL</w:t>
            </w:r>
          </w:p>
        </w:tc>
        <w:tc>
          <w:tcPr>
            <w:tcW w:type="dxa" w:w="44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Destino de carga y fuente de lectura para la API</w:t>
            </w:r>
          </w:p>
        </w:tc>
      </w:tr>
    </w:tbl>
    <w:p>
      <w:pPr>
        <w:spacing w:after="200"/>
      </w:pP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8.1  Etapas del proceso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sz w:val="21"/>
          <w:szCs w:val="21"/>
        </w:rPr>
        <w:t xml:space="preserve">Extract — lee el archivo CSV y consulta en vivo el tipo de cambio del dólar observado.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sz w:val="21"/>
          <w:szCs w:val="21"/>
        </w:rPr>
        <w:t xml:space="preserve">Transform — valida el esquema del dataset (columnas obligatorias, tipos, rangos y tiers válidos), descarta filas inválidas y enriquece los registros con el precio convertido a pesos chilenos.</w:t>
      </w:r>
    </w:p>
    <w:p>
      <w:pPr>
        <w:pStyle w:val="ListParagraph"/>
        <w:numPr>
          <w:ilvl w:val="0"/>
          <w:numId w:val="3"/>
        </w:numPr>
        <w:spacing w:after="120" w:line="280"/>
      </w:pPr>
      <w:r>
        <w:rPr>
          <w:sz w:val="21"/>
          <w:szCs w:val="21"/>
        </w:rPr>
        <w:t xml:space="preserve">Load — inserta los datos transformados en MongoDB Atlas en lotes, con manejo de errores e idempotencia: no recarga si la colección ya contiene datos, salvo que se fuerce explícitamente.</w:t>
      </w: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8.2  Ejecución del pipeline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# Carga normal (omite si la base ya tiene datos)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python -m etl.pipeline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# Recarga forzada completa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python -m etl.pipeline --forzar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B8862B" w:sz="4"/>
          <w:left w:val="single" w:color="B8862B" w:sz="24"/>
          <w:bottom w:val="single" w:color="B8862B" w:sz="4"/>
          <w:right w:val="single" w:color="B8862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4E6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862B"/>
                <w:sz w:val="18"/>
                <w:szCs w:val="18"/>
              </w:rPr>
              <w:t xml:space="preserve">NOTA</w:t>
            </w:r>
          </w:p>
          <w:p>
            <w:pPr>
              <w:spacing w:after="0"/>
              <w:jc w:val="both"/>
            </w:pPr>
            <w:r>
              <w:rPr>
                <w:i/>
                <w:iCs/>
                <w:color w:val="3A3A3A"/>
                <w:sz w:val="20"/>
                <w:szCs w:val="20"/>
              </w:rPr>
              <w:t xml:space="preserve">El pipeline registra toda su ejecución en logs/etl_pipeline.log. Si la carpeta logs/ no existe en su copia local, créela antes de ejecutar el pipeline con mkdir logs.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9</w:t>
      </w:r>
      <w:r>
        <w:rPr>
          <w:b/>
          <w:bCs/>
          <w:color w:val="10243E"/>
          <w:sz w:val="30"/>
          <w:szCs w:val="30"/>
        </w:rPr>
        <w:t xml:space="preserve">   API REST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La API expone 11 endpoints documentados automáticamente con Swagger en http://localhost:8000/docs.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50"/>
        <w:gridCol w:w="3200"/>
        <w:gridCol w:w="5210"/>
      </w:tblGrid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Estado de la API y lista de endpoints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/health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Salud del servicio, conteo de modelos en BD y modelos ML cargados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/modelos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Lista modelos con filtros (provider, tier, open source) y paginación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/modelos/{model_slug}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Detalle de un modelo por su slug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/stats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Estadísticas globales del dataset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/stats/benchmarks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Benchmarks promedio agrupados por pricing tier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/providers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Estadísticas agregadas por proveedor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/top-valor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Top N modelos por relación inteligencia/dólar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/top-inteligencia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Top N modelos por índice de inteligencia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8862B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/prediccion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Predice el pricing tier con Random Forest y Gradient Boosting</w:t>
            </w:r>
          </w:p>
        </w:tc>
      </w:tr>
      <w:tr>
        <w:tc>
          <w:tcPr>
            <w:tcW w:type="dxa" w:w="95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C5F7C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/prediccion/tier/{tier}</w:t>
            </w:r>
          </w:p>
        </w:tc>
        <w:tc>
          <w:tcPr>
            <w:tcW w:type="dxa" w:w="521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Compara tier real vs. predicho para un conjunto de modelos</w:t>
            </w:r>
          </w:p>
        </w:tc>
      </w:tr>
    </w:tbl>
    <w:p>
      <w:pPr>
        <w:spacing w:after="220"/>
      </w:pPr>
    </w:p>
    <w:p>
      <w:pPr>
        <w:pStyle w:val="Heading2"/>
        <w:spacing w:after="130" w:before="280"/>
      </w:pPr>
      <w:r>
        <w:rPr>
          <w:b/>
          <w:bCs/>
          <w:color w:val="2C5F7C"/>
          <w:sz w:val="24"/>
          <w:szCs w:val="24"/>
        </w:rPr>
        <w:t xml:space="preserve">9.1  Ejemplo de predicción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POST /prediccion  ·  REQUEST BODY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"aa_intelligence_index": 33.0,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"aa_coding_index": 22.0,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"aa_math_index": 20.0,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"input_cost_usd_per_1m": 2.0,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"output_cost_usd_per_1m": 8.0,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"output_tokens_per_second": 80.0,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"time_to_first_token_s": 1.5,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"chatbot_arena_elo": 1150.0,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"release_year": 2025.0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RESPONSE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"prediccion_rf": "Budget",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"prediccion_gb": "Budget",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"consenso": "Budget",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"confianza_rf":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  "Budget": 0.287, "Free": 0.273, "Mid": 0.219,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  "Ultra": 0.132, "Premium": 0.089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10</w:t>
      </w:r>
      <w:r>
        <w:rPr>
          <w:b/>
          <w:bCs/>
          <w:color w:val="10243E"/>
          <w:sz w:val="30"/>
          <w:szCs w:val="30"/>
        </w:rPr>
        <w:t xml:space="preserve">   Dashboard Interactivo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El dashboard consume la API y ofrece seis secciones con visualizaciones diferenciadas según el tipo de audiencia.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2300"/>
        <w:gridCol w:w="1900"/>
        <w:gridCol w:w="5160"/>
      </w:tblGrid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Audiencia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Resumen General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B8862B"/>
                <w:sz w:val="19"/>
                <w:szCs w:val="19"/>
              </w:rPr>
              <w:t xml:space="preserve">Ejecutiva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KPIs principales, distribución por tier y ranking de proveedores</w:t>
            </w:r>
          </w:p>
        </w:tc>
      </w:tr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Ranking de Modelos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B8862B"/>
                <w:sz w:val="19"/>
                <w:szCs w:val="19"/>
              </w:rPr>
              <w:t xml:space="preserve">Negocio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Mejor valor (inteligencia/dólar) y modelos más inteligentes</w:t>
            </w:r>
          </w:p>
        </w:tc>
      </w:tr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Análisis de Precios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B8862B"/>
                <w:sz w:val="19"/>
                <w:szCs w:val="19"/>
              </w:rPr>
              <w:t xml:space="preserve">Financiera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Distribución de costos por tier e inteligencia vs. costo, en USD y CLP</w:t>
            </w:r>
          </w:p>
        </w:tc>
      </w:tr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Benchmarks Técnicos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B8862B"/>
                <w:sz w:val="19"/>
                <w:szCs w:val="19"/>
              </w:rPr>
              <w:t xml:space="preserve">Técnica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Heatmap y comparación de capacidades técnicas por tier</w:t>
            </w:r>
          </w:p>
        </w:tc>
      </w:tr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Explorador de Modelos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B8862B"/>
                <w:sz w:val="19"/>
                <w:szCs w:val="19"/>
              </w:rPr>
              <w:t xml:space="preserve">Operativa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Filtros dinámicos y gráfico de dispersión configurable</w:t>
            </w:r>
          </w:p>
        </w:tc>
      </w:tr>
      <w:tr>
        <w:tc>
          <w:tcPr>
            <w:tcW w:type="dxa" w:w="23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Predictor de Tier ML</w:t>
            </w:r>
          </w:p>
        </w:tc>
        <w:tc>
          <w:tcPr>
            <w:tcW w:type="dxa" w:w="19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B8862B"/>
                <w:sz w:val="19"/>
                <w:szCs w:val="19"/>
              </w:rPr>
              <w:t xml:space="preserve">Técnica</w:t>
            </w:r>
          </w:p>
        </w:tc>
        <w:tc>
          <w:tcPr>
            <w:tcW w:type="dxa" w:w="51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Predicción en vivo del pricing tier con gráfico de confianza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11</w:t>
      </w:r>
      <w:r>
        <w:rPr>
          <w:b/>
          <w:bCs/>
          <w:color w:val="10243E"/>
          <w:sz w:val="30"/>
          <w:szCs w:val="30"/>
        </w:rPr>
        <w:t xml:space="preserve">   Pruebas Automatizadas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El proyecto incluye una suite de pruebas unitarias sobre la API. Las pruebas mockean MongoDB y los modelos de Machine Learning, por lo que se ejecutan de forma aislada y reproducible, sin necesidad de levantar la base de datos ni Docker.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9360"/>
      </w:tblGrid>
      <w:tr>
        <w:tc>
          <w:tcPr>
            <w:tcW w:type="dxa" w:w="9360"/>
            <w:shd w:fill="2C5F7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TERMINAL</w:t>
            </w:r>
          </w:p>
        </w:tc>
      </w:tr>
      <w:tr>
        <w:tc>
          <w:tcPr>
            <w:tcW w:type="dxa" w:w="9360"/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FD3FF"/>
                <w:sz w:val="19"/>
                <w:szCs w:val="19"/>
              </w:rPr>
              <w:t xml:space="preserve">python -m pytest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6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prueba</w:t>
            </w:r>
          </w:p>
        </w:tc>
      </w:tr>
      <w:tr>
        <w:tc>
          <w:tcPr>
            <w:tcW w:type="dxa" w:w="27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test_health.py</w:t>
            </w:r>
          </w:p>
        </w:tc>
        <w:tc>
          <w:tcPr>
            <w:tcW w:type="dxa" w:w="66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Endpoints de salud ("/" y "/health")</w:t>
            </w:r>
          </w:p>
        </w:tc>
      </w:tr>
      <w:tr>
        <w:tc>
          <w:tcPr>
            <w:tcW w:type="dxa" w:w="27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test_modelos.py</w:t>
            </w:r>
          </w:p>
        </w:tc>
        <w:tc>
          <w:tcPr>
            <w:tcW w:type="dxa" w:w="66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Listado, filtros, paginación y manejo de error 404</w:t>
            </w:r>
          </w:p>
        </w:tc>
      </w:tr>
      <w:tr>
        <w:tc>
          <w:tcPr>
            <w:tcW w:type="dxa" w:w="27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test_stats.py</w:t>
            </w:r>
          </w:p>
        </w:tc>
        <w:tc>
          <w:tcPr>
            <w:tcW w:type="dxa" w:w="66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Estadísticas globales y ranking por valor</w:t>
            </w:r>
          </w:p>
        </w:tc>
      </w:tr>
      <w:tr>
        <w:tc>
          <w:tcPr>
            <w:tcW w:type="dxa" w:w="27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test_prediccion.py</w:t>
            </w:r>
          </w:p>
        </w:tc>
        <w:tc>
          <w:tcPr>
            <w:tcW w:type="dxa" w:w="66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Predicción ML, forma de la respuesta y manejo de error 503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12</w:t>
      </w:r>
      <w:r>
        <w:rPr>
          <w:b/>
          <w:bCs/>
          <w:color w:val="10243E"/>
          <w:sz w:val="30"/>
          <w:szCs w:val="30"/>
        </w:rPr>
        <w:t xml:space="preserve">   Containerización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El sistema se compone de dos imágenes orquestadas por docker-compose.yml: Dockerfile construye la imagen de la API (FastAPI + Uvicorn, puerto 8000) y Dockerfile.dashboard construye la imagen del dashboard (Streamlit, puerto 8501). La configuración se inyecta por variables de entorno (MONGO_URI, API_URL), siguiendo buenas prácticas de configuración externa, y el dashboard declara una dependencia explícita sobre la API.</w:t>
      </w:r>
    </w:p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13</w:t>
      </w:r>
      <w:r>
        <w:rPr>
          <w:b/>
          <w:bCs/>
          <w:color w:val="10243E"/>
          <w:sz w:val="30"/>
          <w:szCs w:val="30"/>
        </w:rPr>
        <w:t xml:space="preserve">   Solución de Problemas Frecuentes</w:t>
      </w:r>
    </w:p>
    <w:tbl>
      <w:tblPr>
        <w:tblW w:type="dxa" w:w="9360"/>
        <w:tblBorders>
          <w:top w:val="single" w:color="C9D2D9" w:sz="2"/>
          <w:left w:val="single" w:color="C9D2D9" w:sz="2"/>
          <w:bottom w:val="single" w:color="C9D2D9" w:sz="2"/>
          <w:right w:val="single" w:color="C9D2D9" w:sz="2"/>
          <w:insideH w:val="single" w:color="C9D2D9" w:sz="2"/>
          <w:insideV w:val="single" w:color="C9D2D9" w:sz="2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5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shd w:fill="10243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"Docker Desktop is unable to start"</w:t>
            </w:r>
          </w:p>
        </w:tc>
        <w:tc>
          <w:tcPr>
            <w:tcW w:type="dxa" w:w="5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Abra Docker Desktop manualmente y espere a que el ícono deje de animarse antes de ejecutar docker-compose.</w:t>
            </w:r>
          </w:p>
        </w:tc>
      </w:tr>
      <w:tr>
        <w:tc>
          <w:tcPr>
            <w:tcW w:type="dxa" w:w="3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Error SSL/TLS al conectar a MongoDB</w:t>
            </w:r>
          </w:p>
        </w:tc>
        <w:tc>
          <w:tcPr>
            <w:tcW w:type="dxa" w:w="5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Verifique en MongoDB Atlas, sección Network Access, que la IP esté autorizada (o habilite 0.0.0.0/0 temporalmente).</w:t>
            </w:r>
          </w:p>
        </w:tc>
      </w:tr>
      <w:tr>
        <w:tc>
          <w:tcPr>
            <w:tcW w:type="dxa" w:w="3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 dashboard indica "API no disponible"</w:t>
            </w:r>
          </w:p>
        </w:tc>
        <w:tc>
          <w:tcPr>
            <w:tcW w:type="dxa" w:w="5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Confirme que el contenedor de la API esté corriendo y revise sus logs con docker-compose logs api.</w:t>
            </w:r>
          </w:p>
        </w:tc>
      </w:tr>
      <w:tr>
        <w:tc>
          <w:tcPr>
            <w:tcW w:type="dxa" w:w="3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Los modelos .pkl no cargan</w:t>
            </w:r>
          </w:p>
        </w:tc>
        <w:tc>
          <w:tcPr>
            <w:tcW w:type="dxa" w:w="5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Verifique que scikit-learn esté en la versión 1.8.0 exacta, según lo fijado en requirements.txt.</w:t>
            </w:r>
          </w:p>
        </w:tc>
      </w:tr>
      <w:tr>
        <w:tc>
          <w:tcPr>
            <w:tcW w:type="dxa" w:w="380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Falla logs/etl_pipeline.log</w:t>
            </w:r>
          </w:p>
        </w:tc>
        <w:tc>
          <w:tcPr>
            <w:tcW w:type="dxa" w:w="5560"/>
            <w:tcBorders>
              <w:top w:val="single" w:color="C9D2D9" w:sz="2"/>
              <w:left w:val="single" w:color="C9D2D9" w:sz="2"/>
              <w:bottom w:val="single" w:color="C9D2D9" w:sz="2"/>
              <w:right w:val="single" w:color="C9D2D9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Cree manualmente la carpeta logs/ en la raíz del proyecto antes de ejecutar el pipeline.</w:t>
            </w:r>
          </w:p>
        </w:tc>
      </w:tr>
    </w:tbl>
    <w:p>
      <w:pPr>
        <w:pStyle w:val="Heading1"/>
        <w:spacing w:after="220" w:before="420"/>
      </w:pPr>
      <w:r>
        <w:rPr>
          <w:b/>
          <w:bCs/>
          <w:color w:val="B8862B"/>
          <w:sz w:val="34"/>
          <w:szCs w:val="34"/>
        </w:rPr>
        <w:t xml:space="preserve">14</w:t>
      </w:r>
      <w:r>
        <w:rPr>
          <w:b/>
          <w:bCs/>
          <w:color w:val="10243E"/>
          <w:sz w:val="30"/>
          <w:szCs w:val="30"/>
        </w:rPr>
        <w:t xml:space="preserve">   Repositorio y Contacto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Repositorio del proyecto en GitHub:</w:t>
      </w:r>
    </w:p>
    <w:p>
      <w:pPr>
        <w:spacing w:after="160" w:line="300"/>
        <w:jc w:val="both"/>
      </w:pPr>
      <w:r>
        <w:rPr>
          <w:b/>
          <w:bCs/>
          <w:i w:val="false"/>
          <w:iCs w:val="false"/>
          <w:color w:val="1A1A1A"/>
          <w:sz w:val="21"/>
          <w:szCs w:val="21"/>
        </w:rPr>
        <w:t xml:space="preserve">https://github.com/LeonardoAmundarain/EV_PARCIAL_2_ML_PRICING</w:t>
      </w:r>
    </w:p>
    <w:p>
      <w:pPr>
        <w:spacing w:after="120"/>
      </w:pP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Para solicitar credenciales de acceso a MongoDB Atlas o reportar dudas sobre el levantamiento del sistema, contactar directamente a los autores del proyecto.</w:t>
      </w:r>
    </w:p>
    <w:p>
      <w:pPr>
        <w:spacing w:after="300"/>
      </w:pPr>
    </w:p>
    <w:tbl>
      <w:tblPr>
        <w:tblW w:type="dxa" w:w="9360"/>
        <w:tblBorders>
          <w:top w:val="single" w:color="10243E" w:sz="10"/>
          <w:left w:val="none"/>
          <w:bottom w:val="single" w:color="10243E" w:sz="10"/>
          <w:right w:val="none"/>
          <w:insideH w:val="single" w:color="auto" w:sz="4"/>
          <w:insideV w:val="single" w:color="C9D2D9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B8862B"/>
                <w:sz w:val="16"/>
                <w:szCs w:val="16"/>
              </w:rPr>
              <w:t xml:space="preserve">AUTOR</w:t>
            </w:r>
          </w:p>
          <w:p>
            <w:r>
              <w:rPr>
                <w:b/>
                <w:bCs/>
                <w:color w:val="10243E"/>
                <w:sz w:val="24"/>
                <w:szCs w:val="24"/>
              </w:rPr>
              <w:t xml:space="preserve">Leonardo Amundarain</w:t>
            </w:r>
          </w:p>
        </w:tc>
        <w:tc>
          <w:tcPr>
            <w:tcW w:type="dxa" w:w="468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B8862B"/>
                <w:sz w:val="16"/>
                <w:szCs w:val="16"/>
              </w:rPr>
              <w:t xml:space="preserve">AUTOR</w:t>
            </w:r>
          </w:p>
          <w:p>
            <w:r>
              <w:rPr>
                <w:b/>
                <w:bCs/>
                <w:color w:val="10243E"/>
                <w:sz w:val="24"/>
                <w:szCs w:val="24"/>
              </w:rPr>
              <w:t xml:space="preserve">Felipe Villalobos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4A4A4A"/>
        <w:sz w:val="16"/>
        <w:szCs w:val="16"/>
      </w:rPr>
      <w:t xml:space="preserve">Amundarain · Villalobos</w:t>
    </w:r>
    <w:r>
      <w:rPr>
        <w:sz w:val="16"/>
        <w:szCs w:val="16"/>
      </w:rPr>
      <w:t xml:space="preserve">		</w:t>
    </w:r>
    <w:r>
      <w:rPr>
        <w:color w:val="4A4A4A"/>
        <w:sz w:val="16"/>
        <w:szCs w:val="16"/>
      </w:rPr>
      <w:t xml:space="preserve">Página </w:t>
    </w:r>
    <w:r>
      <w:rPr>
        <w:color w:val="4A4A4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4A4A"/>
        <w:sz w:val="16"/>
        <w:szCs w:val="16"/>
      </w:rPr>
      <w:t xml:space="preserve"> de </w:t>
    </w:r>
    <w:r>
      <w:rPr>
        <w:color w:val="4A4A4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/>
        <w:left w:val="none"/>
        <w:bottom w:val="single" w:color="10243E" w:sz="6"/>
        <w:right w:val="none"/>
        <w:insideH w:val="single" w:color="auto" w:sz="4"/>
        <w:insideV w:val="single" w:color="auto" w:sz="4"/>
      </w:tblBorders>
    </w:tblPr>
    <w:tblGrid>
      <w:gridCol w:w="9360"/>
    </w:tblGrid>
    <w:tr>
      <w:tc>
        <w:tcPr>
          <w:tcW w:type="dxa" w:w="9360"/>
          <w:tcMar>
            <w:bottom w:type="dxa" w:w="100"/>
          </w:tcMar>
        </w:tcPr>
        <w:p>
          <w:r>
            <w:rPr>
              <w:b/>
              <w:bCs/>
              <w:color w:val="10243E"/>
              <w:sz w:val="16"/>
              <w:szCs w:val="16"/>
            </w:rPr>
            <w:t xml:space="preserve">LLM PRICE PERFORMANCE</w:t>
          </w:r>
          <w:r>
            <w:rPr>
              <w:color w:val="4A4A4A"/>
              <w:sz w:val="16"/>
              <w:szCs w:val="16"/>
            </w:rPr>
            <w:t xml:space="preserve">   —   Manual de Usuario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760" w:hanging="360"/>
      </w:pPr>
      <w:rPr>
        <w:b/>
        <w:bCs/>
        <w:color w:val="2C5F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60" w:hanging="360"/>
      </w:pPr>
      <w:rPr>
        <w:b/>
        <w:bCs/>
        <w:color w:val="10243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420"/>
      <w:outlineLvl w:val="0"/>
    </w:pPr>
    <w:rPr>
      <w:rFonts w:ascii="Calibri" w:cs="Calibri" w:eastAsia="Calibri" w:hAnsi="Calibri"/>
      <w:b/>
      <w:bCs/>
      <w:color w:val="10243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30" w:before="280"/>
      <w:outlineLvl w:val="1"/>
    </w:pPr>
    <w:rPr>
      <w:rFonts w:ascii="Calibri" w:cs="Calibri" w:eastAsia="Calibri" w:hAnsi="Calibri"/>
      <w:b/>
      <w:bCs/>
      <w:color w:val="2C5F7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2026-06-30T05:35:54.471Z</dcterms:created>
  <dcterms:modified xsi:type="dcterms:W3CDTF">2026-06-30T05:35:54.472Z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