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2E5FA3"/>
          <w:sz w:val="24"/>
          <w:szCs w:val="24"/>
        </w:rPr>
        <w:t xml:space="preserve">TEKUS · INNOVACIÓN Y NUEVOS NEGOCIOS</w:t>
      </w:r>
    </w:p>
    <w:p>
      <w:pPr>
        <w:spacing w:after="100" w:before="200"/>
        <w:jc w:val="center"/>
      </w:pPr>
      <w:r>
        <w:rPr>
          <w:b/>
          <w:bCs/>
          <w:color w:val="1F2A44"/>
          <w:sz w:val="44"/>
          <w:szCs w:val="44"/>
        </w:rPr>
        <w:t xml:space="preserve">Agente Conversacional WhatsApp + Plataforma de Gestión</w:t>
      </w:r>
    </w:p>
    <w:p>
      <w:pPr>
        <w:spacing w:after="400"/>
        <w:jc w:val="center"/>
      </w:pPr>
      <w:r>
        <w:rPr>
          <w:i/>
          <w:iCs/>
          <w:color w:val="595959"/>
          <w:sz w:val="26"/>
          <w:szCs w:val="26"/>
        </w:rPr>
        <w:t xml:space="preserve">Primer producto de Transformación Digital — Comercial y Soporte Técnico</w:t>
      </w:r>
    </w:p>
    <w:p>
      <w:pPr>
        <w:spacing w:before="600"/>
        <w:jc w:val="center"/>
      </w:pPr>
      <w:r>
        <w:rPr>
          <w:color w:val="595959"/>
          <w:sz w:val="22"/>
          <w:szCs w:val="22"/>
        </w:rPr>
        <w:t xml:space="preserve">Documento de Arquitectura, Estrategia y Roadmap</w:t>
      </w:r>
    </w:p>
    <w:p>
      <w:pPr>
        <w:spacing w:before="100"/>
        <w:jc w:val="center"/>
      </w:pPr>
      <w:r>
        <w:rPr>
          <w:color w:val="595959"/>
          <w:sz w:val="22"/>
          <w:szCs w:val="22"/>
        </w:rPr>
        <w:t xml:space="preserve">Leonardo Arango — Director de Nuevos Negocios e Innovación</w:t>
      </w:r>
    </w:p>
    <w:p>
      <w:pPr>
        <w:spacing w:before="100"/>
        <w:jc w:val="center"/>
      </w:pPr>
      <w:r>
        <w:rPr>
          <w:color w:val="595959"/>
          <w:sz w:val="22"/>
          <w:szCs w:val="22"/>
        </w:rPr>
        <w:t xml:space="preserve">12 de julio de 2026 · v1.0</w:t>
      </w:r>
    </w:p>
    <w:p>
      <w:r>
        <w:br w:type="page"/>
      </w:r>
    </w:p>
    <w:p>
      <w:pPr>
        <w:pStyle w:val="Heading1"/>
        <w:spacing w:after="200" w:before="400"/>
      </w:pPr>
      <w:r>
        <w:t xml:space="preserve">Resumen Ejecutivo (BLUF)</w:t>
      </w:r>
    </w:p>
    <w:p>
      <w:pPr>
        <w:spacing w:after="150"/>
      </w:pPr>
      <w:r>
        <w:t xml:space="preserve">Tekus construirá su primer producto de transformación digital: un agente conversacional de WhatsApp, orquestado por IA, que atiende simultáneamente soporte técnico y ventas, respaldado por una plataforma web de gestión, configuración y analítica. El agente consulta en tiempo real Odoo CRM y Odoo Servicio al Cliente como fuente transaccional, y la wiki de Confluence (wiki.tekus.co) como fuente de conocimiento, mediante una arquitectura de Agentic RAG (no un enfoque tipo “second brain”/Obsidian, que carece de gobierno, control de acceso y trazabilidad para un entorno B2B de misión crítica).</w:t>
      </w:r>
    </w:p>
    <w:p>
      <w:pPr>
        <w:spacing w:after="150"/>
      </w:pPr>
      <w:r>
        <w:t xml:space="preserve">El stack técnico será 100% propietario y auditable: backend Python (FastAPI + orquestador de agentes), frontend Angular responsive, Postgres con pgvector como única base de datos (datos transaccionales + vectores), todo dockerizado, conexión directa a la API oficial de Meta (WhatsApp Cloud API — única vía soportada desde la deprecación del On-Premises API en octubre de 2025), SSO corporativo contra Microsoft 365/Entra ID, y gestión de secretos vía .env / vault.</w:t>
      </w:r>
    </w:p>
    <w:p>
      <w:pPr>
        <w:spacing w:after="150"/>
      </w:pPr>
      <w:r>
        <w:t xml:space="preserve">El diferencial estratégico es el comportamiento agéntico dual: el bot decide, según contexto e intención, si debe operar en modo soporte (resolver, escalar, tickets) o en modo comercial (calificar, presentar oferta, generar oportunidad en el CRM), incluyendo la capacidad de vender a un cliente que originalmente escribió por soporte (cross-sell/up-sell) sin fricción ni cambio de canal.</w:t>
      </w:r>
    </w:p>
    <w:p>
      <w:pPr>
        <w:spacing w:after="150"/>
      </w:pPr>
      <w:r>
        <w:t xml:space="preserve">Recomendación: aprobar Fase 0 (Discovery de 3 semanas) para validar accesos a Odoo/Confluence, definir alcance del MVP de soporte, y dimensionar el equipo. Inversión estimada y unit economics se detallan en la sección 9.</w:t>
      </w:r>
    </w:p>
    <w:p>
      <w:pPr>
        <w:pBdr>
          <w:bottom w:val="single" w:color="AAAAAA" w:sz="6" w:space="1"/>
        </w:pBdr>
        <w:spacing w:after="200"/>
      </w:pPr>
    </w:p>
    <w:p>
      <w:pPr>
        <w:pStyle w:val="Heading1"/>
        <w:spacing w:after="200" w:before="400"/>
      </w:pPr>
      <w:r>
        <w:t xml:space="preserve">1. Visión y Tesis Estratégica</w:t>
      </w:r>
    </w:p>
    <w:p>
      <w:pPr>
        <w:spacing w:after="150"/>
      </w:pPr>
      <w:r>
        <w:t xml:space="preserve">Este producto materializa el punto de inflexión de Tekus: pasar de gestor de contenidos (Digital Signage) a orquestador de entornos inteligentes. El canal conversacional es el primer paso porque genera datos de comportamiento e intención de cliente que luego alimentarán los productos de visión computacional e IoT del roadmap de innovación.</w:t>
      </w:r>
    </w:p>
    <w:p>
      <w:pPr>
        <w:pStyle w:val="ListParagraph"/>
        <w:numPr>
          <w:ilvl w:val="0"/>
          <w:numId w:val="2"/>
        </w:numPr>
        <w:spacing w:after="90"/>
      </w:pPr>
      <w:r>
        <w:t xml:space="preserve">Tesis 1 — Canal único, doble función: WhatsApp es hoy el canal de mayor alcance en LATAM para B2B/retail/salud; unificar soporte y ventas en el mismo hilo reduce fricción y costo de adquisición.</w:t>
      </w:r>
    </w:p>
    <w:p>
      <w:pPr>
        <w:pStyle w:val="ListParagraph"/>
        <w:numPr>
          <w:ilvl w:val="0"/>
          <w:numId w:val="2"/>
        </w:numPr>
        <w:spacing w:after="90"/>
      </w:pPr>
      <w:r>
        <w:t xml:space="preserve">Tesis 2 — El conocimiento es el activo defendible: la calidad del RAG sobre Confluence + Odoo es la ventaja competitiva, no el LLM subyacente (commodity).</w:t>
      </w:r>
    </w:p>
    <w:p>
      <w:pPr>
        <w:pStyle w:val="ListParagraph"/>
        <w:numPr>
          <w:ilvl w:val="0"/>
          <w:numId w:val="2"/>
        </w:numPr>
        <w:spacing w:after="90"/>
      </w:pPr>
      <w:r>
        <w:t xml:space="preserve">Tesis 3 — Go-to-market interno primero: se valida con los propios clientes de Tekus (soporte y comercial) antes de ofrecerlo como producto white-label a terceros.</w:t>
      </w:r>
    </w:p>
    <w:p>
      <w:pPr>
        <w:pStyle w:val="Heading1"/>
        <w:spacing w:after="200" w:before="400"/>
      </w:pPr>
      <w:r>
        <w:t xml:space="preserve">2. Alcance del Producto</w:t>
      </w:r>
    </w:p>
    <w:p>
      <w:pPr>
        <w:pStyle w:val="Heading2"/>
        <w:spacing w:after="150" w:before="300"/>
      </w:pPr>
      <w:r>
        <w:t xml:space="preserve">2.1 Dos superficies de usuario</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6260"/>
      </w:tblGrid>
      <w:tr>
        <w:tc>
          <w:tcPr>
            <w:tcW w:type="dxa" w:w="3200"/>
            <w:shd w:fill="2E5FA3" w:val="clear"/>
            <w:tcMar>
              <w:top w:type="dxa" w:w="80"/>
              <w:left w:type="dxa" w:w="100"/>
              <w:bottom w:type="dxa" w:w="80"/>
              <w:right w:type="dxa" w:w="100"/>
            </w:tcMar>
            <w:vAlign w:val="center"/>
          </w:tcPr>
          <w:p>
            <w:pPr>
              <w:jc w:val="left"/>
            </w:pPr>
            <w:r>
              <w:rPr>
                <w:b/>
                <w:bCs/>
                <w:color w:val="FFFFFF"/>
                <w:sz w:val="20"/>
                <w:szCs w:val="20"/>
              </w:rPr>
              <w:t xml:space="preserve">Superficie</w:t>
            </w:r>
          </w:p>
        </w:tc>
        <w:tc>
          <w:tcPr>
            <w:tcW w:type="dxa" w:w="6260"/>
            <w:shd w:fill="2E5FA3" w:val="clear"/>
            <w:tcMar>
              <w:top w:type="dxa" w:w="80"/>
              <w:left w:type="dxa" w:w="100"/>
              <w:bottom w:type="dxa" w:w="80"/>
              <w:right w:type="dxa" w:w="100"/>
            </w:tcMar>
            <w:vAlign w:val="center"/>
          </w:tcPr>
          <w:p>
            <w:pPr>
              <w:jc w:val="left"/>
            </w:pPr>
            <w:r>
              <w:rPr>
                <w:b/>
                <w:bCs/>
                <w:color w:val="FFFFFF"/>
                <w:sz w:val="20"/>
                <w:szCs w:val="20"/>
              </w:rPr>
              <w:t xml:space="preserve">Descripción</w:t>
            </w:r>
          </w:p>
        </w:tc>
      </w:tr>
      <w:tr>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Agente WhatsApp (cliente final)</w:t>
            </w:r>
          </w:p>
        </w:tc>
        <w:tc>
          <w:tcPr>
            <w:tcW w:type="dxa" w:w="6260"/>
            <w:shd w:fill="FFFFFF" w:val="clear"/>
            <w:tcMar>
              <w:top w:type="dxa" w:w="80"/>
              <w:left w:type="dxa" w:w="100"/>
              <w:bottom w:type="dxa" w:w="80"/>
              <w:right w:type="dxa" w:w="100"/>
            </w:tcMar>
            <w:vAlign w:val="center"/>
          </w:tcPr>
          <w:p>
            <w:pPr>
              <w:jc w:val="left"/>
            </w:pPr>
            <w:r>
              <w:rPr>
                <w:b w:val="false"/>
                <w:bCs w:val="false"/>
                <w:sz w:val="20"/>
                <w:szCs w:val="20"/>
              </w:rPr>
              <w:t xml:space="preserve">Conversación en lenguaje natural. Detecta intención (soporte vs. venta), consulta CRM/Helpdesk/Confluence, resuelve o escala, y puede iniciar un flujo comercial dentro del mismo hilo.</w:t>
            </w:r>
          </w:p>
        </w:tc>
      </w:tr>
      <w:tr>
        <w:tc>
          <w:tcPr>
            <w:tcW w:type="dxa" w:w="3200"/>
            <w:shd w:fill="EAF0F8" w:val="clear"/>
            <w:tcMar>
              <w:top w:type="dxa" w:w="80"/>
              <w:left w:type="dxa" w:w="100"/>
              <w:bottom w:type="dxa" w:w="80"/>
              <w:right w:type="dxa" w:w="100"/>
            </w:tcMar>
            <w:vAlign w:val="center"/>
          </w:tcPr>
          <w:p>
            <w:pPr>
              <w:jc w:val="left"/>
            </w:pPr>
            <w:r>
              <w:rPr>
                <w:b w:val="false"/>
                <w:bCs w:val="false"/>
                <w:sz w:val="20"/>
                <w:szCs w:val="20"/>
              </w:rPr>
              <w:t xml:space="preserve">Plataforma Web de Gestión (interno)</w:t>
            </w:r>
          </w:p>
        </w:tc>
        <w:tc>
          <w:tcPr>
            <w:tcW w:type="dxa" w:w="6260"/>
            <w:shd w:fill="EAF0F8" w:val="clear"/>
            <w:tcMar>
              <w:top w:type="dxa" w:w="80"/>
              <w:left w:type="dxa" w:w="100"/>
              <w:bottom w:type="dxa" w:w="80"/>
              <w:right w:type="dxa" w:w="100"/>
            </w:tcMar>
            <w:vAlign w:val="center"/>
          </w:tcPr>
          <w:p>
            <w:pPr>
              <w:jc w:val="left"/>
            </w:pPr>
            <w:r>
              <w:rPr>
                <w:b w:val="false"/>
                <w:bCs w:val="false"/>
                <w:sz w:val="20"/>
                <w:szCs w:val="20"/>
              </w:rPr>
              <w:t xml:space="preserve">Angular responsive (desktop y móvil). Configuración de flujos y prompts, gestión de base de conocimiento, dashboards de conversación, reportes de conversión y SLA, y administración de usuarios vía SSO Microsoft 365.</w:t>
            </w:r>
          </w:p>
        </w:tc>
      </w:tr>
    </w:tbl>
    <w:p>
      <w:pPr>
        <w:pStyle w:val="Heading2"/>
        <w:spacing w:after="150" w:before="300"/>
      </w:pPr>
      <w:r>
        <w:t xml:space="preserve">2.2 Casos de uso iniciales</w:t>
      </w:r>
    </w:p>
    <w:p>
      <w:pPr>
        <w:pStyle w:val="ListParagraph"/>
        <w:numPr>
          <w:ilvl w:val="0"/>
          <w:numId w:val="2"/>
        </w:numPr>
        <w:spacing w:after="90"/>
      </w:pPr>
      <w:r>
        <w:t xml:space="preserve">Soporte técnico: consulta de estado de tickets, troubleshooting de primer nivel (pantallas, kioscos, contenido), escalamiento a Odoo Servicio al Cliente con contexto completo.</w:t>
      </w:r>
    </w:p>
    <w:p>
      <w:pPr>
        <w:pStyle w:val="ListParagraph"/>
        <w:numPr>
          <w:ilvl w:val="0"/>
          <w:numId w:val="2"/>
        </w:numPr>
        <w:spacing w:after="90"/>
      </w:pPr>
      <w:r>
        <w:t xml:space="preserve">Comercial: calificación de leads entrantes, respuesta a consultas de producto usando la wiki, agendamiento de demo, creación/actualización de oportunidad en Odoo CRM.</w:t>
      </w:r>
    </w:p>
    <w:p>
      <w:pPr>
        <w:pStyle w:val="ListParagraph"/>
        <w:numPr>
          <w:ilvl w:val="0"/>
          <w:numId w:val="2"/>
        </w:numPr>
        <w:spacing w:after="90"/>
      </w:pPr>
      <w:r>
        <w:t xml:space="preserve">Venta cruzada agéntica: un cliente que escribe por soporte y cuya cuenta tiene potencial de upsell (ej. licencias adicionales, IoT) recibe una oferta contextual sin salir del hilo de soporte.</w:t>
      </w:r>
    </w:p>
    <w:p>
      <w:pPr>
        <w:pStyle w:val="Heading1"/>
        <w:spacing w:after="200" w:before="400"/>
      </w:pPr>
      <w:r>
        <w:t xml:space="preserve">3. Comportamiento Agéntico Dual (Soporte / Venta)</w:t>
      </w:r>
    </w:p>
    <w:p>
      <w:pPr>
        <w:spacing w:after="150"/>
      </w:pPr>
      <w:r>
        <w:t xml:space="preserve">El bot no es un árbol de decisión estático: es un orquestador de agentes especializados coordinados por un router de intención y una capa de políticas de negocio.</w:t>
      </w:r>
    </w:p>
    <w:p>
      <w:pPr>
        <w:pStyle w:val="Heading2"/>
        <w:spacing w:after="150" w:before="300"/>
      </w:pPr>
      <w:r>
        <w:t xml:space="preserve">3.1 Arquitectura de agentes</w:t>
      </w:r>
    </w:p>
    <w:p>
      <w:pPr>
        <w:pStyle w:val="ListParagraph"/>
        <w:numPr>
          <w:ilvl w:val="0"/>
          <w:numId w:val="2"/>
        </w:numPr>
        <w:spacing w:after="90"/>
      </w:pPr>
      <w:r>
        <w:t xml:space="preserve">Agente Router / Clasificador de Intención: determina si el mensaje corresponde a soporte, venta, o ambos (“intención mixta”), y el nivel de urgencia.</w:t>
      </w:r>
    </w:p>
    <w:p>
      <w:pPr>
        <w:pStyle w:val="ListParagraph"/>
        <w:numPr>
          <w:ilvl w:val="0"/>
          <w:numId w:val="2"/>
        </w:numPr>
        <w:spacing w:after="90"/>
      </w:pPr>
      <w:r>
        <w:t xml:space="preserve">Agente de Soporte: usa RAG sobre Confluence + histórico de tickets en Odoo Servicio al Cliente para resolver o generar un ticket estructurado.</w:t>
      </w:r>
    </w:p>
    <w:p>
      <w:pPr>
        <w:pStyle w:val="ListParagraph"/>
        <w:numPr>
          <w:ilvl w:val="0"/>
          <w:numId w:val="2"/>
        </w:numPr>
        <w:spacing w:after="90"/>
      </w:pPr>
      <w:r>
        <w:t xml:space="preserve">Agente Comercial: usa RAG sobre catálogo/propuesta de valor + datos de la cuenta en Odoo CRM para calificar, informar y avanzar la oportunidad (framework BANT/MEDDIC simplificado).</w:t>
      </w:r>
    </w:p>
    <w:p>
      <w:pPr>
        <w:pStyle w:val="ListParagraph"/>
        <w:numPr>
          <w:ilvl w:val="0"/>
          <w:numId w:val="2"/>
        </w:numPr>
        <w:spacing w:after="90"/>
      </w:pPr>
      <w:r>
        <w:t xml:space="preserve">Agente de Políticas (Guardrails): capa transversal que decide cuándo el agente comercial puede intervenir en una conversación de soporte (reglas de negocio: cuenta activa, sin incidente crítico abierto, cliente no en mora, propensión de compra &gt; umbral), y cuándo escalar a humano.</w:t>
      </w:r>
    </w:p>
    <w:p>
      <w:pPr>
        <w:pStyle w:val="ListParagraph"/>
        <w:numPr>
          <w:ilvl w:val="0"/>
          <w:numId w:val="2"/>
        </w:numPr>
        <w:spacing w:after="90"/>
      </w:pPr>
      <w:r>
        <w:t xml:space="preserve">Agente de Orquestación/Memoria: mantiene el estado de la conversación (contexto de cliente, historial, canal) y decide el siguiente mejor paso (“next-best-action”).</w:t>
      </w:r>
    </w:p>
    <w:p>
      <w:pPr>
        <w:pStyle w:val="Heading2"/>
        <w:spacing w:after="150" w:before="300"/>
      </w:pPr>
      <w:r>
        <w:t xml:space="preserve">3.2 Principio de diseño</w:t>
      </w:r>
    </w:p>
    <w:p>
      <w:pPr>
        <w:spacing w:after="150"/>
      </w:pPr>
      <w:r>
        <w:t xml:space="preserve">El bot vende sin “vender”: el modo comercial se activa solo cuando aporta valor genuino al cliente (ej. “notamos que tu incidente es por límite de dispositivos en tu plan actual, ¿quieres ver las opciones de upgrade?”), nunca como interrupción agresiva sobre un ticket de soporte no resuelto.</w:t>
      </w:r>
    </w:p>
    <w:p>
      <w:pPr>
        <w:pStyle w:val="Heading1"/>
        <w:spacing w:after="200" w:before="400"/>
      </w:pPr>
      <w:r>
        <w:t xml:space="preserve">4. Fuentes de Conocimiento y Estrategia de RAG</w:t>
      </w:r>
    </w:p>
    <w:p>
      <w:pPr>
        <w:spacing w:after="150"/>
      </w:pPr>
      <w:r>
        <w:t xml:space="preserve">Se evaluaron tres enfoques para consolidar Confluence (wiki.tekus.co), Odoo CRM y Odoo Servicio al Cliente como fuente de verdad del agente.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60"/>
      </w:tblGrid>
      <w:tr>
        <w:tc>
          <w:tcPr>
            <w:tcW w:type="dxa" w:w="2400"/>
            <w:shd w:fill="2E5FA3" w:val="clear"/>
            <w:tcMar>
              <w:top w:type="dxa" w:w="80"/>
              <w:left w:type="dxa" w:w="100"/>
              <w:bottom w:type="dxa" w:w="80"/>
              <w:right w:type="dxa" w:w="100"/>
            </w:tcMar>
            <w:vAlign w:val="center"/>
          </w:tcPr>
          <w:p>
            <w:pPr>
              <w:jc w:val="left"/>
            </w:pPr>
            <w:r>
              <w:rPr>
                <w:b/>
                <w:bCs/>
                <w:color w:val="FFFFFF"/>
                <w:sz w:val="20"/>
                <w:szCs w:val="20"/>
              </w:rPr>
              <w:t xml:space="preserve">Enfoque</w:t>
            </w:r>
          </w:p>
        </w:tc>
        <w:tc>
          <w:tcPr>
            <w:tcW w:type="dxa" w:w="3600"/>
            <w:shd w:fill="2E5FA3" w:val="clear"/>
            <w:tcMar>
              <w:top w:type="dxa" w:w="80"/>
              <w:left w:type="dxa" w:w="100"/>
              <w:bottom w:type="dxa" w:w="80"/>
              <w:right w:type="dxa" w:w="100"/>
            </w:tcMar>
            <w:vAlign w:val="center"/>
          </w:tcPr>
          <w:p>
            <w:pPr>
              <w:jc w:val="left"/>
            </w:pPr>
            <w:r>
              <w:rPr>
                <w:b/>
                <w:bCs/>
                <w:color w:val="FFFFFF"/>
                <w:sz w:val="20"/>
                <w:szCs w:val="20"/>
              </w:rPr>
              <w:t xml:space="preserve">Descripción</w:t>
            </w:r>
          </w:p>
        </w:tc>
        <w:tc>
          <w:tcPr>
            <w:tcW w:type="dxa" w:w="3460"/>
            <w:shd w:fill="2E5FA3" w:val="clear"/>
            <w:tcMar>
              <w:top w:type="dxa" w:w="80"/>
              <w:left w:type="dxa" w:w="100"/>
              <w:bottom w:type="dxa" w:w="80"/>
              <w:right w:type="dxa" w:w="100"/>
            </w:tcMar>
            <w:vAlign w:val="center"/>
          </w:tcPr>
          <w:p>
            <w:pPr>
              <w:jc w:val="left"/>
            </w:pPr>
            <w:r>
              <w:rPr>
                <w:b/>
                <w:bCs/>
                <w:color w:val="FFFFFF"/>
                <w:sz w:val="20"/>
                <w:szCs w:val="20"/>
              </w:rPr>
              <w:t xml:space="preserve">Veredicto</w:t>
            </w:r>
          </w:p>
        </w:tc>
      </w:tr>
      <w:tr>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“Second Brain” (Obsidian + vault de notas)</w:t>
            </w:r>
          </w:p>
        </w:tc>
        <w:tc>
          <w:tcPr>
            <w:tcW w:type="dxa" w:w="3600"/>
            <w:shd w:fill="FFFFFF" w:val="clear"/>
            <w:tcMar>
              <w:top w:type="dxa" w:w="80"/>
              <w:left w:type="dxa" w:w="100"/>
              <w:bottom w:type="dxa" w:w="80"/>
              <w:right w:type="dxa" w:w="100"/>
            </w:tcMar>
            <w:vAlign w:val="center"/>
          </w:tcPr>
          <w:p>
            <w:pPr>
              <w:jc w:val="left"/>
            </w:pPr>
            <w:r>
              <w:rPr>
                <w:b w:val="false"/>
                <w:bCs w:val="false"/>
                <w:sz w:val="20"/>
                <w:szCs w:val="20"/>
              </w:rPr>
              <w:t xml:space="preserve">Notas Markdown enlazadas manualmente, pensadas para conocimiento personal individual.</w:t>
            </w:r>
          </w:p>
        </w:tc>
        <w:tc>
          <w:tcPr>
            <w:tcW w:type="dxa" w:w="3460"/>
            <w:shd w:fill="FFFFFF" w:val="clear"/>
            <w:tcMar>
              <w:top w:type="dxa" w:w="80"/>
              <w:left w:type="dxa" w:w="100"/>
              <w:bottom w:type="dxa" w:w="80"/>
              <w:right w:type="dxa" w:w="100"/>
            </w:tcMar>
            <w:vAlign w:val="center"/>
          </w:tcPr>
          <w:p>
            <w:pPr>
              <w:jc w:val="left"/>
            </w:pPr>
            <w:r>
              <w:rPr>
                <w:b w:val="false"/>
                <w:bCs w:val="false"/>
                <w:sz w:val="20"/>
                <w:szCs w:val="20"/>
              </w:rPr>
              <w:t xml:space="preserve">Descartado: no tiene control de acceso por rol, no sincroniza automáticamente con Odoo, no es auditable ni versionado para un entorno multi-usuario B2B, y no fue diseñado para servir como backend de un sistema en producción.</w:t>
            </w:r>
          </w:p>
        </w:tc>
      </w:tr>
      <w:tr>
        <w:tc>
          <w:tcPr>
            <w:tcW w:type="dxa" w:w="2400"/>
            <w:shd w:fill="EAF0F8" w:val="clear"/>
            <w:tcMar>
              <w:top w:type="dxa" w:w="80"/>
              <w:left w:type="dxa" w:w="100"/>
              <w:bottom w:type="dxa" w:w="80"/>
              <w:right w:type="dxa" w:w="100"/>
            </w:tcMar>
            <w:vAlign w:val="center"/>
          </w:tcPr>
          <w:p>
            <w:pPr>
              <w:jc w:val="left"/>
            </w:pPr>
            <w:r>
              <w:rPr>
                <w:b w:val="false"/>
                <w:bCs w:val="false"/>
                <w:sz w:val="20"/>
                <w:szCs w:val="20"/>
              </w:rPr>
              <w:t xml:space="preserve">RAG clásico (vector store estático)</w:t>
            </w:r>
          </w:p>
        </w:tc>
        <w:tc>
          <w:tcPr>
            <w:tcW w:type="dxa" w:w="3600"/>
            <w:shd w:fill="EAF0F8" w:val="clear"/>
            <w:tcMar>
              <w:top w:type="dxa" w:w="80"/>
              <w:left w:type="dxa" w:w="100"/>
              <w:bottom w:type="dxa" w:w="80"/>
              <w:right w:type="dxa" w:w="100"/>
            </w:tcMar>
            <w:vAlign w:val="center"/>
          </w:tcPr>
          <w:p>
            <w:pPr>
              <w:jc w:val="left"/>
            </w:pPr>
            <w:r>
              <w:rPr>
                <w:b w:val="false"/>
                <w:bCs w:val="false"/>
                <w:sz w:val="20"/>
                <w:szCs w:val="20"/>
              </w:rPr>
              <w:t xml:space="preserve">Chunking + embeddings de documentos, un solo paso de recuperación por consulta.</w:t>
            </w:r>
          </w:p>
        </w:tc>
        <w:tc>
          <w:tcPr>
            <w:tcW w:type="dxa" w:w="3460"/>
            <w:shd w:fill="EAF0F8" w:val="clear"/>
            <w:tcMar>
              <w:top w:type="dxa" w:w="80"/>
              <w:left w:type="dxa" w:w="100"/>
              <w:bottom w:type="dxa" w:w="80"/>
              <w:right w:type="dxa" w:w="100"/>
            </w:tcMar>
            <w:vAlign w:val="center"/>
          </w:tcPr>
          <w:p>
            <w:pPr>
              <w:jc w:val="left"/>
            </w:pPr>
            <w:r>
              <w:rPr>
                <w:b w:val="false"/>
                <w:bCs w:val="false"/>
                <w:sz w:val="20"/>
                <w:szCs w:val="20"/>
              </w:rPr>
              <w:t xml:space="preserve">Insuficiente en solitario: funciona para FAQ simples de Confluence, pero falla en preguntas que cruzan CRM + wiki + histórico de tickets (ej. “¿por qué este cliente tiene 3 incidentes abiertos y su plan vence en 10 días?”).</w:t>
            </w:r>
          </w:p>
        </w:tc>
      </w:tr>
      <w:tr>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Agentic RAG (adaptativo, recomendado)</w:t>
            </w:r>
          </w:p>
        </w:tc>
        <w:tc>
          <w:tcPr>
            <w:tcW w:type="dxa" w:w="3600"/>
            <w:shd w:fill="FFFFFF" w:val="clear"/>
            <w:tcMar>
              <w:top w:type="dxa" w:w="80"/>
              <w:left w:type="dxa" w:w="100"/>
              <w:bottom w:type="dxa" w:w="80"/>
              <w:right w:type="dxa" w:w="100"/>
            </w:tcMar>
            <w:vAlign w:val="center"/>
          </w:tcPr>
          <w:p>
            <w:pPr>
              <w:jc w:val="left"/>
            </w:pPr>
            <w:r>
              <w:rPr>
                <w:b w:val="false"/>
                <w:bCs w:val="false"/>
                <w:sz w:val="20"/>
                <w:szCs w:val="20"/>
              </w:rPr>
              <w:t xml:space="preserve">Un clasificador de consulta enruta entre: (a) lookup directo a Odoo vía API/SQL, (b) búsqueda híbrida (vector + keyword + reranker) sobre Confluence, y (c) razonamiento multi-paso cuando la pregunta requiere combinar ambas fuentes. Se añade GraphRAG solo si en producción aparecen preguntas “conecta-los-puntos” entre múltiples entidades.</w:t>
            </w:r>
          </w:p>
        </w:tc>
        <w:tc>
          <w:tcPr>
            <w:tcW w:type="dxa" w:w="3460"/>
            <w:shd w:fill="FFFFFF" w:val="clear"/>
            <w:tcMar>
              <w:top w:type="dxa" w:w="80"/>
              <w:left w:type="dxa" w:w="100"/>
              <w:bottom w:type="dxa" w:w="80"/>
              <w:right w:type="dxa" w:w="100"/>
            </w:tcMar>
            <w:vAlign w:val="center"/>
          </w:tcPr>
          <w:p>
            <w:pPr>
              <w:jc w:val="left"/>
            </w:pPr>
            <w:r>
              <w:rPr>
                <w:b w:val="false"/>
                <w:bCs w:val="false"/>
                <w:sz w:val="20"/>
                <w:szCs w:val="20"/>
              </w:rPr>
              <w:t xml:space="preserve">Recomendado como arquitectura base. Es el estándar 2026 para copilotos empresariales que integran CRM + bases de conocimiento, y permite empezar simple (RAG híbrido) y escalar a grafo solo si los datos lo justifican.</w:t>
            </w:r>
          </w:p>
        </w:tc>
      </w:tr>
    </w:tbl>
    <w:p>
      <w:pPr>
        <w:pStyle w:val="Heading2"/>
        <w:spacing w:after="150" w:before="300"/>
      </w:pPr>
      <w:r>
        <w:t xml:space="preserve">4.1 Pipeline de conocimiento propuesto</w:t>
      </w:r>
    </w:p>
    <w:p>
      <w:pPr>
        <w:pStyle w:val="ListParagraph"/>
        <w:numPr>
          <w:ilvl w:val="0"/>
          <w:numId w:val="2"/>
        </w:numPr>
        <w:spacing w:after="90"/>
      </w:pPr>
      <w:r>
        <w:t xml:space="preserve">Ingesta: conector programado (cron/webhook) que sincroniza espacios de Confluence vía su API REST hacia Postgres/pgvector; conector directo a Odoo (XML-RPC/JSON-RPC o API REST si está expuesta) para CRM y Helpdesk, sin duplicar datos transaccionales — se consulta en vivo, no se vectoriza el CRM.</w:t>
      </w:r>
    </w:p>
    <w:p>
      <w:pPr>
        <w:pStyle w:val="ListParagraph"/>
        <w:numPr>
          <w:ilvl w:val="0"/>
          <w:numId w:val="2"/>
        </w:numPr>
        <w:spacing w:after="90"/>
      </w:pPr>
      <w:r>
        <w:t xml:space="preserve">Indexación: chunking semántico de páginas de Confluence, embeddings almacenados en pgvector, metadatos de espacio/permiso para respetar control de acceso a nivel de fuente.</w:t>
      </w:r>
    </w:p>
    <w:p>
      <w:pPr>
        <w:pStyle w:val="ListParagraph"/>
        <w:numPr>
          <w:ilvl w:val="0"/>
          <w:numId w:val="2"/>
        </w:numPr>
        <w:spacing w:after="90"/>
      </w:pPr>
      <w:r>
        <w:t xml:space="preserve">Recuperación híbrida: búsqueda vectorial + BM25/keyword + reranker antes de pasar contexto al LLM, para evitar alucinaciones sobre políticas comerciales o SLA.</w:t>
      </w:r>
    </w:p>
    <w:p>
      <w:pPr>
        <w:pStyle w:val="ListParagraph"/>
        <w:numPr>
          <w:ilvl w:val="0"/>
          <w:numId w:val="2"/>
        </w:numPr>
        <w:spacing w:after="90"/>
      </w:pPr>
      <w:r>
        <w:t xml:space="preserve">Actualización: re-sincronización incremental (webhooks de Confluence si están disponibles; si no, polling cada 15-30 min) para que el conocimiento no quede desactualizado.</w:t>
      </w:r>
    </w:p>
    <w:p>
      <w:pPr>
        <w:pStyle w:val="ListParagraph"/>
        <w:numPr>
          <w:ilvl w:val="0"/>
          <w:numId w:val="2"/>
        </w:numPr>
        <w:spacing w:after="90"/>
      </w:pPr>
      <w:r>
        <w:t xml:space="preserve">Gobierno: cada respuesta del agente debe poder trazarse a la página de Confluence o registro de Odoo que la originó (auditable, requisito no negociable para soporte a clientes de salud/retail).</w:t>
      </w:r>
    </w:p>
    <w:p>
      <w:pPr>
        <w:pStyle w:val="Heading1"/>
        <w:spacing w:after="200" w:before="400"/>
      </w:pPr>
      <w:r>
        <w:t xml:space="preserve">5. Arquitectura Técnica</w:t>
      </w:r>
    </w:p>
    <w:p>
      <w:pPr>
        <w:pStyle w:val="Heading2"/>
        <w:spacing w:after="150" w:before="300"/>
      </w:pPr>
      <w:r>
        <w:t xml:space="preserve">5.1 Stack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6860"/>
      </w:tblGrid>
      <w:tr>
        <w:tc>
          <w:tcPr>
            <w:tcW w:type="dxa" w:w="2600"/>
            <w:shd w:fill="2E5FA3" w:val="clear"/>
            <w:tcMar>
              <w:top w:type="dxa" w:w="80"/>
              <w:left w:type="dxa" w:w="100"/>
              <w:bottom w:type="dxa" w:w="80"/>
              <w:right w:type="dxa" w:w="100"/>
            </w:tcMar>
            <w:vAlign w:val="center"/>
          </w:tcPr>
          <w:p>
            <w:pPr>
              <w:jc w:val="left"/>
            </w:pPr>
            <w:r>
              <w:rPr>
                <w:b/>
                <w:bCs/>
                <w:color w:val="FFFFFF"/>
                <w:sz w:val="20"/>
                <w:szCs w:val="20"/>
              </w:rPr>
              <w:t xml:space="preserve">Capa</w:t>
            </w:r>
          </w:p>
        </w:tc>
        <w:tc>
          <w:tcPr>
            <w:tcW w:type="dxa" w:w="6860"/>
            <w:shd w:fill="2E5FA3" w:val="clear"/>
            <w:tcMar>
              <w:top w:type="dxa" w:w="80"/>
              <w:left w:type="dxa" w:w="100"/>
              <w:bottom w:type="dxa" w:w="80"/>
              <w:right w:type="dxa" w:w="100"/>
            </w:tcMar>
            <w:vAlign w:val="center"/>
          </w:tcPr>
          <w:p>
            <w:pPr>
              <w:jc w:val="left"/>
            </w:pPr>
            <w:r>
              <w:rPr>
                <w:b/>
                <w:bCs/>
                <w:color w:val="FFFFFF"/>
                <w:sz w:val="20"/>
                <w:szCs w:val="20"/>
              </w:rPr>
              <w:t xml:space="preserve">Decisión</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Backend</w:t>
            </w:r>
          </w:p>
        </w:tc>
        <w:tc>
          <w:tcPr>
            <w:tcW w:type="dxa" w:w="6860"/>
            <w:shd w:fill="FFFFFF" w:val="clear"/>
            <w:tcMar>
              <w:top w:type="dxa" w:w="80"/>
              <w:left w:type="dxa" w:w="100"/>
              <w:bottom w:type="dxa" w:w="80"/>
              <w:right w:type="dxa" w:w="100"/>
            </w:tcMar>
            <w:vAlign w:val="center"/>
          </w:tcPr>
          <w:p>
            <w:pPr>
              <w:jc w:val="left"/>
            </w:pPr>
            <w:r>
              <w:rPr>
                <w:b w:val="false"/>
                <w:bCs w:val="false"/>
                <w:sz w:val="20"/>
                <w:szCs w:val="20"/>
              </w:rPr>
              <w:t xml:space="preserve">Python — FastAPI para API/webhooks + orquestador de agentes (framework tipo LangGraph o similar para el grafo de agentes de la sección 3).</w:t>
            </w:r>
          </w:p>
        </w:tc>
      </w:tr>
      <w:tr>
        <w:tc>
          <w:tcPr>
            <w:tcW w:type="dxa" w:w="2600"/>
            <w:shd w:fill="EAF0F8" w:val="clear"/>
            <w:tcMar>
              <w:top w:type="dxa" w:w="80"/>
              <w:left w:type="dxa" w:w="100"/>
              <w:bottom w:type="dxa" w:w="80"/>
              <w:right w:type="dxa" w:w="100"/>
            </w:tcMar>
            <w:vAlign w:val="center"/>
          </w:tcPr>
          <w:p>
            <w:pPr>
              <w:jc w:val="left"/>
            </w:pPr>
            <w:r>
              <w:rPr>
                <w:b w:val="false"/>
                <w:bCs w:val="false"/>
                <w:sz w:val="20"/>
                <w:szCs w:val="20"/>
              </w:rPr>
              <w:t xml:space="preserve">Frontend</w:t>
            </w:r>
          </w:p>
        </w:tc>
        <w:tc>
          <w:tcPr>
            <w:tcW w:type="dxa" w:w="6860"/>
            <w:shd w:fill="EAF0F8" w:val="clear"/>
            <w:tcMar>
              <w:top w:type="dxa" w:w="80"/>
              <w:left w:type="dxa" w:w="100"/>
              <w:bottom w:type="dxa" w:w="80"/>
              <w:right w:type="dxa" w:w="100"/>
            </w:tcMar>
            <w:vAlign w:val="center"/>
          </w:tcPr>
          <w:p>
            <w:pPr>
              <w:jc w:val="left"/>
            </w:pPr>
            <w:r>
              <w:rPr>
                <w:b w:val="false"/>
                <w:bCs w:val="false"/>
                <w:sz w:val="20"/>
                <w:szCs w:val="20"/>
              </w:rPr>
              <w:t xml:space="preserve">Angular, diseño responsive (mobile-first), 100% sobre el Design System de Tekus (tokens, componentes, tipografía corporativa).</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Base de datos</w:t>
            </w:r>
          </w:p>
        </w:tc>
        <w:tc>
          <w:tcPr>
            <w:tcW w:type="dxa" w:w="6860"/>
            <w:shd w:fill="FFFFFF" w:val="clear"/>
            <w:tcMar>
              <w:top w:type="dxa" w:w="80"/>
              <w:left w:type="dxa" w:w="100"/>
              <w:bottom w:type="dxa" w:w="80"/>
              <w:right w:type="dxa" w:w="100"/>
            </w:tcMar>
            <w:vAlign w:val="center"/>
          </w:tcPr>
          <w:p>
            <w:pPr>
              <w:jc w:val="left"/>
            </w:pPr>
            <w:r>
              <w:rPr>
                <w:b w:val="false"/>
                <w:bCs w:val="false"/>
                <w:sz w:val="20"/>
                <w:szCs w:val="20"/>
              </w:rPr>
              <w:t xml:space="preserve">Postgres único (con extensión pgvector) para datos transaccionales de la plataforma (conversaciones, configuración, usuarios) y vectores del RAG. Odoo permanece como sistema de registro para CRM/Servicio (no se migra su data).</w:t>
            </w:r>
          </w:p>
        </w:tc>
      </w:tr>
      <w:tr>
        <w:tc>
          <w:tcPr>
            <w:tcW w:type="dxa" w:w="2600"/>
            <w:shd w:fill="EAF0F8" w:val="clear"/>
            <w:tcMar>
              <w:top w:type="dxa" w:w="80"/>
              <w:left w:type="dxa" w:w="100"/>
              <w:bottom w:type="dxa" w:w="80"/>
              <w:right w:type="dxa" w:w="100"/>
            </w:tcMar>
            <w:vAlign w:val="center"/>
          </w:tcPr>
          <w:p>
            <w:pPr>
              <w:jc w:val="left"/>
            </w:pPr>
            <w:r>
              <w:rPr>
                <w:b w:val="false"/>
                <w:bCs w:val="false"/>
                <w:sz w:val="20"/>
                <w:szCs w:val="20"/>
              </w:rPr>
              <w:t xml:space="preserve">Contenedores</w:t>
            </w:r>
          </w:p>
        </w:tc>
        <w:tc>
          <w:tcPr>
            <w:tcW w:type="dxa" w:w="6860"/>
            <w:shd w:fill="EAF0F8" w:val="clear"/>
            <w:tcMar>
              <w:top w:type="dxa" w:w="80"/>
              <w:left w:type="dxa" w:w="100"/>
              <w:bottom w:type="dxa" w:w="80"/>
              <w:right w:type="dxa" w:w="100"/>
            </w:tcMar>
            <w:vAlign w:val="center"/>
          </w:tcPr>
          <w:p>
            <w:pPr>
              <w:jc w:val="left"/>
            </w:pPr>
            <w:r>
              <w:rPr>
                <w:b w:val="false"/>
                <w:bCs w:val="false"/>
                <w:sz w:val="20"/>
                <w:szCs w:val="20"/>
              </w:rPr>
              <w:t xml:space="preserve">Todo el stack dockerizado (docker-compose para desarrollo; Docker + orquestador — Kubernetes o Docker Swarm — para producción).</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Secretos</w:t>
            </w:r>
          </w:p>
        </w:tc>
        <w:tc>
          <w:tcPr>
            <w:tcW w:type="dxa" w:w="6860"/>
            <w:shd w:fill="FFFFFF" w:val="clear"/>
            <w:tcMar>
              <w:top w:type="dxa" w:w="80"/>
              <w:left w:type="dxa" w:w="100"/>
              <w:bottom w:type="dxa" w:w="80"/>
              <w:right w:type="dxa" w:w="100"/>
            </w:tcMar>
            <w:vAlign w:val="center"/>
          </w:tcPr>
          <w:p>
            <w:pPr>
              <w:jc w:val="left"/>
            </w:pPr>
            <w:r>
              <w:rPr>
                <w:b w:val="false"/>
                <w:bCs w:val="false"/>
                <w:sz w:val="20"/>
                <w:szCs w:val="20"/>
              </w:rPr>
              <w:t xml:space="preserve">Variables de entorno (.env) en desarrollo; en producción, vault de secretos (ej. Doppler/Vault/Secrets Manager) inyectando a los contenedores — nunca credenciales en código o imágenes.</w:t>
            </w:r>
          </w:p>
        </w:tc>
      </w:tr>
      <w:tr>
        <w:tc>
          <w:tcPr>
            <w:tcW w:type="dxa" w:w="2600"/>
            <w:shd w:fill="EAF0F8" w:val="clear"/>
            <w:tcMar>
              <w:top w:type="dxa" w:w="80"/>
              <w:left w:type="dxa" w:w="100"/>
              <w:bottom w:type="dxa" w:w="80"/>
              <w:right w:type="dxa" w:w="100"/>
            </w:tcMar>
            <w:vAlign w:val="center"/>
          </w:tcPr>
          <w:p>
            <w:pPr>
              <w:jc w:val="left"/>
            </w:pPr>
            <w:r>
              <w:rPr>
                <w:b w:val="false"/>
                <w:bCs w:val="false"/>
                <w:sz w:val="20"/>
                <w:szCs w:val="20"/>
              </w:rPr>
              <w:t xml:space="preserve">Canal WhatsApp</w:t>
            </w:r>
          </w:p>
        </w:tc>
        <w:tc>
          <w:tcPr>
            <w:tcW w:type="dxa" w:w="6860"/>
            <w:shd w:fill="EAF0F8" w:val="clear"/>
            <w:tcMar>
              <w:top w:type="dxa" w:w="80"/>
              <w:left w:type="dxa" w:w="100"/>
              <w:bottom w:type="dxa" w:w="80"/>
              <w:right w:type="dxa" w:w="100"/>
            </w:tcMar>
            <w:vAlign w:val="center"/>
          </w:tcPr>
          <w:p>
            <w:pPr>
              <w:jc w:val="left"/>
            </w:pPr>
            <w:r>
              <w:rPr>
                <w:b w:val="false"/>
                <w:bCs w:val="false"/>
                <w:sz w:val="20"/>
                <w:szCs w:val="20"/>
              </w:rPr>
              <w:t xml:space="preserve">Conexión directa a WhatsApp Cloud API de Meta (única vía soportada — el On-Premises API fue descontinuado en oct. 2025). Requiere token de System User sin expiración, número verificado y app de Meta Business.</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Autenticación (plataforma web)</w:t>
            </w:r>
          </w:p>
        </w:tc>
        <w:tc>
          <w:tcPr>
            <w:tcW w:type="dxa" w:w="6860"/>
            <w:shd w:fill="FFFFFF" w:val="clear"/>
            <w:tcMar>
              <w:top w:type="dxa" w:w="80"/>
              <w:left w:type="dxa" w:w="100"/>
              <w:bottom w:type="dxa" w:w="80"/>
              <w:right w:type="dxa" w:w="100"/>
            </w:tcMar>
            <w:vAlign w:val="center"/>
          </w:tcPr>
          <w:p>
            <w:pPr>
              <w:jc w:val="left"/>
            </w:pPr>
            <w:r>
              <w:rPr>
                <w:b w:val="false"/>
                <w:bCs w:val="false"/>
                <w:sz w:val="20"/>
                <w:szCs w:val="20"/>
              </w:rPr>
              <w:t xml:space="preserve">SSO contra Microsoft 365 vía Entra ID (OAuth2/OIDC, MSAL para Angular), con control de roles (admin, agente, supervisor, solo-lectura).</w:t>
            </w:r>
          </w:p>
        </w:tc>
      </w:tr>
      <w:tr>
        <w:tc>
          <w:tcPr>
            <w:tcW w:type="dxa" w:w="2600"/>
            <w:shd w:fill="EAF0F8" w:val="clear"/>
            <w:tcMar>
              <w:top w:type="dxa" w:w="80"/>
              <w:left w:type="dxa" w:w="100"/>
              <w:bottom w:type="dxa" w:w="80"/>
              <w:right w:type="dxa" w:w="100"/>
            </w:tcMar>
            <w:vAlign w:val="center"/>
          </w:tcPr>
          <w:p>
            <w:pPr>
              <w:jc w:val="left"/>
            </w:pPr>
            <w:r>
              <w:rPr>
                <w:b w:val="false"/>
                <w:bCs w:val="false"/>
                <w:sz w:val="20"/>
                <w:szCs w:val="20"/>
              </w:rPr>
              <w:t xml:space="preserve">Observabilidad</w:t>
            </w:r>
          </w:p>
        </w:tc>
        <w:tc>
          <w:tcPr>
            <w:tcW w:type="dxa" w:w="6860"/>
            <w:shd w:fill="EAF0F8" w:val="clear"/>
            <w:tcMar>
              <w:top w:type="dxa" w:w="80"/>
              <w:left w:type="dxa" w:w="100"/>
              <w:bottom w:type="dxa" w:w="80"/>
              <w:right w:type="dxa" w:w="100"/>
            </w:tcMar>
            <w:vAlign w:val="center"/>
          </w:tcPr>
          <w:p>
            <w:pPr>
              <w:jc w:val="left"/>
            </w:pPr>
            <w:r>
              <w:rPr>
                <w:b w:val="false"/>
                <w:bCs w:val="false"/>
                <w:sz w:val="20"/>
                <w:szCs w:val="20"/>
              </w:rPr>
              <w:t xml:space="preserve">Logging estructurado + trazas de conversación (para auditar RAG) + métricas de negocio en el dashboard.</w:t>
            </w:r>
          </w:p>
        </w:tc>
      </w:tr>
    </w:tbl>
    <w:p>
      <w:pPr>
        <w:pStyle w:val="Heading2"/>
        <w:spacing w:after="150" w:before="300"/>
      </w:pPr>
      <w:r>
        <w:t xml:space="preserve">5.2 Componentes principales (vista lógica)</w:t>
      </w:r>
    </w:p>
    <w:p>
      <w:pPr>
        <w:pStyle w:val="ListParagraph"/>
        <w:numPr>
          <w:ilvl w:val="0"/>
          <w:numId w:val="2"/>
        </w:numPr>
        <w:spacing w:after="90"/>
      </w:pPr>
      <w:r>
        <w:t xml:space="preserve">API Gateway / Webhook receiver: recibe eventos de WhatsApp Cloud API (mensajes entrantes, estados de entrega).</w:t>
      </w:r>
    </w:p>
    <w:p>
      <w:pPr>
        <w:pStyle w:val="ListParagraph"/>
        <w:numPr>
          <w:ilvl w:val="0"/>
          <w:numId w:val="2"/>
        </w:numPr>
        <w:spacing w:after="90"/>
      </w:pPr>
      <w:r>
        <w:t xml:space="preserve">Orquestador de Agentes: router de intención + agentes de soporte/comercial/políticas (sección 3), stateless, escalable horizontalmente.</w:t>
      </w:r>
    </w:p>
    <w:p>
      <w:pPr>
        <w:pStyle w:val="ListParagraph"/>
        <w:numPr>
          <w:ilvl w:val="0"/>
          <w:numId w:val="2"/>
        </w:numPr>
        <w:spacing w:after="90"/>
      </w:pPr>
      <w:r>
        <w:t xml:space="preserve">Servicio de Conocimiento (RAG Service): expone recuperación híbrida sobre pgvector + conectores a Confluence.</w:t>
      </w:r>
    </w:p>
    <w:p>
      <w:pPr>
        <w:pStyle w:val="ListParagraph"/>
        <w:numPr>
          <w:ilvl w:val="0"/>
          <w:numId w:val="2"/>
        </w:numPr>
        <w:spacing w:after="90"/>
      </w:pPr>
      <w:r>
        <w:t xml:space="preserve">Conectores de Integración: Odoo CRM, Odoo Servicio al Cliente, Confluence — cada uno como microservicio o módulo independiente, con reintentos y circuit breakers.</w:t>
      </w:r>
    </w:p>
    <w:p>
      <w:pPr>
        <w:pStyle w:val="ListParagraph"/>
        <w:numPr>
          <w:ilvl w:val="0"/>
          <w:numId w:val="2"/>
        </w:numPr>
        <w:spacing w:after="90"/>
      </w:pPr>
      <w:r>
        <w:t xml:space="preserve">Backend de Plataforma (FastAPI): CRUD de configuración, dashboards, reportes, gestión de usuarios/roles.</w:t>
      </w:r>
    </w:p>
    <w:p>
      <w:pPr>
        <w:pStyle w:val="ListParagraph"/>
        <w:numPr>
          <w:ilvl w:val="0"/>
          <w:numId w:val="2"/>
        </w:numPr>
        <w:spacing w:after="90"/>
      </w:pPr>
      <w:r>
        <w:t xml:space="preserve">Frontend Angular: SPA responsive consumida por el equipo de soporte/comercial y por gerencia (dashboards ejecutivos).</w:t>
      </w:r>
    </w:p>
    <w:p>
      <w:pPr>
        <w:pStyle w:val="ListParagraph"/>
        <w:numPr>
          <w:ilvl w:val="0"/>
          <w:numId w:val="2"/>
        </w:numPr>
        <w:spacing w:after="90"/>
      </w:pPr>
      <w:r>
        <w:t xml:space="preserve">Cola de mensajes (ej. Redis/RabbitMQ): desacopla recepción de WhatsApp del procesamiento agéntico, necesario para manejar picos y garantizar cumplimiento de la ventana de 24h de Meta.</w:t>
      </w:r>
    </w:p>
    <w:p>
      <w:pPr>
        <w:pStyle w:val="Heading1"/>
        <w:spacing w:after="200" w:before="400"/>
      </w:pPr>
      <w:r>
        <w:t xml:space="preserve">6. Seguridad, Cumplimiento y Gobierno de Datos</w:t>
      </w:r>
    </w:p>
    <w:p>
      <w:pPr>
        <w:pStyle w:val="ListParagraph"/>
        <w:numPr>
          <w:ilvl w:val="0"/>
          <w:numId w:val="2"/>
        </w:numPr>
        <w:spacing w:after="90"/>
      </w:pPr>
      <w:r>
        <w:t xml:space="preserve">SSO Microsoft 365 obligatorio para todo acceso a la plataforma de gestión; sin usuarios/contraseñas locales.</w:t>
      </w:r>
    </w:p>
    <w:p>
      <w:pPr>
        <w:pStyle w:val="ListParagraph"/>
        <w:numPr>
          <w:ilvl w:val="0"/>
          <w:numId w:val="2"/>
        </w:numPr>
        <w:spacing w:after="90"/>
      </w:pPr>
      <w:r>
        <w:t xml:space="preserve">Segregación de credenciales por entorno (dev/staging/prod) en .env / vault; rotación periódica del token de Meta.</w:t>
      </w:r>
    </w:p>
    <w:p>
      <w:pPr>
        <w:pStyle w:val="ListParagraph"/>
        <w:numPr>
          <w:ilvl w:val="0"/>
          <w:numId w:val="2"/>
        </w:numPr>
        <w:spacing w:after="90"/>
      </w:pPr>
      <w:r>
        <w:t xml:space="preserve">Control de acceso a nivel de fuente en el RAG: un agente no debe exponer información de Confluence o Odoo que el rol del cliente/agente no debería ver.</w:t>
      </w:r>
    </w:p>
    <w:p>
      <w:pPr>
        <w:pStyle w:val="ListParagraph"/>
        <w:numPr>
          <w:ilvl w:val="0"/>
          <w:numId w:val="2"/>
        </w:numPr>
        <w:spacing w:after="90"/>
      </w:pPr>
      <w:r>
        <w:t xml:space="preserve">Trazabilidad completa: cada conversación queda auditada (qué se dijo, qué fuente se consultó, qué acción se tomó en Odoo).</w:t>
      </w:r>
    </w:p>
    <w:p>
      <w:pPr>
        <w:pStyle w:val="ListParagraph"/>
        <w:numPr>
          <w:ilvl w:val="0"/>
          <w:numId w:val="2"/>
        </w:numPr>
        <w:spacing w:after="90"/>
      </w:pPr>
      <w:r>
        <w:t xml:space="preserve">Cumplimiento sectorial: dado que Tekus atiende salud y retail, evaluar requisitos de protección de datos personales (Colombia: Ley 1581) desde el diseño.</w:t>
      </w:r>
    </w:p>
    <w:p>
      <w:pPr>
        <w:pStyle w:val="Heading1"/>
        <w:spacing w:after="200" w:before="400"/>
      </w:pPr>
      <w:r>
        <w:t xml:space="preserve">7. Integraciones y Modelo de Datos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60"/>
      </w:tblGrid>
      <w:tr>
        <w:tc>
          <w:tcPr>
            <w:tcW w:type="dxa" w:w="2400"/>
            <w:shd w:fill="2E5FA3" w:val="clear"/>
            <w:tcMar>
              <w:top w:type="dxa" w:w="80"/>
              <w:left w:type="dxa" w:w="100"/>
              <w:bottom w:type="dxa" w:w="80"/>
              <w:right w:type="dxa" w:w="100"/>
            </w:tcMar>
            <w:vAlign w:val="center"/>
          </w:tcPr>
          <w:p>
            <w:pPr>
              <w:jc w:val="left"/>
            </w:pPr>
            <w:r>
              <w:rPr>
                <w:b/>
                <w:bCs/>
                <w:color w:val="FFFFFF"/>
                <w:sz w:val="20"/>
                <w:szCs w:val="20"/>
              </w:rPr>
              <w:t xml:space="preserve">Sistema</w:t>
            </w:r>
          </w:p>
        </w:tc>
        <w:tc>
          <w:tcPr>
            <w:tcW w:type="dxa" w:w="3200"/>
            <w:shd w:fill="2E5FA3" w:val="clear"/>
            <w:tcMar>
              <w:top w:type="dxa" w:w="80"/>
              <w:left w:type="dxa" w:w="100"/>
              <w:bottom w:type="dxa" w:w="80"/>
              <w:right w:type="dxa" w:w="100"/>
            </w:tcMar>
            <w:vAlign w:val="center"/>
          </w:tcPr>
          <w:p>
            <w:pPr>
              <w:jc w:val="left"/>
            </w:pPr>
            <w:r>
              <w:rPr>
                <w:b/>
                <w:bCs/>
                <w:color w:val="FFFFFF"/>
                <w:sz w:val="20"/>
                <w:szCs w:val="20"/>
              </w:rPr>
              <w:t xml:space="preserve">Rol en la arquitectura</w:t>
            </w:r>
          </w:p>
        </w:tc>
        <w:tc>
          <w:tcPr>
            <w:tcW w:type="dxa" w:w="3460"/>
            <w:shd w:fill="2E5FA3" w:val="clear"/>
            <w:tcMar>
              <w:top w:type="dxa" w:w="80"/>
              <w:left w:type="dxa" w:w="100"/>
              <w:bottom w:type="dxa" w:w="80"/>
              <w:right w:type="dxa" w:w="100"/>
            </w:tcMar>
            <w:vAlign w:val="center"/>
          </w:tcPr>
          <w:p>
            <w:pPr>
              <w:jc w:val="left"/>
            </w:pPr>
            <w:r>
              <w:rPr>
                <w:b/>
                <w:bCs/>
                <w:color w:val="FFFFFF"/>
                <w:sz w:val="20"/>
                <w:szCs w:val="20"/>
              </w:rPr>
              <w:t xml:space="preserve">Modo de acceso</w:t>
            </w:r>
          </w:p>
        </w:tc>
      </w:tr>
      <w:tr>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Odoo CRM</w:t>
            </w:r>
          </w:p>
        </w:tc>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Fuente y destino: lectura de cuenta/oportunidad, escritura de nuevas oportunidades y actividades generadas por el agente comercial.</w:t>
            </w:r>
          </w:p>
        </w:tc>
        <w:tc>
          <w:tcPr>
            <w:tcW w:type="dxa" w:w="3460"/>
            <w:shd w:fill="FFFFFF" w:val="clear"/>
            <w:tcMar>
              <w:top w:type="dxa" w:w="80"/>
              <w:left w:type="dxa" w:w="100"/>
              <w:bottom w:type="dxa" w:w="80"/>
              <w:right w:type="dxa" w:w="100"/>
            </w:tcMar>
            <w:vAlign w:val="center"/>
          </w:tcPr>
          <w:p>
            <w:pPr>
              <w:jc w:val="left"/>
            </w:pPr>
            <w:r>
              <w:rPr>
                <w:b w:val="false"/>
                <w:bCs w:val="false"/>
                <w:sz w:val="20"/>
                <w:szCs w:val="20"/>
              </w:rPr>
              <w:t xml:space="preserve">API (XML-RPC/JSON-RPC u odoo-rpc), consulta en vivo — no se vectoriza.</w:t>
            </w:r>
          </w:p>
        </w:tc>
      </w:tr>
      <w:tr>
        <w:tc>
          <w:tcPr>
            <w:tcW w:type="dxa" w:w="2400"/>
            <w:shd w:fill="EAF0F8" w:val="clear"/>
            <w:tcMar>
              <w:top w:type="dxa" w:w="80"/>
              <w:left w:type="dxa" w:w="100"/>
              <w:bottom w:type="dxa" w:w="80"/>
              <w:right w:type="dxa" w:w="100"/>
            </w:tcMar>
            <w:vAlign w:val="center"/>
          </w:tcPr>
          <w:p>
            <w:pPr>
              <w:jc w:val="left"/>
            </w:pPr>
            <w:r>
              <w:rPr>
                <w:b w:val="false"/>
                <w:bCs w:val="false"/>
                <w:sz w:val="20"/>
                <w:szCs w:val="20"/>
              </w:rPr>
              <w:t xml:space="preserve">Odoo Servicio al Cliente (Helpdesk)</w:t>
            </w:r>
          </w:p>
        </w:tc>
        <w:tc>
          <w:tcPr>
            <w:tcW w:type="dxa" w:w="3200"/>
            <w:shd w:fill="EAF0F8" w:val="clear"/>
            <w:tcMar>
              <w:top w:type="dxa" w:w="80"/>
              <w:left w:type="dxa" w:w="100"/>
              <w:bottom w:type="dxa" w:w="80"/>
              <w:right w:type="dxa" w:w="100"/>
            </w:tcMar>
            <w:vAlign w:val="center"/>
          </w:tcPr>
          <w:p>
            <w:pPr>
              <w:jc w:val="left"/>
            </w:pPr>
            <w:r>
              <w:rPr>
                <w:b w:val="false"/>
                <w:bCs w:val="false"/>
                <w:sz w:val="20"/>
                <w:szCs w:val="20"/>
              </w:rPr>
              <w:t xml:space="preserve">Fuente y destino: lectura de histórico de tickets, creación/actualización de tickets desde el agente de soporte.</w:t>
            </w:r>
          </w:p>
        </w:tc>
        <w:tc>
          <w:tcPr>
            <w:tcW w:type="dxa" w:w="3460"/>
            <w:shd w:fill="EAF0F8" w:val="clear"/>
            <w:tcMar>
              <w:top w:type="dxa" w:w="80"/>
              <w:left w:type="dxa" w:w="100"/>
              <w:bottom w:type="dxa" w:w="80"/>
              <w:right w:type="dxa" w:w="100"/>
            </w:tcMar>
            <w:vAlign w:val="center"/>
          </w:tcPr>
          <w:p>
            <w:pPr>
              <w:jc w:val="left"/>
            </w:pPr>
            <w:r>
              <w:rPr>
                <w:b w:val="false"/>
                <w:bCs w:val="false"/>
                <w:sz w:val="20"/>
                <w:szCs w:val="20"/>
              </w:rPr>
              <w:t xml:space="preserve">API, consulta en vivo.</w:t>
            </w:r>
          </w:p>
        </w:tc>
      </w:tr>
      <w:tr>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Confluence (wiki.tekus.co)</w:t>
            </w:r>
          </w:p>
        </w:tc>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Fuente de conocimiento: manuales, políticas, FAQ, procedimientos.</w:t>
            </w:r>
          </w:p>
        </w:tc>
        <w:tc>
          <w:tcPr>
            <w:tcW w:type="dxa" w:w="3460"/>
            <w:shd w:fill="FFFFFF" w:val="clear"/>
            <w:tcMar>
              <w:top w:type="dxa" w:w="80"/>
              <w:left w:type="dxa" w:w="100"/>
              <w:bottom w:type="dxa" w:w="80"/>
              <w:right w:type="dxa" w:w="100"/>
            </w:tcMar>
            <w:vAlign w:val="center"/>
          </w:tcPr>
          <w:p>
            <w:pPr>
              <w:jc w:val="left"/>
            </w:pPr>
            <w:r>
              <w:rPr>
                <w:b w:val="false"/>
                <w:bCs w:val="false"/>
                <w:sz w:val="20"/>
                <w:szCs w:val="20"/>
              </w:rPr>
              <w:t xml:space="preserve">API REST de Confluence, sincronizado a pgvector (indexado, no en vivo).</w:t>
            </w:r>
          </w:p>
        </w:tc>
      </w:tr>
      <w:tr>
        <w:tc>
          <w:tcPr>
            <w:tcW w:type="dxa" w:w="2400"/>
            <w:shd w:fill="EAF0F8" w:val="clear"/>
            <w:tcMar>
              <w:top w:type="dxa" w:w="80"/>
              <w:left w:type="dxa" w:w="100"/>
              <w:bottom w:type="dxa" w:w="80"/>
              <w:right w:type="dxa" w:w="100"/>
            </w:tcMar>
            <w:vAlign w:val="center"/>
          </w:tcPr>
          <w:p>
            <w:pPr>
              <w:jc w:val="left"/>
            </w:pPr>
            <w:r>
              <w:rPr>
                <w:b w:val="false"/>
                <w:bCs w:val="false"/>
                <w:sz w:val="20"/>
                <w:szCs w:val="20"/>
              </w:rPr>
              <w:t xml:space="preserve">WhatsApp Cloud API (Meta)</w:t>
            </w:r>
          </w:p>
        </w:tc>
        <w:tc>
          <w:tcPr>
            <w:tcW w:type="dxa" w:w="3200"/>
            <w:shd w:fill="EAF0F8" w:val="clear"/>
            <w:tcMar>
              <w:top w:type="dxa" w:w="80"/>
              <w:left w:type="dxa" w:w="100"/>
              <w:bottom w:type="dxa" w:w="80"/>
              <w:right w:type="dxa" w:w="100"/>
            </w:tcMar>
            <w:vAlign w:val="center"/>
          </w:tcPr>
          <w:p>
            <w:pPr>
              <w:jc w:val="left"/>
            </w:pPr>
            <w:r>
              <w:rPr>
                <w:b w:val="false"/>
                <w:bCs w:val="false"/>
                <w:sz w:val="20"/>
                <w:szCs w:val="20"/>
              </w:rPr>
              <w:t xml:space="preserve">Canal de entrada/salida con el cliente final.</w:t>
            </w:r>
          </w:p>
        </w:tc>
        <w:tc>
          <w:tcPr>
            <w:tcW w:type="dxa" w:w="3460"/>
            <w:shd w:fill="EAF0F8" w:val="clear"/>
            <w:tcMar>
              <w:top w:type="dxa" w:w="80"/>
              <w:left w:type="dxa" w:w="100"/>
              <w:bottom w:type="dxa" w:w="80"/>
              <w:right w:type="dxa" w:w="100"/>
            </w:tcMar>
            <w:vAlign w:val="center"/>
          </w:tcPr>
          <w:p>
            <w:pPr>
              <w:jc w:val="left"/>
            </w:pPr>
            <w:r>
              <w:rPr>
                <w:b w:val="false"/>
                <w:bCs w:val="false"/>
                <w:sz w:val="20"/>
                <w:szCs w:val="20"/>
              </w:rPr>
              <w:t xml:space="preserve">Conexión directa, webhooks + Graph API, sin intermediarios (BSP) de terceros.</w:t>
            </w:r>
          </w:p>
        </w:tc>
      </w:tr>
      <w:tr>
        <w:tc>
          <w:tcPr>
            <w:tcW w:type="dxa" w:w="2400"/>
            <w:shd w:fill="FFFFFF" w:val="clear"/>
            <w:tcMar>
              <w:top w:type="dxa" w:w="80"/>
              <w:left w:type="dxa" w:w="100"/>
              <w:bottom w:type="dxa" w:w="80"/>
              <w:right w:type="dxa" w:w="100"/>
            </w:tcMar>
            <w:vAlign w:val="center"/>
          </w:tcPr>
          <w:p>
            <w:pPr>
              <w:jc w:val="left"/>
            </w:pPr>
            <w:r>
              <w:rPr>
                <w:b w:val="false"/>
                <w:bCs w:val="false"/>
                <w:sz w:val="20"/>
                <w:szCs w:val="20"/>
              </w:rPr>
              <w:t xml:space="preserve">Microsoft 365 / Entra ID</w:t>
            </w:r>
          </w:p>
        </w:tc>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Identidad y control de acceso a la plataforma de gestión.</w:t>
            </w:r>
          </w:p>
        </w:tc>
        <w:tc>
          <w:tcPr>
            <w:tcW w:type="dxa" w:w="3460"/>
            <w:shd w:fill="FFFFFF" w:val="clear"/>
            <w:tcMar>
              <w:top w:type="dxa" w:w="80"/>
              <w:left w:type="dxa" w:w="100"/>
              <w:bottom w:type="dxa" w:w="80"/>
              <w:right w:type="dxa" w:w="100"/>
            </w:tcMar>
            <w:vAlign w:val="center"/>
          </w:tcPr>
          <w:p>
            <w:pPr>
              <w:jc w:val="left"/>
            </w:pPr>
            <w:r>
              <w:rPr>
                <w:b w:val="false"/>
                <w:bCs w:val="false"/>
                <w:sz w:val="20"/>
                <w:szCs w:val="20"/>
              </w:rPr>
              <w:t xml:space="preserve">OAuth2/OIDC vía MSAL.</w:t>
            </w:r>
          </w:p>
        </w:tc>
      </w:tr>
    </w:tbl>
    <w:p>
      <w:pPr>
        <w:pStyle w:val="Heading1"/>
        <w:spacing w:after="200" w:before="400"/>
      </w:pPr>
      <w:r>
        <w:t xml:space="preserve">8. Roadmap por Fases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760"/>
      </w:tblGrid>
      <w:tr>
        <w:tc>
          <w:tcPr>
            <w:tcW w:type="dxa" w:w="1500"/>
            <w:shd w:fill="2E5FA3" w:val="clear"/>
            <w:tcMar>
              <w:top w:type="dxa" w:w="80"/>
              <w:left w:type="dxa" w:w="100"/>
              <w:bottom w:type="dxa" w:w="80"/>
              <w:right w:type="dxa" w:w="100"/>
            </w:tcMar>
            <w:vAlign w:val="center"/>
          </w:tcPr>
          <w:p>
            <w:pPr>
              <w:jc w:val="left"/>
            </w:pPr>
            <w:r>
              <w:rPr>
                <w:b/>
                <w:bCs/>
                <w:color w:val="FFFFFF"/>
                <w:sz w:val="20"/>
                <w:szCs w:val="20"/>
              </w:rPr>
              <w:t xml:space="preserve">Fase</w:t>
            </w:r>
          </w:p>
        </w:tc>
        <w:tc>
          <w:tcPr>
            <w:tcW w:type="dxa" w:w="1900"/>
            <w:shd w:fill="2E5FA3" w:val="clear"/>
            <w:tcMar>
              <w:top w:type="dxa" w:w="80"/>
              <w:left w:type="dxa" w:w="100"/>
              <w:bottom w:type="dxa" w:w="80"/>
              <w:right w:type="dxa" w:w="100"/>
            </w:tcMar>
            <w:vAlign w:val="center"/>
          </w:tcPr>
          <w:p>
            <w:pPr>
              <w:jc w:val="left"/>
            </w:pPr>
            <w:r>
              <w:rPr>
                <w:b/>
                <w:bCs/>
                <w:color w:val="FFFFFF"/>
                <w:sz w:val="20"/>
                <w:szCs w:val="20"/>
              </w:rPr>
              <w:t xml:space="preserve">Duración</w:t>
            </w:r>
          </w:p>
        </w:tc>
        <w:tc>
          <w:tcPr>
            <w:tcW w:type="dxa" w:w="5760"/>
            <w:shd w:fill="2E5FA3" w:val="clear"/>
            <w:tcMar>
              <w:top w:type="dxa" w:w="80"/>
              <w:left w:type="dxa" w:w="100"/>
              <w:bottom w:type="dxa" w:w="80"/>
              <w:right w:type="dxa" w:w="100"/>
            </w:tcMar>
            <w:vAlign w:val="center"/>
          </w:tcPr>
          <w:p>
            <w:pPr>
              <w:jc w:val="left"/>
            </w:pPr>
            <w:r>
              <w:rPr>
                <w:b/>
                <w:bCs/>
                <w:color w:val="FFFFFF"/>
                <w:sz w:val="20"/>
                <w:szCs w:val="20"/>
              </w:rPr>
              <w:t xml:space="preserve">Entregables</w:t>
            </w:r>
          </w:p>
        </w:tc>
      </w:tr>
      <w:tr>
        <w:tc>
          <w:tcPr>
            <w:tcW w:type="dxa" w:w="1500"/>
            <w:shd w:fill="FFFFFF" w:val="clear"/>
            <w:tcMar>
              <w:top w:type="dxa" w:w="80"/>
              <w:left w:type="dxa" w:w="100"/>
              <w:bottom w:type="dxa" w:w="80"/>
              <w:right w:type="dxa" w:w="100"/>
            </w:tcMar>
            <w:vAlign w:val="center"/>
          </w:tcPr>
          <w:p>
            <w:pPr>
              <w:jc w:val="left"/>
            </w:pPr>
            <w:r>
              <w:rPr>
                <w:b w:val="false"/>
                <w:bCs w:val="false"/>
                <w:sz w:val="20"/>
                <w:szCs w:val="20"/>
              </w:rPr>
              <w:t xml:space="preserve">Fase 0 — Discovery</w:t>
            </w:r>
          </w:p>
        </w:tc>
        <w:tc>
          <w:tcPr>
            <w:tcW w:type="dxa" w:w="1900"/>
            <w:shd w:fill="FFFFFF" w:val="clear"/>
            <w:tcMar>
              <w:top w:type="dxa" w:w="80"/>
              <w:left w:type="dxa" w:w="100"/>
              <w:bottom w:type="dxa" w:w="80"/>
              <w:right w:type="dxa" w:w="100"/>
            </w:tcMar>
            <w:vAlign w:val="center"/>
          </w:tcPr>
          <w:p>
            <w:pPr>
              <w:jc w:val="left"/>
            </w:pPr>
            <w:r>
              <w:rPr>
                <w:b w:val="false"/>
                <w:bCs w:val="false"/>
                <w:sz w:val="20"/>
                <w:szCs w:val="20"/>
              </w:rPr>
              <w:t xml:space="preserve">3 semanas</w:t>
            </w:r>
          </w:p>
        </w:tc>
        <w:tc>
          <w:tcPr>
            <w:tcW w:type="dxa" w:w="5760"/>
            <w:shd w:fill="FFFFFF" w:val="clear"/>
            <w:tcMar>
              <w:top w:type="dxa" w:w="80"/>
              <w:left w:type="dxa" w:w="100"/>
              <w:bottom w:type="dxa" w:w="80"/>
              <w:right w:type="dxa" w:w="100"/>
            </w:tcMar>
            <w:vAlign w:val="center"/>
          </w:tcPr>
          <w:p>
            <w:pPr>
              <w:jc w:val="left"/>
            </w:pPr>
            <w:r>
              <w:rPr>
                <w:b w:val="false"/>
                <w:bCs w:val="false"/>
                <w:sz w:val="20"/>
                <w:szCs w:val="20"/>
              </w:rPr>
              <w:t xml:space="preserve">Validación de accesos (Odoo, Confluence, Meta Business Manager), inventario de contenido de la wiki, definición de alcance del MVP, arquitectura detallada y estimación de equipo/costos.</w:t>
            </w:r>
          </w:p>
        </w:tc>
      </w:tr>
      <w:tr>
        <w:tc>
          <w:tcPr>
            <w:tcW w:type="dxa" w:w="1500"/>
            <w:shd w:fill="EAF0F8" w:val="clear"/>
            <w:tcMar>
              <w:top w:type="dxa" w:w="80"/>
              <w:left w:type="dxa" w:w="100"/>
              <w:bottom w:type="dxa" w:w="80"/>
              <w:right w:type="dxa" w:w="100"/>
            </w:tcMar>
            <w:vAlign w:val="center"/>
          </w:tcPr>
          <w:p>
            <w:pPr>
              <w:jc w:val="left"/>
            </w:pPr>
            <w:r>
              <w:rPr>
                <w:b w:val="false"/>
                <w:bCs w:val="false"/>
                <w:sz w:val="20"/>
                <w:szCs w:val="20"/>
              </w:rPr>
              <w:t xml:space="preserve">Fase 1 — MVP Soporte</w:t>
            </w:r>
          </w:p>
        </w:tc>
        <w:tc>
          <w:tcPr>
            <w:tcW w:type="dxa" w:w="1900"/>
            <w:shd w:fill="EAF0F8" w:val="clear"/>
            <w:tcMar>
              <w:top w:type="dxa" w:w="80"/>
              <w:left w:type="dxa" w:w="100"/>
              <w:bottom w:type="dxa" w:w="80"/>
              <w:right w:type="dxa" w:w="100"/>
            </w:tcMar>
            <w:vAlign w:val="center"/>
          </w:tcPr>
          <w:p>
            <w:pPr>
              <w:jc w:val="left"/>
            </w:pPr>
            <w:r>
              <w:rPr>
                <w:b w:val="false"/>
                <w:bCs w:val="false"/>
                <w:sz w:val="20"/>
                <w:szCs w:val="20"/>
              </w:rPr>
              <w:t xml:space="preserve">8-10 semanas</w:t>
            </w:r>
          </w:p>
        </w:tc>
        <w:tc>
          <w:tcPr>
            <w:tcW w:type="dxa" w:w="5760"/>
            <w:shd w:fill="EAF0F8" w:val="clear"/>
            <w:tcMar>
              <w:top w:type="dxa" w:w="80"/>
              <w:left w:type="dxa" w:w="100"/>
              <w:bottom w:type="dxa" w:w="80"/>
              <w:right w:type="dxa" w:w="100"/>
            </w:tcMar>
            <w:vAlign w:val="center"/>
          </w:tcPr>
          <w:p>
            <w:pPr>
              <w:jc w:val="left"/>
            </w:pPr>
            <w:r>
              <w:rPr>
                <w:b w:val="false"/>
                <w:bCs w:val="false"/>
                <w:sz w:val="20"/>
                <w:szCs w:val="20"/>
              </w:rPr>
              <w:t xml:space="preserve">Agente de soporte en WhatsApp (RAG sobre Confluence + lectura de tickets Odoo), plataforma web básica (dashboard de conversaciones, configuración de prompts), SSO M365, despliegue dockerizado en staging.</w:t>
            </w:r>
          </w:p>
        </w:tc>
      </w:tr>
      <w:tr>
        <w:tc>
          <w:tcPr>
            <w:tcW w:type="dxa" w:w="1500"/>
            <w:shd w:fill="FFFFFF" w:val="clear"/>
            <w:tcMar>
              <w:top w:type="dxa" w:w="80"/>
              <w:left w:type="dxa" w:w="100"/>
              <w:bottom w:type="dxa" w:w="80"/>
              <w:right w:type="dxa" w:w="100"/>
            </w:tcMar>
            <w:vAlign w:val="center"/>
          </w:tcPr>
          <w:p>
            <w:pPr>
              <w:jc w:val="left"/>
            </w:pPr>
            <w:r>
              <w:rPr>
                <w:b w:val="false"/>
                <w:bCs w:val="false"/>
                <w:sz w:val="20"/>
                <w:szCs w:val="20"/>
              </w:rPr>
              <w:t xml:space="preserve">Fase 2 — Agente Comercial + Cross-sell</w:t>
            </w:r>
          </w:p>
        </w:tc>
        <w:tc>
          <w:tcPr>
            <w:tcW w:type="dxa" w:w="1900"/>
            <w:shd w:fill="FFFFFF" w:val="clear"/>
            <w:tcMar>
              <w:top w:type="dxa" w:w="80"/>
              <w:left w:type="dxa" w:w="100"/>
              <w:bottom w:type="dxa" w:w="80"/>
              <w:right w:type="dxa" w:w="100"/>
            </w:tcMar>
            <w:vAlign w:val="center"/>
          </w:tcPr>
          <w:p>
            <w:pPr>
              <w:jc w:val="left"/>
            </w:pPr>
            <w:r>
              <w:rPr>
                <w:b w:val="false"/>
                <w:bCs w:val="false"/>
                <w:sz w:val="20"/>
                <w:szCs w:val="20"/>
              </w:rPr>
              <w:t xml:space="preserve">8 semanas</w:t>
            </w:r>
          </w:p>
        </w:tc>
        <w:tc>
          <w:tcPr>
            <w:tcW w:type="dxa" w:w="5760"/>
            <w:shd w:fill="FFFFFF" w:val="clear"/>
            <w:tcMar>
              <w:top w:type="dxa" w:w="80"/>
              <w:left w:type="dxa" w:w="100"/>
              <w:bottom w:type="dxa" w:w="80"/>
              <w:right w:type="dxa" w:w="100"/>
            </w:tcMar>
            <w:vAlign w:val="center"/>
          </w:tcPr>
          <w:p>
            <w:pPr>
              <w:jc w:val="left"/>
            </w:pPr>
            <w:r>
              <w:rPr>
                <w:b w:val="false"/>
                <w:bCs w:val="false"/>
                <w:sz w:val="20"/>
                <w:szCs w:val="20"/>
              </w:rPr>
              <w:t xml:space="preserve">Agente comercial integrado a Odoo CRM, motor de políticas para activar venta cruzada dentro de conversaciones de soporte, reportes de conversión.</w:t>
            </w:r>
          </w:p>
        </w:tc>
      </w:tr>
      <w:tr>
        <w:tc>
          <w:tcPr>
            <w:tcW w:type="dxa" w:w="1500"/>
            <w:shd w:fill="EAF0F8" w:val="clear"/>
            <w:tcMar>
              <w:top w:type="dxa" w:w="80"/>
              <w:left w:type="dxa" w:w="100"/>
              <w:bottom w:type="dxa" w:w="80"/>
              <w:right w:type="dxa" w:w="100"/>
            </w:tcMar>
            <w:vAlign w:val="center"/>
          </w:tcPr>
          <w:p>
            <w:pPr>
              <w:jc w:val="left"/>
            </w:pPr>
            <w:r>
              <w:rPr>
                <w:b w:val="false"/>
                <w:bCs w:val="false"/>
                <w:sz w:val="20"/>
                <w:szCs w:val="20"/>
              </w:rPr>
              <w:t xml:space="preserve">Fase 3 — Analítica Avanzada y Escala</w:t>
            </w:r>
          </w:p>
        </w:tc>
        <w:tc>
          <w:tcPr>
            <w:tcW w:type="dxa" w:w="1900"/>
            <w:shd w:fill="EAF0F8" w:val="clear"/>
            <w:tcMar>
              <w:top w:type="dxa" w:w="80"/>
              <w:left w:type="dxa" w:w="100"/>
              <w:bottom w:type="dxa" w:w="80"/>
              <w:right w:type="dxa" w:w="100"/>
            </w:tcMar>
            <w:vAlign w:val="center"/>
          </w:tcPr>
          <w:p>
            <w:pPr>
              <w:jc w:val="left"/>
            </w:pPr>
            <w:r>
              <w:rPr>
                <w:b w:val="false"/>
                <w:bCs w:val="false"/>
                <w:sz w:val="20"/>
                <w:szCs w:val="20"/>
              </w:rPr>
              <w:t xml:space="preserve">Continuo</w:t>
            </w:r>
          </w:p>
        </w:tc>
        <w:tc>
          <w:tcPr>
            <w:tcW w:type="dxa" w:w="5760"/>
            <w:shd w:fill="EAF0F8" w:val="clear"/>
            <w:tcMar>
              <w:top w:type="dxa" w:w="80"/>
              <w:left w:type="dxa" w:w="100"/>
              <w:bottom w:type="dxa" w:w="80"/>
              <w:right w:type="dxa" w:w="100"/>
            </w:tcMar>
            <w:vAlign w:val="center"/>
          </w:tcPr>
          <w:p>
            <w:pPr>
              <w:jc w:val="left"/>
            </w:pPr>
            <w:r>
              <w:rPr>
                <w:b w:val="false"/>
                <w:bCs w:val="false"/>
                <w:sz w:val="20"/>
                <w:szCs w:val="20"/>
              </w:rPr>
              <w:t xml:space="preserve">Dashboards ejecutivos (SLA, NPS conversacional, tasa de conversión), GraphRAG si se justifica por volumen de preguntas cruzadas, evaluación de expansión a otros canales (Teams, web chat) y eventual productización white-label.</w:t>
            </w:r>
          </w:p>
        </w:tc>
      </w:tr>
    </w:tbl>
    <w:p>
      <w:pPr>
        <w:pStyle w:val="Heading1"/>
        <w:spacing w:after="200" w:before="400"/>
      </w:pPr>
      <w:r>
        <w:t xml:space="preserve">9. Unit Economics y Modelo de Monetización</w:t>
      </w:r>
    </w:p>
    <w:p>
      <w:pPr>
        <w:spacing w:after="150"/>
      </w:pPr>
      <w:r>
        <w:t xml:space="preserve">Al ser un proyecto de transformación digital interna (fase 1-2), el modelo económico se mide primero como ahorro/eficiencia, y luego como producto potencialmente comercializable (fase 3).</w:t>
      </w:r>
    </w:p>
    <w:p>
      <w:pPr>
        <w:pStyle w:val="Heading2"/>
        <w:spacing w:after="150" w:before="300"/>
      </w:pPr>
      <w:r>
        <w:t xml:space="preserve">9.1 Estructura de costos variable (por conversación)</w:t>
      </w:r>
    </w:p>
    <w:p>
      <w:pPr>
        <w:pStyle w:val="ListParagraph"/>
        <w:numPr>
          <w:ilvl w:val="0"/>
          <w:numId w:val="2"/>
        </w:numPr>
        <w:spacing w:after="90"/>
      </w:pPr>
      <w:r>
        <w:t xml:space="preserve">Costo de mensajería: WhatsApp Cloud API factura por conversación (ventanas de 24h) según categoría (servicio, marketing, utilidad, autenticación) y país — se debe cotizar directamente con Meta/BSP según volumen proyectado.</w:t>
      </w:r>
    </w:p>
    <w:p>
      <w:pPr>
        <w:pStyle w:val="ListParagraph"/>
        <w:numPr>
          <w:ilvl w:val="0"/>
          <w:numId w:val="2"/>
        </w:numPr>
        <w:spacing w:after="90"/>
      </w:pPr>
      <w:r>
        <w:t xml:space="preserve">Costo de inferencia LLM: variable según proveedor y tokens de contexto (impactado directamente por la eficiencia del RAG — recuperación de mala calidad = más tokens de contexto = mayor costo).</w:t>
      </w:r>
    </w:p>
    <w:p>
      <w:pPr>
        <w:pStyle w:val="ListParagraph"/>
        <w:numPr>
          <w:ilvl w:val="0"/>
          <w:numId w:val="2"/>
        </w:numPr>
        <w:spacing w:after="90"/>
      </w:pPr>
      <w:r>
        <w:t xml:space="preserve">Costo de infraestructura: cómputo (contenedores), Postgres/pgvector, almacenamiento — relativamente fijo, no escala linealmente con el volumen de conversaciones.</w:t>
      </w:r>
    </w:p>
    <w:p>
      <w:pPr>
        <w:pStyle w:val="Heading2"/>
        <w:spacing w:after="150" w:before="300"/>
      </w:pPr>
      <w:r>
        <w:t xml:space="preserve">9.2 Métricas de valor (ahorro/ingreso)</w:t>
      </w:r>
    </w:p>
    <w:p>
      <w:pPr>
        <w:pStyle w:val="ListParagraph"/>
        <w:numPr>
          <w:ilvl w:val="0"/>
          <w:numId w:val="2"/>
        </w:numPr>
        <w:spacing w:after="90"/>
      </w:pPr>
      <w:r>
        <w:t xml:space="preserve">Deflexión de tickets de soporte de primer nivel: referencia de industria 60-75% cuando el agente está bien conectado a documentación y sistemas — traducir a horas-agente ahorradas de Tekus.</w:t>
      </w:r>
    </w:p>
    <w:p>
      <w:pPr>
        <w:pStyle w:val="ListParagraph"/>
        <w:numPr>
          <w:ilvl w:val="0"/>
          <w:numId w:val="2"/>
        </w:numPr>
        <w:spacing w:after="90"/>
      </w:pPr>
      <w:r>
        <w:t xml:space="preserve">Tasa de conversión de cross-sell dentro de hilos de soporte: nueva línea de ingreso incremental, hoy en cero (no existe hoy ningún mecanismo de venta cruzada automatizado en soporte).</w:t>
      </w:r>
    </w:p>
    <w:p>
      <w:pPr>
        <w:pStyle w:val="ListParagraph"/>
        <w:numPr>
          <w:ilvl w:val="0"/>
          <w:numId w:val="2"/>
        </w:numPr>
        <w:spacing w:after="90"/>
      </w:pPr>
      <w:r>
        <w:t xml:space="preserve">Costo por conversación resuelta sin intervención humana vs. costo actual por ticket atendido por agente humano (a validar con datos reales de Odoo Servicio al Cliente en Fase 0).</w:t>
      </w:r>
    </w:p>
    <w:p>
      <w:pPr>
        <w:spacing w:after="150"/>
      </w:pPr>
      <w:r>
        <w:t xml:space="preserve">Nota: las cifras exactas de costo por conversación de Meta y de inferencia LLM deben cotizarse en Fase 0 con datos reales de volumen — se recomienda no fijar el business case sobre supuestos genéricos de internet.</w:t>
      </w:r>
    </w:p>
    <w:p>
      <w:pPr>
        <w:pStyle w:val="Heading1"/>
        <w:spacing w:after="200" w:before="400"/>
      </w:pPr>
      <w:r>
        <w:t xml:space="preserve">10. Métricas SMART de Éxito (a validar en Fase 0)</w:t>
      </w:r>
    </w:p>
    <w:p>
      <w:pPr>
        <w:pStyle w:val="ListParagraph"/>
        <w:numPr>
          <w:ilvl w:val="0"/>
          <w:numId w:val="2"/>
        </w:numPr>
        <w:spacing w:after="90"/>
      </w:pPr>
      <w:r>
        <w:t xml:space="preserve">Reducir en X% el tiempo promedio de primera respuesta de soporte en los primeros 90 días post-lanzamiento del MVP.</w:t>
      </w:r>
    </w:p>
    <w:p>
      <w:pPr>
        <w:pStyle w:val="ListParagraph"/>
        <w:numPr>
          <w:ilvl w:val="0"/>
          <w:numId w:val="2"/>
        </w:numPr>
        <w:spacing w:after="90"/>
      </w:pPr>
      <w:r>
        <w:t xml:space="preserve">Lograr una tasa de deflexión (resolución sin escalar a humano) de al menos X% en consultas de nivel 1 dentro de los primeros 60 días.</w:t>
      </w:r>
    </w:p>
    <w:p>
      <w:pPr>
        <w:pStyle w:val="ListParagraph"/>
        <w:numPr>
          <w:ilvl w:val="0"/>
          <w:numId w:val="2"/>
        </w:numPr>
        <w:spacing w:after="90"/>
      </w:pPr>
      <w:r>
        <w:t xml:space="preserve">Generar al menos N oportunidades comerciales calificadas por mes vía cross-sell conversacional a partir del mes 4.</w:t>
      </w:r>
    </w:p>
    <w:p>
      <w:pPr>
        <w:pStyle w:val="ListParagraph"/>
        <w:numPr>
          <w:ilvl w:val="0"/>
          <w:numId w:val="2"/>
        </w:numPr>
        <w:spacing w:after="90"/>
      </w:pPr>
      <w:r>
        <w:t xml:space="preserve">Mantener una precisión de respuesta auditada (“grounded in source”) superior a X% mediante muestreo mensual de conversaciones.</w:t>
      </w:r>
    </w:p>
    <w:p>
      <w:pPr>
        <w:spacing w:after="150"/>
      </w:pPr>
      <w:r>
        <w:t xml:space="preserve">Los valores de X y N deben fijarse en Fase 0 con línea base real (volumen actual de tickets, tiempos de Odoo Servicio al Cliente) — se dejan como placeholders intencionalmente para no comprometer una meta sin datos.</w:t>
      </w:r>
    </w:p>
    <w:p>
      <w:pPr>
        <w:pStyle w:val="Heading1"/>
        <w:spacing w:after="200" w:before="400"/>
      </w:pPr>
      <w:r>
        <w:t xml:space="preserve">11. Riesgos y Mitigaciones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900"/>
        <w:gridCol w:w="3080"/>
        <w:gridCol w:w="3080"/>
      </w:tblGrid>
      <w:tr>
        <w:tc>
          <w:tcPr>
            <w:tcW w:type="dxa" w:w="2900"/>
            <w:shd w:fill="2E5FA3" w:val="clear"/>
            <w:tcMar>
              <w:top w:type="dxa" w:w="80"/>
              <w:left w:type="dxa" w:w="100"/>
              <w:bottom w:type="dxa" w:w="80"/>
              <w:right w:type="dxa" w:w="100"/>
            </w:tcMar>
            <w:vAlign w:val="center"/>
          </w:tcPr>
          <w:p>
            <w:pPr>
              <w:jc w:val="left"/>
            </w:pPr>
            <w:r>
              <w:rPr>
                <w:b/>
                <w:bCs/>
                <w:color w:val="FFFFFF"/>
                <w:sz w:val="20"/>
                <w:szCs w:val="20"/>
              </w:rPr>
              <w:t xml:space="preserve">Riesgo</w:t>
            </w:r>
          </w:p>
        </w:tc>
        <w:tc>
          <w:tcPr>
            <w:tcW w:type="dxa" w:w="3080"/>
            <w:shd w:fill="2E5FA3" w:val="clear"/>
            <w:tcMar>
              <w:top w:type="dxa" w:w="80"/>
              <w:left w:type="dxa" w:w="100"/>
              <w:bottom w:type="dxa" w:w="80"/>
              <w:right w:type="dxa" w:w="100"/>
            </w:tcMar>
            <w:vAlign w:val="center"/>
          </w:tcPr>
          <w:p>
            <w:pPr>
              <w:jc w:val="left"/>
            </w:pPr>
            <w:r>
              <w:rPr>
                <w:b/>
                <w:bCs/>
                <w:color w:val="FFFFFF"/>
                <w:sz w:val="20"/>
                <w:szCs w:val="20"/>
              </w:rPr>
              <w:t xml:space="preserve">Impacto</w:t>
            </w:r>
          </w:p>
        </w:tc>
        <w:tc>
          <w:tcPr>
            <w:tcW w:type="dxa" w:w="3080"/>
            <w:shd w:fill="2E5FA3" w:val="clear"/>
            <w:tcMar>
              <w:top w:type="dxa" w:w="80"/>
              <w:left w:type="dxa" w:w="100"/>
              <w:bottom w:type="dxa" w:w="80"/>
              <w:right w:type="dxa" w:w="100"/>
            </w:tcMar>
            <w:vAlign w:val="center"/>
          </w:tcPr>
          <w:p>
            <w:pPr>
              <w:jc w:val="left"/>
            </w:pPr>
            <w:r>
              <w:rPr>
                <w:b/>
                <w:bCs/>
                <w:color w:val="FFFFFF"/>
                <w:sz w:val="20"/>
                <w:szCs w:val="20"/>
              </w:rPr>
              <w:t xml:space="preserve">Mitigación</w:t>
            </w:r>
          </w:p>
        </w:tc>
      </w:tr>
      <w:tr>
        <w:tc>
          <w:tcPr>
            <w:tcW w:type="dxa" w:w="2900"/>
            <w:shd w:fill="FFFFFF" w:val="clear"/>
            <w:tcMar>
              <w:top w:type="dxa" w:w="80"/>
              <w:left w:type="dxa" w:w="100"/>
              <w:bottom w:type="dxa" w:w="80"/>
              <w:right w:type="dxa" w:w="100"/>
            </w:tcMar>
            <w:vAlign w:val="center"/>
          </w:tcPr>
          <w:p>
            <w:pPr>
              <w:jc w:val="left"/>
            </w:pPr>
            <w:r>
              <w:rPr>
                <w:b w:val="false"/>
                <w:bCs w:val="false"/>
                <w:sz w:val="20"/>
                <w:szCs w:val="20"/>
              </w:rPr>
              <w:t xml:space="preserve">Contenido de Confluence desactualizado o mal estructurado</w:t>
            </w:r>
          </w:p>
        </w:tc>
        <w:tc>
          <w:tcPr>
            <w:tcW w:type="dxa" w:w="3080"/>
            <w:shd w:fill="FFFFFF" w:val="clear"/>
            <w:tcMar>
              <w:top w:type="dxa" w:w="80"/>
              <w:left w:type="dxa" w:w="100"/>
              <w:bottom w:type="dxa" w:w="80"/>
              <w:right w:type="dxa" w:w="100"/>
            </w:tcMar>
            <w:vAlign w:val="center"/>
          </w:tcPr>
          <w:p>
            <w:pPr>
              <w:jc w:val="left"/>
            </w:pPr>
            <w:r>
              <w:rPr>
                <w:b w:val="false"/>
                <w:bCs w:val="false"/>
                <w:sz w:val="20"/>
                <w:szCs w:val="20"/>
              </w:rPr>
              <w:t xml:space="preserve">Respuestas incorrectas del agente (daño reputacional)</w:t>
            </w:r>
          </w:p>
        </w:tc>
        <w:tc>
          <w:tcPr>
            <w:tcW w:type="dxa" w:w="3080"/>
            <w:shd w:fill="FFFFFF" w:val="clear"/>
            <w:tcMar>
              <w:top w:type="dxa" w:w="80"/>
              <w:left w:type="dxa" w:w="100"/>
              <w:bottom w:type="dxa" w:w="80"/>
              <w:right w:type="dxa" w:w="100"/>
            </w:tcMar>
            <w:vAlign w:val="center"/>
          </w:tcPr>
          <w:p>
            <w:pPr>
              <w:jc w:val="left"/>
            </w:pPr>
            <w:r>
              <w:rPr>
                <w:b w:val="false"/>
                <w:bCs w:val="false"/>
                <w:sz w:val="20"/>
                <w:szCs w:val="20"/>
              </w:rPr>
              <w:t xml:space="preserve">Auditoría de contenido en Fase 0; proceso de curación previo a indexación; trazabilidad de fuente en cada respuesta.</w:t>
            </w:r>
          </w:p>
        </w:tc>
      </w:tr>
      <w:tr>
        <w:tc>
          <w:tcPr>
            <w:tcW w:type="dxa" w:w="2900"/>
            <w:shd w:fill="EAF0F8" w:val="clear"/>
            <w:tcMar>
              <w:top w:type="dxa" w:w="80"/>
              <w:left w:type="dxa" w:w="100"/>
              <w:bottom w:type="dxa" w:w="80"/>
              <w:right w:type="dxa" w:w="100"/>
            </w:tcMar>
            <w:vAlign w:val="center"/>
          </w:tcPr>
          <w:p>
            <w:pPr>
              <w:jc w:val="left"/>
            </w:pPr>
            <w:r>
              <w:rPr>
                <w:b w:val="false"/>
                <w:bCs w:val="false"/>
                <w:sz w:val="20"/>
                <w:szCs w:val="20"/>
              </w:rPr>
              <w:t xml:space="preserve">Bloqueo o suspensión de cuenta de WhatsApp Business por calidad de mensajería</w:t>
            </w:r>
          </w:p>
        </w:tc>
        <w:tc>
          <w:tcPr>
            <w:tcW w:type="dxa" w:w="3080"/>
            <w:shd w:fill="EAF0F8" w:val="clear"/>
            <w:tcMar>
              <w:top w:type="dxa" w:w="80"/>
              <w:left w:type="dxa" w:w="100"/>
              <w:bottom w:type="dxa" w:w="80"/>
              <w:right w:type="dxa" w:w="100"/>
            </w:tcMar>
            <w:vAlign w:val="center"/>
          </w:tcPr>
          <w:p>
            <w:pPr>
              <w:jc w:val="left"/>
            </w:pPr>
            <w:r>
              <w:rPr>
                <w:b w:val="false"/>
                <w:bCs w:val="false"/>
                <w:sz w:val="20"/>
                <w:szCs w:val="20"/>
              </w:rPr>
              <w:t xml:space="preserve">Interrupción total del canal</w:t>
            </w:r>
          </w:p>
        </w:tc>
        <w:tc>
          <w:tcPr>
            <w:tcW w:type="dxa" w:w="3080"/>
            <w:shd w:fill="EAF0F8" w:val="clear"/>
            <w:tcMar>
              <w:top w:type="dxa" w:w="80"/>
              <w:left w:type="dxa" w:w="100"/>
              <w:bottom w:type="dxa" w:w="80"/>
              <w:right w:type="dxa" w:w="100"/>
            </w:tcMar>
            <w:vAlign w:val="center"/>
          </w:tcPr>
          <w:p>
            <w:pPr>
              <w:jc w:val="left"/>
            </w:pPr>
            <w:r>
              <w:rPr>
                <w:b w:val="false"/>
                <w:bCs w:val="false"/>
                <w:sz w:val="20"/>
                <w:szCs w:val="20"/>
              </w:rPr>
              <w:t xml:space="preserve">Cumplir estrictamente ventana de 24h y categorías de plantilla; monitoreo de calidad a nivel de portafolio (exigido por Meta).</w:t>
            </w:r>
          </w:p>
        </w:tc>
      </w:tr>
      <w:tr>
        <w:tc>
          <w:tcPr>
            <w:tcW w:type="dxa" w:w="2900"/>
            <w:shd w:fill="FFFFFF" w:val="clear"/>
            <w:tcMar>
              <w:top w:type="dxa" w:w="80"/>
              <w:left w:type="dxa" w:w="100"/>
              <w:bottom w:type="dxa" w:w="80"/>
              <w:right w:type="dxa" w:w="100"/>
            </w:tcMar>
            <w:vAlign w:val="center"/>
          </w:tcPr>
          <w:p>
            <w:pPr>
              <w:jc w:val="left"/>
            </w:pPr>
            <w:r>
              <w:rPr>
                <w:b w:val="false"/>
                <w:bCs w:val="false"/>
                <w:sz w:val="20"/>
                <w:szCs w:val="20"/>
              </w:rPr>
              <w:t xml:space="preserve">El agente comercial genera fricción en conversaciones de soporte</w:t>
            </w:r>
          </w:p>
        </w:tc>
        <w:tc>
          <w:tcPr>
            <w:tcW w:type="dxa" w:w="3080"/>
            <w:shd w:fill="FFFFFF" w:val="clear"/>
            <w:tcMar>
              <w:top w:type="dxa" w:w="80"/>
              <w:left w:type="dxa" w:w="100"/>
              <w:bottom w:type="dxa" w:w="80"/>
              <w:right w:type="dxa" w:w="100"/>
            </w:tcMar>
            <w:vAlign w:val="center"/>
          </w:tcPr>
          <w:p>
            <w:pPr>
              <w:jc w:val="left"/>
            </w:pPr>
            <w:r>
              <w:rPr>
                <w:b w:val="false"/>
                <w:bCs w:val="false"/>
                <w:sz w:val="20"/>
                <w:szCs w:val="20"/>
              </w:rPr>
              <w:t xml:space="preserve">Percepción negativa de marca, churn</w:t>
            </w:r>
          </w:p>
        </w:tc>
        <w:tc>
          <w:tcPr>
            <w:tcW w:type="dxa" w:w="3080"/>
            <w:shd w:fill="FFFFFF" w:val="clear"/>
            <w:tcMar>
              <w:top w:type="dxa" w:w="80"/>
              <w:left w:type="dxa" w:w="100"/>
              <w:bottom w:type="dxa" w:w="80"/>
              <w:right w:type="dxa" w:w="100"/>
            </w:tcMar>
            <w:vAlign w:val="center"/>
          </w:tcPr>
          <w:p>
            <w:pPr>
              <w:jc w:val="left"/>
            </w:pPr>
            <w:r>
              <w:rPr>
                <w:b w:val="false"/>
                <w:bCs w:val="false"/>
                <w:sz w:val="20"/>
                <w:szCs w:val="20"/>
              </w:rPr>
              <w:t xml:space="preserve">Motor de políticas (guardrails) con reglas conservadoras; piloto controlado antes de rollout general.</w:t>
            </w:r>
          </w:p>
        </w:tc>
      </w:tr>
      <w:tr>
        <w:tc>
          <w:tcPr>
            <w:tcW w:type="dxa" w:w="2900"/>
            <w:shd w:fill="EAF0F8" w:val="clear"/>
            <w:tcMar>
              <w:top w:type="dxa" w:w="80"/>
              <w:left w:type="dxa" w:w="100"/>
              <w:bottom w:type="dxa" w:w="80"/>
              <w:right w:type="dxa" w:w="100"/>
            </w:tcMar>
            <w:vAlign w:val="center"/>
          </w:tcPr>
          <w:p>
            <w:pPr>
              <w:jc w:val="left"/>
            </w:pPr>
            <w:r>
              <w:rPr>
                <w:b w:val="false"/>
                <w:bCs w:val="false"/>
                <w:sz w:val="20"/>
                <w:szCs w:val="20"/>
              </w:rPr>
              <w:t xml:space="preserve">Dependencia de disponibilidad de API de Odoo</w:t>
            </w:r>
          </w:p>
        </w:tc>
        <w:tc>
          <w:tcPr>
            <w:tcW w:type="dxa" w:w="3080"/>
            <w:shd w:fill="EAF0F8" w:val="clear"/>
            <w:tcMar>
              <w:top w:type="dxa" w:w="80"/>
              <w:left w:type="dxa" w:w="100"/>
              <w:bottom w:type="dxa" w:w="80"/>
              <w:right w:type="dxa" w:w="100"/>
            </w:tcMar>
            <w:vAlign w:val="center"/>
          </w:tcPr>
          <w:p>
            <w:pPr>
              <w:jc w:val="left"/>
            </w:pPr>
            <w:r>
              <w:rPr>
                <w:b w:val="false"/>
                <w:bCs w:val="false"/>
                <w:sz w:val="20"/>
                <w:szCs w:val="20"/>
              </w:rPr>
              <w:t xml:space="preserve">Degradación del servicio si Odoo cae</w:t>
            </w:r>
          </w:p>
        </w:tc>
        <w:tc>
          <w:tcPr>
            <w:tcW w:type="dxa" w:w="3080"/>
            <w:shd w:fill="EAF0F8" w:val="clear"/>
            <w:tcMar>
              <w:top w:type="dxa" w:w="80"/>
              <w:left w:type="dxa" w:w="100"/>
              <w:bottom w:type="dxa" w:w="80"/>
              <w:right w:type="dxa" w:w="100"/>
            </w:tcMar>
            <w:vAlign w:val="center"/>
          </w:tcPr>
          <w:p>
            <w:pPr>
              <w:jc w:val="left"/>
            </w:pPr>
            <w:r>
              <w:rPr>
                <w:b w:val="false"/>
                <w:bCs w:val="false"/>
                <w:sz w:val="20"/>
                <w:szCs w:val="20"/>
              </w:rPr>
              <w:t xml:space="preserve">Circuit breakers, respuestas de contingencia, cola de reintentos.</w:t>
            </w:r>
          </w:p>
        </w:tc>
      </w:tr>
    </w:tbl>
    <w:p>
      <w:pPr>
        <w:pStyle w:val="Heading1"/>
        <w:spacing w:after="200" w:before="400"/>
      </w:pPr>
      <w:r>
        <w:t xml:space="preserve">12. Próximos Pasos</w:t>
      </w:r>
    </w:p>
    <w:p>
      <w:pPr>
        <w:pStyle w:val="ListParagraph"/>
        <w:numPr>
          <w:ilvl w:val="0"/>
          <w:numId w:val="2"/>
        </w:numPr>
        <w:spacing w:after="90"/>
      </w:pPr>
      <w:r>
        <w:t xml:space="preserve">Aprobar el inicio de Fase 0 (Discovery) y asignar acceso técnico a Odoo CRM/Servicio, Confluence y Meta Business Manager.</w:t>
      </w:r>
    </w:p>
    <w:p>
      <w:pPr>
        <w:pStyle w:val="ListParagraph"/>
        <w:numPr>
          <w:ilvl w:val="0"/>
          <w:numId w:val="2"/>
        </w:numPr>
        <w:spacing w:after="90"/>
      </w:pPr>
      <w:r>
        <w:t xml:space="preserve">Alinear con Santiago Mejía el alcance de datos de soporte a exponer (Odoo Servicio al Cliente) y con Jaime la arquitectura técnica detallada antes de iniciar desarrollo.</w:t>
      </w:r>
    </w:p>
    <w:p>
      <w:pPr>
        <w:pStyle w:val="ListParagraph"/>
        <w:numPr>
          <w:ilvl w:val="0"/>
          <w:numId w:val="2"/>
        </w:numPr>
        <w:spacing w:after="90"/>
      </w:pPr>
      <w:r>
        <w:t xml:space="preserve">Definir línea base cuantitativa (volumen de tickets, tiempos de respuesta actuales) para fijar las métricas SMART de la sección 10.</w:t>
      </w:r>
    </w:p>
    <w:p>
      <w:pPr>
        <w:pStyle w:val="ListParagraph"/>
        <w:numPr>
          <w:ilvl w:val="0"/>
          <w:numId w:val="2"/>
        </w:numPr>
        <w:spacing w:after="90"/>
      </w:pPr>
      <w:r>
        <w:t xml:space="preserve">Solicitar cotización de Meta/BSP para volumen proyectado de conversaciones, y de proveedor de LLM, para cerrar el unit economics de la sección 9.</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6" w:space="4"/>
      </w:pBdr>
      <w:spacing w:after="180" w:before="360"/>
    </w:pPr>
    <w:rPr>
      <w:rFonts w:ascii="Calibri" w:cs="Calibri" w:eastAsia="Calibri" w:hAnsi="Calibri"/>
      <w:b/>
      <w:bCs/>
      <w:color w:val="1F2A44"/>
      <w:sz w:val="30"/>
      <w:szCs w:val="30"/>
    </w:rPr>
  </w:style>
  <w:style w:type="paragraph" w:styleId="Heading2">
    <w:name w:val="Heading 2"/>
    <w:basedOn w:val="Normal"/>
    <w:next w:val="Normal"/>
    <w:qFormat/>
    <w:pPr>
      <w:spacing w:after="120" w:before="260"/>
    </w:pPr>
    <w:rPr>
      <w:rFonts w:ascii="Calibri" w:cs="Calibri" w:eastAsia="Calibri" w:hAnsi="Calibri"/>
      <w:b/>
      <w:bCs/>
      <w:color w:val="2E5FA3"/>
      <w:sz w:val="25"/>
      <w:szCs w:val="25"/>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B3092220576C946914C589C5ACF9C80" ma:contentTypeVersion="3" ma:contentTypeDescription="Crear nuevo documento." ma:contentTypeScope="" ma:versionID="345e7f8c5e5584dc1b159aac48bc3ed2">
  <xsd:schema xmlns:xsd="http://www.w3.org/2001/XMLSchema" xmlns:xs="http://www.w3.org/2001/XMLSchema" xmlns:p="http://schemas.microsoft.com/office/2006/metadata/properties" xmlns:ns2="553c17ae-935c-43d3-a6bf-8dea8f252c3b" targetNamespace="http://schemas.microsoft.com/office/2006/metadata/properties" ma:root="true" ma:fieldsID="26c60fcd9eb7e169379b41f5d3602161" ns2:_="">
    <xsd:import namespace="553c17ae-935c-43d3-a6bf-8dea8f252c3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3c17ae-935c-43d3-a6bf-8dea8f252c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D9E55F-F5A8-4417-BEDD-C06FA5CCB140}"/>
</file>

<file path=customXml/itemProps2.xml><?xml version="1.0" encoding="utf-8"?>
<ds:datastoreItem xmlns:ds="http://schemas.openxmlformats.org/officeDocument/2006/customXml" ds:itemID="{0E66FCD6-1A18-44E7-A4A0-7E503D09586B}"/>
</file>

<file path=customXml/itemProps3.xml><?xml version="1.0" encoding="utf-8"?>
<ds:datastoreItem xmlns:ds="http://schemas.openxmlformats.org/officeDocument/2006/customXml" ds:itemID="{AC69F4B9-3BF3-493F-BCA4-A78B7C8308E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2026-07-12T13:28:53Z</dcterms:created>
  <dcterms:modified xsi:type="dcterms:W3CDTF">2026-07-12T13:28:53Z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0x0101004B3092220576C946914C589C5ACF9C80</vt:lpwstr>
  </property>
</Properties>
</file>