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6B4A"/>
          <w:sz w:val="40"/>
          <w:szCs w:val="40"/>
        </w:rPr>
        <w:t xml:space="preserve">FAIXA VIVA</w:t>
      </w:r>
    </w:p>
    <w:p>
      <w:pPr>
        <w:spacing w:after="60"/>
      </w:pPr>
      <w:r>
        <w:rPr>
          <w:color w:val="1C1B15"/>
          <w:sz w:val="24"/>
          <w:szCs w:val="24"/>
        </w:rPr>
        <w:t xml:space="preserve">Monitoramento inteligente da faixa de domínio</w:t>
      </w:r>
    </w:p>
    <w:p>
      <w:pPr>
        <w:spacing w:after="240"/>
      </w:pPr>
      <w:r>
        <w:rPr>
          <w:i/>
          <w:iCs/>
          <w:color w:val="565948"/>
          <w:sz w:val="18"/>
          <w:szCs w:val="18"/>
        </w:rPr>
        <w:t xml:space="preserve">Proposta técnica — Desafio de Inovação Motiva  ·  agosto de 2026</w:t>
      </w:r>
    </w:p>
    <w:p>
      <w:pPr>
        <w:pBdr>
          <w:bottom w:val="single" w:color="D8DACB" w:sz="6" w:space="1"/>
        </w:pBdr>
        <w:spacing w:after="200" w:before="60"/>
      </w:pPr>
      <w:r>
        <w:t xml:space="preserve"/>
      </w:r>
    </w:p>
    <w:p>
      <w:pPr>
        <w:pStyle w:val="Heading1"/>
        <w:spacing w:after="140" w:before="320"/>
      </w:pPr>
      <w:r>
        <w:t xml:space="preserve">O desafio</w:t>
      </w:r>
    </w:p>
    <w:p>
      <w:pPr>
        <w:spacing w:after="140" w:line="300"/>
      </w:pPr>
      <w:r>
        <w:rPr>
          <w:color w:val="1C1B15"/>
          <w:sz w:val="22"/>
          <w:szCs w:val="22"/>
        </w:rPr>
        <w:t xml:space="preserve">A gestão de áreas verdes exige informações atualizadas sobre o estado da vegetação, o histórico de intervenções e as prioridades de manutenção. Para uma concessionária rodoviária, isso significa manter a faixa de domínio — acostamentos, taludes, entorno de sinalização e dispositivos de drenagem — sob controle contínuo, sem depender de vistorias visuais esporádicas ou de um calendário fixo de roçada que trata todos os trechos como se tivessem o mesmo risco.</w:t>
      </w:r>
    </w:p>
    <w:p>
      <w:pPr>
        <w:pStyle w:val="Heading1"/>
        <w:spacing w:after="140" w:before="320"/>
      </w:pPr>
      <w:r>
        <w:t xml:space="preserve">A solução: Faixa Viva</w:t>
      </w:r>
    </w:p>
    <w:p>
      <w:pPr>
        <w:spacing w:after="140" w:line="300"/>
      </w:pPr>
      <w:r>
        <w:rPr>
          <w:color w:val="1C1B15"/>
          <w:sz w:val="22"/>
          <w:szCs w:val="22"/>
        </w:rPr>
        <w:t xml:space="preserve">Uma plataforma de monitoramento contínuo da vegetação na faixa de domínio, que combina visão computacional, sensoriamento remoto e um modelo de priorização para indicar onde, quando e por que intervir — substituindo o cronograma fixo de roçada por um cronograma orientado por risco real.</w:t>
      </w:r>
    </w:p>
    <w:p>
      <w:pPr>
        <w:spacing w:after="140" w:line="300"/>
      </w:pPr>
      <w:r>
        <w:rPr>
          <w:color w:val="1C1B15"/>
          <w:sz w:val="22"/>
          <w:szCs w:val="22"/>
        </w:rPr>
        <w:t>A proposta é ancorada em um ativo real e recente: a Fernão Dias (BR-381), 569 km assumidos pela Motiva em abril de 2026, com um pacote de R$ 14,8 bilhões em investimentos já anunciado — incluindo 108 km de faixas adicionais e vias marginais novas (mais taludes recém-terraplenados exigindo controle de erosão) e câmeras de detecção automática, previstas para entrar em operação em até 24 meses. O protótipo interativo (link ao final deste documento) já roda sobre um trecho inicial real da rodovia — 87 km com posições em km e coordenadas extraídas do OpenStreetMap (relação BR-381 via Overpass API), divididos em 13 trechos —, demonstrando a lógica de ponta a ponta sobre geografia real, não apenas simulada.</w:t>
      </w:r>
    </w:p>
    <w:p>
      <w:pPr>
        <w:spacing w:after="140" w:line="300"/>
      </w:pPr>
      <w:r>
        <w:rPr>
          <w:color w:val="1C1B15"/>
          <w:sz w:val="22"/>
          <w:szCs w:val="22"/>
        </w:rPr>
        <w:t>Para mostrar que a lógica generaliza — e não foi calibrada só para um caso —, o mesmo protótipo permite alternar para dois outros corredores da Motiva com perfis de risco bem diferentes: a Autoban (SP-330/SP-348, 316,8 km), um corredor urbano de alto tráfego onde o risco predominante é visibilidade em interseções, com um trecho real de 58,4 km mapeado pela Rodovia dos Bandeirantes; e a Motiva Paraná (BR-369/373/376, 569 km), que desce a Serra do Mar até o Porto de Paranaguá e por isso concentra risco de erosão em taludes íngremes, com um trecho real de 14,6 km mapeado na própria descida da serra — ambos com geometria real do OpenStreetMap, não apenas a Fernão Dias. Em cada trecho crítico ou em atenção, o protótipo também permite emitir uma ordem de serviço simulada — com número, prazo por severidade, envio ao aplicativo de campo e confirmação de conclusão pela equipe —, demonstrando o ciclo completo, da detecção até o despacho e o fechamento.</w:t>
      </w:r>
    </w:p>
    <w:p>
      <w:pPr>
        <w:pStyle w:val="Heading1"/>
        <w:spacing w:after="140" w:before="320"/>
      </w:pPr>
      <w:r>
        <w:t xml:space="preserve">Como funciona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Captura — acostamento: </w:t>
      </w:r>
      <w:r>
        <w:rPr>
          <w:color w:val="1C1B15"/>
          <w:sz w:val="22"/>
          <w:szCs w:val="22"/>
        </w:rPr>
        <w:t xml:space="preserve">visão computacional sobre as câmeras de detecção automática já previstas no pacote de investimento da Fernão Dias. É a fonte principal onde a leitura precisa ser em escala métrica — curvas e trechos de sinalização — e o hardware já vai estar instalado por outro motivo, sem custo adicional.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Captura — talude e contexto amplo: </w:t>
      </w:r>
      <w:r>
        <w:rPr>
          <w:color w:val="1C1B15"/>
          <w:sz w:val="22"/>
          <w:szCs w:val="22"/>
        </w:rPr>
        <w:t>imagens gratuitas do Sentinel-2 (Copernicus/ESA), com revisita de ~5 dias, complementadas por voos de drone programados em trechos sem cobertura de câmera, pontes e viadutos. Já implementado neste protótipo para os 5 trechos de talude mapeados da Fernão Dias — os valores de cobertura vegetal exibidos nesses trechos vêm de NDVI real, não de simulação (ver seção "Dados reais já verificados").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Processamento — </w:t>
      </w:r>
      <w:r>
        <w:rPr>
          <w:color w:val="1C1B15"/>
          <w:sz w:val="22"/>
          <w:szCs w:val="22"/>
        </w:rPr>
        <w:t xml:space="preserve">conversão da leitura de câmera/índice espectral em métrica operacional por trecho: altura estimada de vegetação em acostamentos, percentual de cobertura vegetal em taludes.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Detecção — </w:t>
      </w:r>
      <w:r>
        <w:rPr>
          <w:color w:val="1C1B15"/>
          <w:sz w:val="22"/>
          <w:szCs w:val="22"/>
        </w:rPr>
        <w:t xml:space="preserve">comparação contínua contra limites operacionais de referência, com recalibração automática da linha de base após cada roçada registrada. O ponto central do modelo é que o risco tem sentidos opostos conforme o tipo de trecho: em acostamento, vegetação alta demais é o problema (visibilidade, incêndio, drenagem); em talude, é vegetação baixa demais (perda de contenção, risco de erosão).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Priorização — </w:t>
      </w:r>
      <w:r>
        <w:rPr>
          <w:color w:val="1C1B15"/>
          <w:sz w:val="22"/>
          <w:szCs w:val="22"/>
        </w:rPr>
        <w:t xml:space="preserve">score de urgência combina a magnitude do desvio, a velocidade de crescimento ou perda de cobertura, e a criticidade do local (curvas, sinalização, pontes).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Entrega — </w:t>
      </w:r>
      <w:r>
        <w:rPr>
          <w:color w:val="1C1B15"/>
          <w:sz w:val="22"/>
          <w:szCs w:val="22"/>
        </w:rPr>
        <w:t xml:space="preserve">alertas no painel do Centro de Controle Operacional (CCO) e no aplicativo das equipes de campo, com o km exato e o motivo do alerta, gerando automaticamente uma ordem de serviço com prazo sugerido por severidade (crítico ou atenção).</w:t>
      </w:r>
    </w:p>
    <w:p>
      <w:pPr>
        <w:pStyle w:val="Heading1"/>
        <w:spacing w:after="140" w:before="320"/>
      </w:pPr>
      <w:r>
        <w:t xml:space="preserve">Diferencial técnico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Reaproveita investimento já comprometido — </w:t>
      </w:r>
      <w:r>
        <w:rPr>
          <w:color w:val="1C1B15"/>
          <w:sz w:val="22"/>
          <w:szCs w:val="22"/>
        </w:rPr>
        <w:t xml:space="preserve">em vez de propor um novo sensor, o Faixa Viva roda sobre as câmeras de detecção automática que a Fernão Dias já vai instalar nos próximos 24 meses. Isso muda o projeto de “pedido de investimento em hardware” para “software sobre um ativo já orçado”.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Lógica dupla de risco — </w:t>
      </w:r>
      <w:r>
        <w:rPr>
          <w:color w:val="1C1B15"/>
          <w:sz w:val="22"/>
          <w:szCs w:val="22"/>
        </w:rPr>
        <w:t xml:space="preserve">a maioria das ferramentas de NDVI trata “queda do índice” como sinal de alerta universal. Em faixa de domínio isso é só metade do problema: o modelo aqui precisa reconhecer quando é o crescimento, não a queda, que indica risco.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Resolução adequada ao objeto — </w:t>
      </w:r>
      <w:r>
        <w:rPr>
          <w:color w:val="1C1B15"/>
          <w:sz w:val="22"/>
          <w:szCs w:val="22"/>
        </w:rPr>
        <w:t xml:space="preserve">câmera para a escala métrica do acostamento, satélite gratuito onde a escala permite (talude, contexto) — evitando tanto o custo de sobre-especificar quanto o erro de subestimar a resolução necessária.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Priorização sazonal automática — </w:t>
      </w:r>
      <w:r>
        <w:rPr>
          <w:color w:val="1C1B15"/>
          <w:sz w:val="22"/>
          <w:szCs w:val="22"/>
        </w:rPr>
        <w:t xml:space="preserve">no período de estiagem (jun.–out.), trechos com carga de vegetação seca são automaticamente priorizados por risco de incêndio, sem necessidade de ajuste manual do cronograma.</w:t>
      </w:r>
    </w:p>
    <w:p>
      <w:pPr>
        <w:pStyle w:val="Heading1"/>
        <w:spacing w:after="140" w:before="320"/>
      </w:pPr>
      <w:r>
        <w:t xml:space="preserve">Por que segurança pesa tanto quanto economia</w:t>
      </w:r>
    </w:p>
    <w:p>
      <w:pPr>
        <w:spacing w:after="140" w:line="300"/>
      </w:pPr>
      <w:r>
        <w:rPr>
          <w:color w:val="1C1B15"/>
          <w:sz w:val="22"/>
          <w:szCs w:val="22"/>
        </w:rPr>
        <w:t xml:space="preserve">Vegetação obstruindo sinalização é um risco já reconhecido judicialmente no setor rodoviário: em 2022, o DNIT foi condenado a indenizar em R$ 180 mil famílias de vítimas de um acidente na BR-267 (Rio Brilhante/MS) em que a perícia apontou falta de sinalização e visibilidade adequadas entre os fatores contribuintes. Reduzir esse risco na faixa de domínio é, portanto, tanto uma questão de segurança viária quanto de exposição contratual e jurídica para a concessionária — não apenas economia operacional.</w:t>
      </w:r>
    </w:p>
    <w:p>
      <w:pPr>
        <w:pStyle w:val="Heading1"/>
        <w:spacing w:after="140" w:before="320"/>
      </w:pPr>
      <w:r>
        <w:t xml:space="preserve">Impacto esperado (simulação do trecho piloto)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caps/>
                <w:color w:val="888C74"/>
                <w:sz w:val="16"/>
                <w:szCs w:val="16"/>
              </w:rPr>
              <w:t xml:space="preserve">EXTENSÃO MONITORADA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C1B15"/>
                <w:sz w:val="26"/>
                <w:szCs w:val="26"/>
              </w:rPr>
              <w:t>87 km</w:t>
            </w:r>
          </w:p>
          <w:p>
            <w:r>
              <w:rPr>
                <w:color w:val="565948"/>
                <w:sz w:val="16"/>
                <w:szCs w:val="16"/>
              </w:rPr>
              <w:t xml:space="preserve">13 trechos · revisão a cada 5 dias</w:t>
            </w:r>
          </w:p>
        </w:tc>
        <w:tc>
          <w:tcPr>
            <w:tcW w:type="dxa" w:w="2500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caps/>
                <w:color w:val="888C74"/>
                <w:sz w:val="16"/>
                <w:szCs w:val="16"/>
              </w:rPr>
              <w:t xml:space="preserve">TRECHOS EM ALERTA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C1B15"/>
                <w:sz w:val="26"/>
                <w:szCs w:val="26"/>
              </w:rPr>
              <w:t>4 de 13</w:t>
            </w:r>
          </w:p>
          <w:p>
            <w:r>
              <w:rPr>
                <w:color w:val="565948"/>
                <w:sz w:val="16"/>
                <w:szCs w:val="16"/>
              </w:rPr>
              <w:t>31% da extensão monitorada</w:t>
            </w:r>
          </w:p>
        </w:tc>
      </w:tr>
      <w:tr>
        <w:tc>
          <w:tcPr>
            <w:tcW w:type="dxa" w:w="2500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caps/>
                <w:color w:val="888C74"/>
                <w:sz w:val="16"/>
                <w:szCs w:val="16"/>
              </w:rPr>
              <w:t xml:space="preserve">ROÇADAS EVITADAS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C1B15"/>
                <w:sz w:val="26"/>
                <w:szCs w:val="26"/>
              </w:rPr>
              <w:t xml:space="preserve">~58%</w:t>
            </w:r>
          </w:p>
          <w:p>
            <w:r>
              <w:rPr>
                <w:color w:val="565948"/>
                <w:sz w:val="16"/>
                <w:szCs w:val="16"/>
              </w:rPr>
              <w:t xml:space="preserve">vs. cronograma fixo mensal</w:t>
            </w:r>
          </w:p>
        </w:tc>
        <w:tc>
          <w:tcPr>
            <w:tcW w:type="dxa" w:w="2500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caps/>
                <w:color w:val="888C74"/>
                <w:sz w:val="16"/>
                <w:szCs w:val="16"/>
              </w:rPr>
              <w:t xml:space="preserve">ECONOMIA ESTIMADA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C1B15"/>
                <w:sz w:val="26"/>
                <w:szCs w:val="26"/>
              </w:rPr>
              <w:t>~R$ 548 mil/ano</w:t>
            </w:r>
          </w:p>
          <w:p>
            <w:r>
              <w:rPr>
                <w:color w:val="565948"/>
                <w:sz w:val="16"/>
                <w:szCs w:val="16"/>
              </w:rPr>
              <w:t xml:space="preserve">trecho piloto · valor ilustrativo</w:t>
            </w:r>
          </w:p>
        </w:tc>
      </w:tr>
    </w:tbl>
    <w:p>
      <w:pPr>
        <w:spacing w:after="200" w:before="140"/>
      </w:pPr>
      <w:r>
        <w:rPr>
          <w:i/>
          <w:iCs/>
          <w:color w:val="888C74"/>
          <w:sz w:val="18"/>
          <w:szCs w:val="18"/>
        </w:rPr>
        <w:t xml:space="preserve">Valores de referência ilustrativos, gerados a partir de dados simulados para fins de demonstração — a validar com dados reais de campo e custos operacionais da concessionária.</w:t>
      </w:r>
    </w:p>
    <w:p>
      <w:pPr>
        <w:pStyle w:val="Heading1"/>
        <w:spacing w:after="140" w:before="320"/>
      </w:pPr>
      <w:r>
        <w:t xml:space="preserve">Economia estimada por escala</w:t>
      </w:r>
    </w:p>
    <w:p>
      <w:pPr>
        <w:spacing w:after="140" w:line="300"/>
      </w:pPr>
      <w:r>
        <w:rPr>
          <w:color w:val="1C1B15"/>
          <w:sz w:val="22"/>
          <w:szCs w:val="22"/>
        </w:rPr>
        <w:t xml:space="preserve">A mesma lógica de custo (roçada por cronograma fixo vs. orientada por dados) projetada em três escalas de referência: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600"/>
      </w:tblGrid>
      <w:tr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5F6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888C74"/>
                <w:sz w:val="19"/>
                <w:szCs w:val="19"/>
              </w:rPr>
              <w:t xml:space="preserve">ESCALA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5F6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888C74"/>
                <w:sz w:val="19"/>
                <w:szCs w:val="19"/>
              </w:rPr>
              <w:t xml:space="preserve">EXTENSÃO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5F6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888C74"/>
                <w:sz w:val="19"/>
                <w:szCs w:val="19"/>
              </w:rPr>
              <w:t xml:space="preserve">ECONOMIA ESTIMADA/ANO</w:t>
            </w:r>
          </w:p>
        </w:tc>
      </w:tr>
      <w:tr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C1B15"/>
                <w:sz w:val="19"/>
                <w:szCs w:val="19"/>
              </w:rPr>
              <w:t xml:space="preserve">Trecho piloto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B15"/>
                <w:sz w:val="19"/>
                <w:szCs w:val="19"/>
              </w:rPr>
              <w:t>87 km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B4A"/>
                <w:sz w:val="19"/>
                <w:szCs w:val="19"/>
              </w:rPr>
              <w:t>R$ 548 mil/ano</w:t>
            </w:r>
          </w:p>
        </w:tc>
      </w:tr>
      <w:tr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C1B15"/>
                <w:sz w:val="19"/>
                <w:szCs w:val="19"/>
              </w:rPr>
              <w:t xml:space="preserve">Fernão Dias completa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B15"/>
                <w:sz w:val="19"/>
                <w:szCs w:val="19"/>
              </w:rPr>
              <w:t xml:space="preserve">569 km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B4A"/>
                <w:sz w:val="19"/>
                <w:szCs w:val="19"/>
              </w:rPr>
              <w:t xml:space="preserve">R$ 3,6 milhões/ano</w:t>
            </w:r>
          </w:p>
        </w:tc>
      </w:tr>
      <w:tr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C1B15"/>
                <w:sz w:val="19"/>
                <w:szCs w:val="19"/>
              </w:rPr>
              <w:t xml:space="preserve">Malha Motiva (referência)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1B15"/>
                <w:sz w:val="19"/>
                <w:szCs w:val="19"/>
              </w:rPr>
              <w:t xml:space="preserve">~3.000 km</w:t>
            </w:r>
          </w:p>
        </w:tc>
        <w:tc>
          <w:tcPr>
            <w:tcW w:type="dxa" w:w="1667"/>
            <w:tcBorders>
              <w:top w:val="single" w:color="D8DACB" w:sz="2"/>
              <w:left w:val="single" w:color="D8DACB" w:sz="2"/>
              <w:bottom w:val="single" w:color="D8DACB" w:sz="2"/>
              <w:right w:val="single" w:color="D8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B4A"/>
                <w:sz w:val="19"/>
                <w:szCs w:val="19"/>
              </w:rPr>
              <w:t xml:space="preserve">R$ 18,9 milhões/ano</w:t>
            </w:r>
          </w:p>
        </w:tc>
      </w:tr>
    </w:tbl>
    <w:p>
      <w:pPr>
        <w:spacing w:after="200" w:before="140"/>
      </w:pPr>
      <w:r>
        <w:rPr>
          <w:i/>
          <w:iCs/>
          <w:color w:val="888C74"/>
          <w:sz w:val="18"/>
          <w:szCs w:val="18"/>
        </w:rPr>
        <w:t xml:space="preserve">Baseado numa diferença de custo de referência de R$ 6.300/km/ano entre cronograma fixo (12 roçadas/ano) e orientado por dados (~5 roçadas/ano) — valores ilustrativos, a calibrar com custos reais da concessionária.</w:t>
      </w:r>
    </w:p>
    <w:p>
      <w:pPr>
        <w:pStyle w:val="Heading1"/>
        <w:spacing w:after="140" w:before="320"/>
      </w:pPr>
      <w:r>
        <w:t xml:space="preserve">Como se integra à operação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Reaproveita infraestrutura já prevista — </w:t>
      </w:r>
      <w:r>
        <w:rPr>
          <w:color w:val="1C1B15"/>
          <w:sz w:val="22"/>
          <w:szCs w:val="22"/>
        </w:rPr>
        <w:t xml:space="preserve">usa as câmeras de detecção automática já no pacote de investimento da Fernão Dias, sem hardware adicional para os acostamentos.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Centro de Controle Operacional — </w:t>
      </w:r>
      <w:r>
        <w:rPr>
          <w:color w:val="1C1B15"/>
          <w:sz w:val="22"/>
          <w:szCs w:val="22"/>
        </w:rPr>
        <w:t xml:space="preserve">alertas geolocalizados por km chegam ao CCO no mesmo fluxo hoje usado para tráfego e incidentes.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Evidência para auditorias — </w:t>
      </w:r>
      <w:r>
        <w:rPr>
          <w:color w:val="1C1B15"/>
          <w:sz w:val="22"/>
          <w:szCs w:val="22"/>
        </w:rPr>
        <w:t xml:space="preserve">registro automático de antes/depois por trecho apoia a comprovação do cumprimento das obrigações contratuais de manutenção da faixa de domínio junto ao órgão concedente.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Escala de equipes por risco — </w:t>
      </w:r>
      <w:r>
        <w:rPr>
          <w:color w:val="1C1B15"/>
          <w:sz w:val="22"/>
          <w:szCs w:val="22"/>
        </w:rPr>
        <w:t xml:space="preserve">conservação e roçada priorizadas pelo risco real do trecho, não por um calendário fixo.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Aplicativo de campo — </w:t>
      </w:r>
      <w:r>
        <w:rPr>
          <w:color w:val="1C1B15"/>
          <w:sz w:val="22"/>
          <w:szCs w:val="22"/>
        </w:rPr>
        <w:t xml:space="preserve">equipes recebem o km exato a tratar e o motivo do alerta, sem depender de inspeção visual prévia.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Uso racional de recursos — </w:t>
      </w:r>
      <w:r>
        <w:rPr>
          <w:color w:val="1C1B15"/>
          <w:sz w:val="22"/>
          <w:szCs w:val="22"/>
        </w:rPr>
        <w:t xml:space="preserve">apoia metas de sustentabilidade ao reduzir deslocamento, combustível e insumos de revegetação.</w:t>
      </w:r>
    </w:p>
    <w:p>
      <w:pPr>
        <w:pStyle w:val="Heading1"/>
        <w:spacing w:after="140" w:before="320"/>
      </w:pPr>
      <w:r>
        <w:t xml:space="preserve">Alinhamento com reconhecimento já buscado pela Motiva</w:t>
      </w:r>
    </w:p>
    <w:p>
      <w:pPr>
        <w:spacing w:after="140" w:line="300"/>
      </w:pPr>
      <w:r>
        <w:rPr>
          <w:color w:val="1C1B15"/>
          <w:sz w:val="22"/>
          <w:szCs w:val="22"/>
        </w:rPr>
        <w:t xml:space="preserve">A CCR RioSP foi reconhecida no Prêmio ANTT de Sustentabilidade Ambiental 2025, com o projeto “ReTrilhos – Sustentabilidade em Movimento”. O Faixa Viva foi desenhado para ser um candidato natural a esse mesmo tipo de reconhecimento em futuras edições — não é uma ferramenta genérica de NDVI, é uma resposta direta a uma obrigação contratual que a concessionária já tem (zelar pela integridade da faixa de domínio) e a um ativo que ela já está construindo (as câmeras da Fernão Dias).</w:t>
      </w:r>
    </w:p>
    <w:p>
      <w:pPr>
        <w:pStyle w:val="Heading1"/>
        <w:spacing w:after="140" w:before="320"/>
      </w:pPr>
      <w:r>
        <w:t xml:space="preserve">Riscos e mitigação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Cobertura de nuvens — </w:t>
      </w:r>
      <w:r>
        <w:rPr>
          <w:color w:val="1C1B15"/>
          <w:sz w:val="22"/>
          <w:szCs w:val="22"/>
        </w:rPr>
        <w:t xml:space="preserve">pode atrasar uma leitura de satélite; mitigado pela revisita de ~5 dias e pela cobertura complementar de câmera nos trechos mais críticos.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Falso alerta pós-roçada — </w:t>
      </w:r>
      <w:r>
        <w:rPr>
          <w:color w:val="1C1B15"/>
          <w:sz w:val="22"/>
          <w:szCs w:val="22"/>
        </w:rPr>
        <w:t xml:space="preserve">corrigido pela recalibração automática de linha de base a cada intervenção registrada.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Integração com o CCO — </w:t>
      </w:r>
      <w:r>
        <w:rPr>
          <w:color w:val="1C1B15"/>
          <w:sz w:val="22"/>
          <w:szCs w:val="22"/>
        </w:rPr>
        <w:t xml:space="preserve">exige mapear o formato de alerta já em uso; mitigado começando com um piloto de escopo reduzido antes da integração completa.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Custo de calibração inicial — </w:t>
      </w:r>
      <w:r>
        <w:rPr>
          <w:color w:val="1C1B15"/>
          <w:sz w:val="22"/>
          <w:szCs w:val="22"/>
        </w:rPr>
        <w:t>dos limites operacionais (altura, cobertura) por tipo de solo e vegetação; mitigado validando com o time de conservação local no MVP, antes de escalar. Isso já apareceu na prática: ao plugar NDVI real do Sentinel-2 nos 5 taludes mapeados da Fernão Dias, o limiar de 50% calibrado para as curvas sintéticas teria sinalizado a maioria dos trechos como alerta — cobertura vegetal real de talude rodoviário fica tipicamente entre 40–70%, faixa mais estreita do que a assumida inicialmente. O protótipo já roda com um limiar de escalada recalibrado para essa métrica, deixado explícito na tela — a calibração final é exatamente o trabalho a validar com a concessionária no MVP.</w:t>
      </w:r>
    </w:p>
    <w:p>
      <w:pPr>
        <w:pStyle w:val="Heading1"/>
        <w:spacing w:after="140" w:before="320"/>
      </w:pPr>
      <w:r>
        <w:t xml:space="preserve">Dados reais já verificados</w:t>
      </w:r>
    </w:p>
    <w:p>
      <w:pPr>
        <w:spacing w:after="140" w:line="300"/>
      </w:pPr>
      <w:r>
        <w:rPr>
          <w:color w:val="1C1B15"/>
          <w:sz w:val="22"/>
          <w:szCs w:val="22"/>
        </w:rPr>
        <w:t>Nem todo dado deste protótipo é simulado — e essa fração real cresceu desde a primeira versão desta proposta. Cinco categorias de dado já são reais, verificáveis e citadas com fonte, não apenas planejadas: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Hidrossemeadura — </w:t>
      </w:r>
      <w:r>
        <w:rPr>
          <w:color w:val="1C1B15"/>
          <w:sz w:val="22"/>
          <w:szCs w:val="22"/>
        </w:rPr>
        <w:t xml:space="preserve">R$ 7,05/m² (composição 4413905), a ação recomendada para todo trecho com risco de erosão em talude no protótipo.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Preenchimento de erosão em talude com terra vegetal e sementes — </w:t>
      </w:r>
      <w:r>
        <w:rPr>
          <w:color w:val="1C1B15"/>
          <w:sz w:val="22"/>
          <w:szCs w:val="22"/>
        </w:rPr>
        <w:t xml:space="preserve">R$ 505,28/m³ (composição 4413012), para os casos mais críticos.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color w:val="1C1B15"/>
          <w:sz w:val="22"/>
        </w:rPr>
        <w:t xml:space="preserve">Geometria real de rodovia — </w:t>
      </w:r>
      <w:r>
        <w:rPr>
          <w:b w:val="0"/>
          <w:color w:val="1C1B15"/>
          <w:sz w:val="22"/>
        </w:rPr>
        <w:t>posições em km e coordenadas de todos os 36 trechos mapeados nas 3 rodovias (13 na Fernão Dias, 11 na Autoban, 12 na Motiva Paraná) vêm da relação de cada rodovia no OpenStreetMap, via Overpass API — não são mais números redondos arbitrários. Cada trecho do protótipo tem um link "Ver coordenada real no mapa" que abre a localização exata.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color w:val="1C1B15"/>
          <w:sz w:val="22"/>
        </w:rPr>
        <w:t xml:space="preserve">NDVI real via satélite — </w:t>
      </w:r>
      <w:r>
        <w:rPr>
          <w:b w:val="0"/>
          <w:color w:val="1C1B15"/>
          <w:sz w:val="22"/>
        </w:rPr>
        <w:t>os 5 trechos de talude da Fernão Dias, mais um ponto de referência na Autoban e na Motiva Paraná, têm cobertura vegetal calculada a partir de NDVI real do Sentinel-2 L2A, obtido via Copernicus Data Space Ecosystem (Statistical API) para a coordenada exata de cada trecho — não é mais só um número simulado com semente fixa.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color w:val="1C1B15"/>
          <w:sz w:val="22"/>
        </w:rPr>
        <w:t xml:space="preserve">Imagens de satélite reais — </w:t>
      </w:r>
      <w:r>
        <w:rPr>
          <w:b w:val="0"/>
          <w:color w:val="1C1B15"/>
          <w:sz w:val="22"/>
        </w:rPr>
        <w:t>o protótipo traz uma galeria com 4 imagens Sentinel-2 reais (RGB verdadeiro), uma de cada rodovia/trecho, cada uma com um toggle para alternar para a mesma cena renderizada por NDVI (verde = cobertura densa, marrom = solo exposto). Não são câmeras ao vivo — a Fernão Dias ainda não tem câmera instalada — mas são a passagem de satélite mais recente e sem nuvens disponível para aquele ponto exato.</w:t>
      </w:r>
    </w:p>
    <w:p>
      <w:pPr>
        <w:spacing w:after="140" w:line="300"/>
      </w:pPr>
      <w:r>
        <w:rPr>
          <w:color w:val="1C1B15"/>
          <w:sz w:val="22"/>
          <w:szCs w:val="22"/>
        </w:rPr>
        <w:t>O custo de roçada mecanizada em si (código SICRO 3.S.08.901.00, medido em ha, com referência de ~3,6 ha por km de rodovia) existe na mesma tabela, mas não foi possível extrair o valor vigente pela ferramenta de busca gratuita usada nesta pesquisa — segue como o próximo número a confirmar antes de fechar a proposta. Para contornar essa lacuna no protótipo, o painel "Manutenção fixa vs. orientada por dados" tem um campo editável de custo por roçada, para que o avaliador digite o valor real pago pela Motiva e veja a economia recalculada na hora, em vez de depender só do número de referência ilustrativo.</w:t>
      </w:r>
    </w:p>
    <w:p>
      <w:pPr>
        <w:pStyle w:val="Heading1"/>
        <w:spacing w:after="140" w:before="320"/>
      </w:pPr>
      <w:r>
        <w:t xml:space="preserve">Roadmap de execução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Fase 1 — MVP (0–2 meses): </w:t>
      </w:r>
      <w:r>
        <w:rPr>
          <w:color w:val="1C1B15"/>
          <w:sz w:val="22"/>
          <w:szCs w:val="22"/>
        </w:rPr>
        <w:t xml:space="preserve">validar a detecção com dados reais de câmera/drone num primeiro trecho da Fernão Dias, calibrando os limites operacionais de referência (altura, cobertura) com o time de conservação.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Fase 2 — Piloto (2–6 meses): </w:t>
      </w:r>
      <w:r>
        <w:rPr>
          <w:color w:val="1C1B15"/>
          <w:sz w:val="22"/>
          <w:szCs w:val="22"/>
        </w:rPr>
        <w:t xml:space="preserve">expandir para ~100 km da Fernão Dias, integrar os alertas ao CCO e ao aplicativo de campo, e medir a economia real de roçadas frente à estimativa simulada.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1C1B15"/>
          <w:sz w:val="22"/>
          <w:szCs w:val="22"/>
        </w:rPr>
        <w:t xml:space="preserve">Fase 3 — Escala (6–12 meses): </w:t>
      </w:r>
      <w:r>
        <w:rPr>
          <w:color w:val="1C1B15"/>
          <w:sz w:val="22"/>
          <w:szCs w:val="22"/>
        </w:rPr>
        <w:t xml:space="preserve">estender o modelo para o restante da Fernão Dias e demais concessões da malha Motiva, automatizando a geração de ordens de serviço para as equipes de conservação.</w:t>
      </w:r>
    </w:p>
    <w:p>
      <w:pPr>
        <w:pStyle w:val="Heading1"/>
        <w:spacing w:after="140" w:before="320"/>
      </w:pPr>
      <w:r>
        <w:t xml:space="preserve">Protótipo interativo</w:t>
      </w:r>
    </w:p>
    <w:p>
      <w:pPr>
        <w:spacing w:after="140" w:line="300"/>
      </w:pPr>
      <w:r>
        <w:rPr>
          <w:color w:val="1C1B15"/>
          <w:sz w:val="22"/>
          <w:szCs w:val="22"/>
        </w:rPr>
        <w:t>O protótipo completo — com mapa de trechos sobre geometria real, série temporal por segmento (real nos taludes da Fernão Dias, via NDVI/Sentinel-2), galeria de imagens de satélite reais com toggle para índice de vegetação, priorização de intervenções, emissão e conclusão de ordem de serviço com app de campo, exportação de relatório de conformidade, custo de roçada editável, alternância entre os três corredores da Motiva e simulador de economia por escala — está disponível em:</w:t>
      </w:r>
    </w:p>
    <w:p>
      <w:pPr>
        <w:spacing w:after="200"/>
      </w:pPr>
      <w:r>
        <w:rPr>
          <w:color w:val="2C6B4A"/>
          <w:u w:val="single"/>
        </w:rPr>
        <w:t>https://faixa-viva.vercel.app</w:t>
      </w:r>
    </w:p>
    <w:p>
      <w:pPr>
        <w:pStyle w:val="Heading1"/>
        <w:spacing w:after="140" w:before="320"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Ministério dos Transportes / ANTT — transferência da Fernão Dias à Motiva, pacote de R$ 14,8 bi (mar. 2026).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Motiva Minas_SP — notícia de início de operação da Fernão Dias, 569 km, câmeras de detecção automática em até 24 meses (abr. 2026).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Rodovias administradas pela Motiva — extensão total da malha (~3.000 km).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CCR RioSP — Faixa de Domínio da Rodovia; reconhecimento no Prêmio ANTT de Sustentabilidade Ambiental 2025.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Campo Grande News — DNIT condenado a indenizar em R$ 180 mil famílias de vítimas de acidente na BR-267 por falta de sinalização (2022).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C1B15"/>
          <w:sz w:val="22"/>
          <w:szCs w:val="22"/>
        </w:rPr>
        <w:t xml:space="preserve">Buscador SICRO (DNIT) — tabela de custos referenciais SP, referência Abr/2026, categoria Revegetação.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0"/>
          <w:color w:val="1C1B15"/>
          <w:sz w:val="22"/>
        </w:rPr>
        <w:t>Copernicus Data Space Ecosystem (ESA) — API estatística e de processamento Sentinel-2 L2A, usada para extrair NDVI real e imagens de satélite reais das coordenadas de cada trecho mapeado (mai.–jul. 2026).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0"/>
          <w:color w:val="1C1B15"/>
          <w:sz w:val="22"/>
        </w:rPr>
        <w:t>OpenStreetMap / Overpass API — geometria real (posições em km, coordenadas, estruturas como o Túnel Mata Fria na Fernão Dias) das 3 rodovias mapeadas no protótipo, sob licença ODbL.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C6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C1B1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2026-08-10T13:43:01.276Z</dcterms:created>
  <dcterms:modified xsi:type="dcterms:W3CDTF">2026-08-10T13:43:01.280Z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