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Projeto do Software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Neste capítulo será apresentado as principais telas do protótipo do sistema, sendo elas, a tela principal do sistema, sendo o cartão de visita do projeto. Página de perfil do usuário, onde deve mostrar informações importantes sobre o usuário. A página de pesquisas, onde será pesquisado sobre o vagas e usuários e por fim a tela de detalhes sobre a vaga.</w:t>
      </w:r>
    </w:p>
    <w:p w:rsidR="00000000" w:rsidDel="00000000" w:rsidP="00000000" w:rsidRDefault="00000000" w:rsidRPr="00000000" w14:paraId="00000003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Protótipo das telas</w:t>
      </w:r>
    </w:p>
    <w:p w:rsidR="00000000" w:rsidDel="00000000" w:rsidP="00000000" w:rsidRDefault="00000000" w:rsidRPr="00000000" w14:paraId="00000004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Baixa Fidelidade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As telas de protótipos de baixa fidelidade foram criadas utilizando a ferramenta </w:t>
      </w:r>
      <w:r w:rsidDel="00000000" w:rsidR="00000000" w:rsidRPr="00000000">
        <w:rPr>
          <w:i w:val="1"/>
          <w:rtl w:val="0"/>
        </w:rPr>
        <w:t xml:space="preserve">figma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2330" cy="5829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Página principal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63427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Detalhes da vaga</w:t>
      </w:r>
      <w:r w:rsidDel="00000000" w:rsidR="00000000" w:rsidRPr="00000000">
        <w:rPr/>
        <w:drawing>
          <wp:inline distB="114300" distT="114300" distL="114300" distR="114300">
            <wp:extent cx="5942330" cy="5676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Perfil do usuário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2330" cy="4229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Página de pesquisas</w:t>
      </w:r>
    </w:p>
    <w:p w:rsidR="00000000" w:rsidDel="00000000" w:rsidP="00000000" w:rsidRDefault="00000000" w:rsidRPr="00000000" w14:paraId="0000000B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Alta Fidelidade</w:t>
      </w:r>
    </w:p>
    <w:p w:rsidR="00000000" w:rsidDel="00000000" w:rsidP="00000000" w:rsidRDefault="00000000" w:rsidRPr="00000000" w14:paraId="0000000C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O protótipo de alta fidelidade foi criado utilizando </w:t>
      </w:r>
      <w:r w:rsidDel="00000000" w:rsidR="00000000" w:rsidRPr="00000000">
        <w:rPr>
          <w:i w:val="1"/>
          <w:rtl w:val="0"/>
        </w:rPr>
        <w:t xml:space="preserve">angular</w:t>
      </w:r>
      <w:r w:rsidDel="00000000" w:rsidR="00000000" w:rsidRPr="00000000">
        <w:rPr>
          <w:rtl w:val="0"/>
        </w:rPr>
        <w:t xml:space="preserve">, com </w:t>
      </w:r>
      <w:r w:rsidDel="00000000" w:rsidR="00000000" w:rsidRPr="00000000">
        <w:rPr>
          <w:i w:val="1"/>
          <w:rtl w:val="0"/>
        </w:rPr>
        <w:t xml:space="preserve">bootstrap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2330" cy="33401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Página principal</w:t>
      </w:r>
      <w:r w:rsidDel="00000000" w:rsidR="00000000" w:rsidRPr="00000000">
        <w:rPr/>
        <w:drawing>
          <wp:inline distB="114300" distT="114300" distL="114300" distR="114300">
            <wp:extent cx="5942330" cy="2832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Detalhes de vagas</w:t>
      </w:r>
      <w:r w:rsidDel="00000000" w:rsidR="00000000" w:rsidRPr="00000000">
        <w:rPr/>
        <w:drawing>
          <wp:inline distB="114300" distT="114300" distL="114300" distR="114300">
            <wp:extent cx="594233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Perfil dos usuário</w:t>
      </w:r>
      <w:r w:rsidDel="00000000" w:rsidR="00000000" w:rsidRPr="00000000">
        <w:rPr/>
        <w:drawing>
          <wp:inline distB="114300" distT="114300" distL="114300" distR="114300">
            <wp:extent cx="5942330" cy="3340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Página de pesquisa</w:t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Arquitetura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Arquitetura do Projeto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Tecnologias: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Typescript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Angular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Bootstrap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Docker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Jasmine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Será utilizada a ideia de Single Page Application para criação de toda a parte do Frontend, esse estilo consiste nos seguintes padrões de desenvolvimento: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Construir aplicações inteiramente contidas no browser que não façam requisições de novas páginas no servidor na teoria não existe um recarregamento da página, apenas a renderização de um outro componente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Conteúdo pode ser obtido de forma dinâmica por requisições Ajax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Foi utilizado o framework Angular que possui diversas ferramentas que auxiliam a criação de uma SPA, em conjunto será utilizado o framework Jasmine para criação dos testes unitários relacionados ao frontend.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 aplicação será responsiva fornecendo uma melhor experiência para os usuários em diferentes resoluções de dispositivos.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Tecnologias: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 Java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 Spring Framework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Project Reactor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 PostgreSQL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Docker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 Kubernetes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Ambassador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 Consul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 projeto utilizará containers para ajudar o deploy em ambientes cloud por permitir que toda a aplicação e suas dependências sejam facilmente executadas, além disso possibilita a escalabilidade da aplicação adicionando ou removendo novos containers de maneira rápida.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 backend utilizará a arquitetura de </w:t>
      </w:r>
      <w:r w:rsidDel="00000000" w:rsidR="00000000" w:rsidRPr="00000000">
        <w:rPr>
          <w:i w:val="1"/>
          <w:rtl w:val="0"/>
        </w:rPr>
        <w:t xml:space="preserve">microservice</w:t>
      </w:r>
      <w:r w:rsidDel="00000000" w:rsidR="00000000" w:rsidRPr="00000000">
        <w:rPr>
          <w:rtl w:val="0"/>
        </w:rPr>
        <w:t xml:space="preserve">, na qual a aplicação será distribuída em serviços específicos para cada parte do domínio. Cada serviço será conteinerizado utilizando Docker.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Para a criação dos serviços foi escolhido o Spring Framework que possui bons mecanismos para a criação de um </w:t>
      </w:r>
      <w:r w:rsidDel="00000000" w:rsidR="00000000" w:rsidRPr="00000000">
        <w:rPr>
          <w:i w:val="1"/>
          <w:rtl w:val="0"/>
        </w:rPr>
        <w:t xml:space="preserve">microservice</w:t>
      </w:r>
      <w:r w:rsidDel="00000000" w:rsidR="00000000" w:rsidRPr="00000000">
        <w:rPr>
          <w:rtl w:val="0"/>
        </w:rPr>
        <w:t xml:space="preserve"> como, Spring Boot para a criação de APIs rapidamente, Spring Data para o acesso a banco de dados,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Spring Cloud para uma melhor integração com Docker, Kubernetes e Consul.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 banco de dados escolhido foi o PostgreSQL por possuir boa performance e segurança, outra vantagem é o possibilidade de utilizar JSON no banco.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Para garantir um funcionamento do backend será utilizado o Kubernetes para fazer a orquestração de todos os containers da aplicação, de modo que a aplicação consiga atingir escalabilidade e disponibilidade.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Kubernetes vai consistir em Cluster rodando todos os containers da aplicação, para acesso aos pods do cluster será utilizado o Ambassador que funciona como um Ingress Controller nativo do Kubernetes, esse mecanismo é responsável por receber todas as requisições e averiguar se existe a permissão de acesso ao cluster e redirecionar ele para o serviço correto.</w:t>
      </w:r>
    </w:p>
    <w:p w:rsidR="00000000" w:rsidDel="00000000" w:rsidP="00000000" w:rsidRDefault="00000000" w:rsidRPr="00000000" w14:paraId="0000003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3340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Realização de Casos de Uso</w:t>
      </w:r>
    </w:p>
    <w:p w:rsidR="00000000" w:rsidDel="00000000" w:rsidP="00000000" w:rsidRDefault="00000000" w:rsidRPr="00000000" w14:paraId="00000039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146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1765300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0066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1082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0066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19685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0066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0066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1727200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006600"/>
            <wp:effectExtent b="0" l="0" r="0" t="0"/>
            <wp:docPr id="1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260600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2330" cy="20066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0000ff"/>
        </w:rPr>
      </w:pPr>
      <w:r w:rsidDel="00000000" w:rsidR="00000000" w:rsidRPr="00000000">
        <w:rPr>
          <w:rtl w:val="0"/>
        </w:rPr>
        <w:t xml:space="preserve">Considerações Finais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>
          <w:rtl w:val="0"/>
        </w:rPr>
        <w:t xml:space="preserve">Até o presente momento, foi feita a contextualização e problematização referente a busca de candidatos para vagas de emprego. Para tanto, buscou-se realizar análise de contexto extraindo informações relevantes de profissionais de mercado que pudessem apoiar e definição dos objetivos deste trabalho.</w:t>
      </w:r>
    </w:p>
    <w:p w:rsidR="00000000" w:rsidDel="00000000" w:rsidP="00000000" w:rsidRDefault="00000000" w:rsidRPr="00000000" w14:paraId="0000005B">
      <w:pPr>
        <w:spacing w:after="0" w:lineRule="auto"/>
        <w:rPr/>
      </w:pPr>
      <w:r w:rsidDel="00000000" w:rsidR="00000000" w:rsidRPr="00000000">
        <w:rPr>
          <w:rtl w:val="0"/>
        </w:rPr>
        <w:t xml:space="preserve">A partir destes estudos e da definição da tecnologia a ser empregada no trabalho, foi iniciado o detalhamento dos requisitos, descrição que deverão ser utilizadas para entregar de forma consistente e estável a aplicação. criando um MVP (Minimun Viable Product - Mínimo Produto Viável)  que possui as telas principais da aplicação.</w:t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>
          <w:rtl w:val="0"/>
        </w:rPr>
        <w:t xml:space="preserve">Em implementações futuras serão incluídos recursos como a videoconferência, proporcionando melhor interação entre as personas da aplicação. Neste sentido, também serão incluídos outros recursos como comunicação via chat.</w:t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000ff"/>
        </w:rPr>
        <w:sectPr>
          <w:headerReference r:id="rId27" w:type="default"/>
          <w:headerReference r:id="rId28" w:type="first"/>
          <w:footerReference r:id="rId29" w:type="default"/>
          <w:pgSz w:h="16840" w:w="11907"/>
          <w:pgMar w:bottom="1134" w:top="1701" w:left="1418" w:right="1134" w:header="1134" w:footer="0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1"/>
        </w:numPr>
        <w:spacing w:after="0" w:lineRule="auto"/>
        <w:ind w:left="431" w:hanging="431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066">
      <w:pPr>
        <w:pStyle w:val="Heading1"/>
        <w:rPr>
          <w:b w:val="0"/>
          <w:color w:val="0000ff"/>
          <w:sz w:val="24"/>
          <w:szCs w:val="24"/>
        </w:rPr>
      </w:pPr>
      <w:bookmarkStart w:colFirst="0" w:colLast="0" w:name="_4d34og8" w:id="7"/>
      <w:bookmarkEnd w:id="7"/>
      <w:r w:rsidDel="00000000" w:rsidR="00000000" w:rsidRPr="00000000">
        <w:rPr>
          <w:b w:val="0"/>
          <w:color w:val="0000ff"/>
          <w:sz w:val="24"/>
          <w:szCs w:val="24"/>
          <w:rtl w:val="0"/>
        </w:rPr>
        <w:t xml:space="preserve">Colocar somente referências relevantes para o desenvolvimento do trabalho e para embasamento teórico.</w:t>
      </w:r>
      <w:r w:rsidDel="00000000" w:rsidR="00000000" w:rsidRPr="00000000">
        <w:rPr>
          <w:rtl w:val="0"/>
        </w:rPr>
      </w:r>
    </w:p>
    <w:sectPr>
      <w:type w:val="continuous"/>
      <w:pgSz w:h="16840" w:w="11907"/>
      <w:pgMar w:bottom="1134" w:top="1701" w:left="1418" w:right="1134" w:header="1134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4275"/>
      </w:tabs>
      <w:spacing w:after="0" w:before="0" w:line="36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120" w:before="0" w:line="36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120" w:before="0" w:line="360" w:lineRule="auto"/>
      <w:ind w:left="0" w:right="36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120" w:before="0" w:line="36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cs="Times New Roman" w:eastAsia="Times New Roman" w:hAnsi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cs="Times New Roman" w:eastAsia="Times New Roman" w:hAnsi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cs="Times New Roman" w:eastAsia="Times New Roman" w:hAnsi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cs="Times New Roman" w:eastAsia="Times New Roman" w:hAnsi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cs="Times New Roman" w:eastAsia="Times New Roman" w:hAnsi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cs="Times New Roman" w:eastAsia="Times New Roman" w:hAnsi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Times New Roman" w:cs="Times New Roman" w:eastAsia="Times New Roman" w:hAnsi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cs="Times New Roman" w:eastAsia="Times New Roman" w:hAnsi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Times New Roman" w:cs="Times New Roman" w:eastAsia="Times New Roman" w:hAnsi="Times New Roman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12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0" w:line="240" w:lineRule="auto"/>
      <w:ind w:left="432" w:hanging="432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480" w:line="240" w:lineRule="auto"/>
      <w:ind w:left="432" w:hanging="432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0" w:line="240" w:lineRule="auto"/>
      <w:ind w:left="432" w:hanging="432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600" w:before="200" w:line="240" w:lineRule="auto"/>
      <w:ind w:left="432" w:hanging="432"/>
    </w:pPr>
    <w:rPr>
      <w:b w:val="0"/>
      <w:i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  <w:ind w:left="1008" w:hanging="1008"/>
    </w:pPr>
    <w:rPr>
      <w:rFonts w:ascii="Cambria" w:cs="Cambria" w:eastAsia="Cambria" w:hAnsi="Cambria"/>
    </w:rPr>
  </w:style>
  <w:style w:type="paragraph" w:styleId="Heading6">
    <w:name w:val="heading 6"/>
    <w:basedOn w:val="Normal"/>
    <w:next w:val="Normal"/>
    <w:pPr>
      <w:keepNext w:val="1"/>
      <w:tabs>
        <w:tab w:val="left" w:pos="3402"/>
      </w:tabs>
      <w:ind w:left="1152" w:hanging="1152"/>
    </w:pPr>
    <w:rPr>
      <w:b w:val="1"/>
    </w:rPr>
  </w:style>
  <w:style w:type="paragraph" w:styleId="Title">
    <w:name w:val="Title"/>
    <w:basedOn w:val="Normal"/>
    <w:next w:val="Normal"/>
    <w:pPr>
      <w:tabs>
        <w:tab w:val="left" w:pos="2340"/>
      </w:tabs>
      <w:ind w:firstLine="709"/>
      <w:jc w:val="center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2.jpg"/><Relationship Id="rId21" Type="http://schemas.openxmlformats.org/officeDocument/2006/relationships/image" Target="media/image11.jpg"/><Relationship Id="rId24" Type="http://schemas.openxmlformats.org/officeDocument/2006/relationships/image" Target="media/image20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.jpg"/><Relationship Id="rId25" Type="http://schemas.openxmlformats.org/officeDocument/2006/relationships/image" Target="media/image14.jp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footer" Target="footer1.xml"/><Relationship Id="rId7" Type="http://schemas.openxmlformats.org/officeDocument/2006/relationships/image" Target="media/image18.png"/><Relationship Id="rId8" Type="http://schemas.openxmlformats.org/officeDocument/2006/relationships/image" Target="media/image12.png"/><Relationship Id="rId11" Type="http://schemas.openxmlformats.org/officeDocument/2006/relationships/image" Target="media/image8.png"/><Relationship Id="rId10" Type="http://schemas.openxmlformats.org/officeDocument/2006/relationships/image" Target="media/image21.png"/><Relationship Id="rId13" Type="http://schemas.openxmlformats.org/officeDocument/2006/relationships/image" Target="media/image17.png"/><Relationship Id="rId12" Type="http://schemas.openxmlformats.org/officeDocument/2006/relationships/image" Target="media/image9.png"/><Relationship Id="rId15" Type="http://schemas.openxmlformats.org/officeDocument/2006/relationships/image" Target="media/image6.jpg"/><Relationship Id="rId14" Type="http://schemas.openxmlformats.org/officeDocument/2006/relationships/image" Target="media/image5.jpg"/><Relationship Id="rId17" Type="http://schemas.openxmlformats.org/officeDocument/2006/relationships/image" Target="media/image16.jpg"/><Relationship Id="rId16" Type="http://schemas.openxmlformats.org/officeDocument/2006/relationships/image" Target="media/image19.jpg"/><Relationship Id="rId19" Type="http://schemas.openxmlformats.org/officeDocument/2006/relationships/image" Target="media/image15.jpg"/><Relationship Id="rId1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