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DFAEE5" w14:textId="18D795D0" w:rsidR="00AC15CB" w:rsidRPr="00AC15CB" w:rsidRDefault="00AC15CB" w:rsidP="00AC15CB">
      <w:pPr>
        <w:jc w:val="center"/>
        <w:rPr>
          <w:b/>
          <w:bCs/>
        </w:rPr>
      </w:pPr>
      <w:r>
        <w:rPr>
          <w:noProof/>
        </w:rPr>
        <w:drawing>
          <wp:inline distT="0" distB="0" distL="0" distR="0" wp14:anchorId="44025D57" wp14:editId="29C3B43D">
            <wp:extent cx="3289300" cy="2192745"/>
            <wp:effectExtent l="0" t="0" r="0" b="0"/>
            <wp:docPr id="251836970" name="Picture 1" descr="Download University of Bristol Logo in SVG Vector or PNG File Forma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ownload University of Bristol Logo in SVG Vector or PNG File Format ..."/>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295727" cy="2197029"/>
                    </a:xfrm>
                    <a:prstGeom prst="rect">
                      <a:avLst/>
                    </a:prstGeom>
                    <a:noFill/>
                    <a:ln>
                      <a:noFill/>
                    </a:ln>
                  </pic:spPr>
                </pic:pic>
              </a:graphicData>
            </a:graphic>
          </wp:inline>
        </w:drawing>
      </w:r>
    </w:p>
    <w:p w14:paraId="7B453D96" w14:textId="77777777" w:rsidR="00AC15CB" w:rsidRPr="003A3970" w:rsidRDefault="00AC15CB" w:rsidP="00AC15CB">
      <w:pPr>
        <w:jc w:val="center"/>
        <w:rPr>
          <w:b/>
          <w:bCs/>
          <w:sz w:val="44"/>
          <w:szCs w:val="44"/>
        </w:rPr>
      </w:pPr>
      <w:r w:rsidRPr="003A3970">
        <w:rPr>
          <w:b/>
          <w:bCs/>
          <w:sz w:val="44"/>
          <w:szCs w:val="44"/>
        </w:rPr>
        <w:t>University of Bristol</w:t>
      </w:r>
    </w:p>
    <w:p w14:paraId="2A589EC0" w14:textId="3CB5613B" w:rsidR="00AC15CB" w:rsidRDefault="00AC15CB" w:rsidP="00AC15CB">
      <w:pPr>
        <w:jc w:val="center"/>
        <w:rPr>
          <w:b/>
          <w:bCs/>
          <w:sz w:val="44"/>
          <w:szCs w:val="44"/>
        </w:rPr>
      </w:pPr>
      <w:r>
        <w:rPr>
          <w:b/>
          <w:bCs/>
          <w:sz w:val="44"/>
          <w:szCs w:val="44"/>
        </w:rPr>
        <w:t>Msc. Bioinformatics</w:t>
      </w:r>
    </w:p>
    <w:p w14:paraId="1B5ECF73" w14:textId="5307C7AE" w:rsidR="00AC15CB" w:rsidRPr="003A3970" w:rsidRDefault="00AC15CB" w:rsidP="00AC15CB">
      <w:pPr>
        <w:jc w:val="center"/>
        <w:rPr>
          <w:b/>
          <w:bCs/>
          <w:sz w:val="44"/>
          <w:szCs w:val="44"/>
        </w:rPr>
      </w:pPr>
      <w:r>
        <w:rPr>
          <w:b/>
          <w:bCs/>
          <w:sz w:val="44"/>
          <w:szCs w:val="44"/>
        </w:rPr>
        <w:br/>
        <w:t>Supervisor: Maria Sachkova</w:t>
      </w:r>
    </w:p>
    <w:p w14:paraId="596140FA" w14:textId="5CD9567B" w:rsidR="00AC15CB" w:rsidRDefault="00AC15CB" w:rsidP="00AC15CB">
      <w:pPr>
        <w:jc w:val="center"/>
        <w:rPr>
          <w:b/>
          <w:bCs/>
          <w:sz w:val="44"/>
          <w:szCs w:val="44"/>
        </w:rPr>
      </w:pPr>
    </w:p>
    <w:p w14:paraId="24CEFDF3" w14:textId="34B07425" w:rsidR="00AC15CB" w:rsidRPr="003A3970" w:rsidRDefault="00AC15CB" w:rsidP="00AC15CB">
      <w:pPr>
        <w:jc w:val="center"/>
        <w:rPr>
          <w:b/>
          <w:bCs/>
          <w:sz w:val="44"/>
          <w:szCs w:val="44"/>
        </w:rPr>
      </w:pPr>
      <w:r>
        <w:rPr>
          <w:b/>
          <w:bCs/>
          <w:sz w:val="44"/>
          <w:szCs w:val="44"/>
        </w:rPr>
        <w:t>11</w:t>
      </w:r>
      <w:r w:rsidRPr="003A3970">
        <w:rPr>
          <w:b/>
          <w:bCs/>
          <w:sz w:val="44"/>
          <w:szCs w:val="44"/>
          <w:vertAlign w:val="superscript"/>
        </w:rPr>
        <w:t>th</w:t>
      </w:r>
      <w:r w:rsidRPr="003A3970">
        <w:rPr>
          <w:b/>
          <w:bCs/>
          <w:sz w:val="44"/>
          <w:szCs w:val="44"/>
        </w:rPr>
        <w:t xml:space="preserve"> </w:t>
      </w:r>
      <w:r>
        <w:rPr>
          <w:b/>
          <w:bCs/>
          <w:sz w:val="44"/>
          <w:szCs w:val="44"/>
        </w:rPr>
        <w:t>May</w:t>
      </w:r>
      <w:r w:rsidRPr="003A3970">
        <w:rPr>
          <w:b/>
          <w:bCs/>
          <w:sz w:val="44"/>
          <w:szCs w:val="44"/>
        </w:rPr>
        <w:t xml:space="preserve"> 202</w:t>
      </w:r>
      <w:r>
        <w:rPr>
          <w:b/>
          <w:bCs/>
          <w:sz w:val="44"/>
          <w:szCs w:val="44"/>
        </w:rPr>
        <w:t>6</w:t>
      </w:r>
    </w:p>
    <w:p w14:paraId="33F110B8" w14:textId="77777777" w:rsidR="00AC15CB" w:rsidRPr="003A3970" w:rsidRDefault="00AC15CB" w:rsidP="00AC15CB">
      <w:pPr>
        <w:jc w:val="center"/>
        <w:rPr>
          <w:b/>
          <w:bCs/>
          <w:sz w:val="44"/>
          <w:szCs w:val="44"/>
        </w:rPr>
      </w:pPr>
    </w:p>
    <w:p w14:paraId="38C48B03" w14:textId="77777777" w:rsidR="00AC15CB" w:rsidRPr="00AC15CB" w:rsidRDefault="00AC15CB" w:rsidP="00AC15CB">
      <w:pPr>
        <w:jc w:val="center"/>
        <w:rPr>
          <w:b/>
          <w:bCs/>
          <w:sz w:val="40"/>
          <w:szCs w:val="40"/>
        </w:rPr>
      </w:pPr>
      <w:r w:rsidRPr="00AC15CB">
        <w:rPr>
          <w:b/>
          <w:bCs/>
          <w:sz w:val="40"/>
          <w:szCs w:val="40"/>
        </w:rPr>
        <w:t>Prediction of neuropeptide - receptor pairs in the nervous system of evolutionary ancient Ctenophora</w:t>
      </w:r>
    </w:p>
    <w:p w14:paraId="29A35ADE" w14:textId="77777777" w:rsidR="00AC15CB" w:rsidRPr="003A3970" w:rsidRDefault="00AC15CB" w:rsidP="00AC15CB">
      <w:pPr>
        <w:jc w:val="center"/>
        <w:rPr>
          <w:b/>
          <w:bCs/>
          <w:sz w:val="44"/>
          <w:szCs w:val="44"/>
        </w:rPr>
      </w:pPr>
    </w:p>
    <w:p w14:paraId="7AE1D056" w14:textId="77777777" w:rsidR="00AC15CB" w:rsidRPr="003A3970" w:rsidRDefault="00AC15CB" w:rsidP="00AC15CB">
      <w:pPr>
        <w:jc w:val="center"/>
        <w:rPr>
          <w:b/>
          <w:bCs/>
          <w:sz w:val="44"/>
          <w:szCs w:val="44"/>
        </w:rPr>
      </w:pPr>
      <w:r w:rsidRPr="003A3970">
        <w:rPr>
          <w:b/>
          <w:bCs/>
          <w:sz w:val="44"/>
          <w:szCs w:val="44"/>
        </w:rPr>
        <w:t>Leonardo</w:t>
      </w:r>
      <w:r>
        <w:rPr>
          <w:b/>
          <w:bCs/>
          <w:sz w:val="44"/>
          <w:szCs w:val="44"/>
        </w:rPr>
        <w:t xml:space="preserve"> Lenin</w:t>
      </w:r>
      <w:r w:rsidRPr="003A3970">
        <w:rPr>
          <w:b/>
          <w:bCs/>
          <w:sz w:val="44"/>
          <w:szCs w:val="44"/>
        </w:rPr>
        <w:t xml:space="preserve"> Rosas</w:t>
      </w:r>
      <w:r>
        <w:rPr>
          <w:b/>
          <w:bCs/>
          <w:sz w:val="44"/>
          <w:szCs w:val="44"/>
        </w:rPr>
        <w:t xml:space="preserve"> Godinez. 2594060</w:t>
      </w:r>
    </w:p>
    <w:p w14:paraId="3D1F77E7" w14:textId="77777777" w:rsidR="00AC15CB" w:rsidRDefault="00AC15CB" w:rsidP="00435C7D">
      <w:pPr>
        <w:jc w:val="both"/>
        <w:rPr>
          <w:b/>
          <w:bCs/>
        </w:rPr>
      </w:pPr>
    </w:p>
    <w:p w14:paraId="06852677" w14:textId="77777777" w:rsidR="00AC15CB" w:rsidRDefault="00AC15CB" w:rsidP="00435C7D">
      <w:pPr>
        <w:jc w:val="both"/>
        <w:rPr>
          <w:b/>
          <w:bCs/>
        </w:rPr>
      </w:pPr>
    </w:p>
    <w:p w14:paraId="441C2303" w14:textId="77777777" w:rsidR="00AC15CB" w:rsidRDefault="00AC15CB" w:rsidP="00435C7D">
      <w:pPr>
        <w:jc w:val="both"/>
        <w:rPr>
          <w:b/>
          <w:bCs/>
        </w:rPr>
      </w:pPr>
    </w:p>
    <w:p w14:paraId="50E4FCD0" w14:textId="6928FCE6" w:rsidR="00AE4EE7" w:rsidRPr="00E632ED" w:rsidRDefault="00AE4EE7" w:rsidP="00E632ED">
      <w:pPr>
        <w:spacing w:line="360" w:lineRule="auto"/>
        <w:jc w:val="center"/>
        <w:rPr>
          <w:rFonts w:ascii="Arial" w:hAnsi="Arial" w:cs="Arial"/>
          <w:b/>
          <w:bCs/>
          <w:sz w:val="22"/>
          <w:szCs w:val="22"/>
        </w:rPr>
      </w:pPr>
      <w:r w:rsidRPr="00E632ED">
        <w:rPr>
          <w:rFonts w:ascii="Arial" w:hAnsi="Arial" w:cs="Arial"/>
          <w:b/>
          <w:bCs/>
          <w:sz w:val="22"/>
          <w:szCs w:val="22"/>
        </w:rPr>
        <w:lastRenderedPageBreak/>
        <w:t>Abstract</w:t>
      </w:r>
    </w:p>
    <w:p w14:paraId="7072F4B5" w14:textId="75D44DA4" w:rsidR="007B57D3" w:rsidRPr="00E632ED" w:rsidRDefault="00DD7346" w:rsidP="00E632ED">
      <w:pPr>
        <w:spacing w:line="360" w:lineRule="auto"/>
        <w:jc w:val="both"/>
        <w:rPr>
          <w:rFonts w:ascii="Arial" w:hAnsi="Arial" w:cs="Arial"/>
          <w:sz w:val="22"/>
          <w:szCs w:val="22"/>
        </w:rPr>
      </w:pPr>
      <w:r w:rsidRPr="00E632ED">
        <w:rPr>
          <w:rFonts w:ascii="Arial" w:hAnsi="Arial" w:cs="Arial"/>
          <w:sz w:val="22"/>
          <w:szCs w:val="22"/>
        </w:rPr>
        <w:t xml:space="preserve">Despite extensive research, there remains a gap in characterization of the nervous system of </w:t>
      </w:r>
      <w:r w:rsidR="00201A64" w:rsidRPr="00E632ED">
        <w:rPr>
          <w:rFonts w:ascii="Arial" w:hAnsi="Arial" w:cs="Arial"/>
          <w:sz w:val="22"/>
          <w:szCs w:val="22"/>
        </w:rPr>
        <w:t>diverging animal lineages</w:t>
      </w:r>
      <w:r w:rsidRPr="00E632ED">
        <w:rPr>
          <w:rFonts w:ascii="Arial" w:hAnsi="Arial" w:cs="Arial"/>
          <w:sz w:val="22"/>
          <w:szCs w:val="22"/>
        </w:rPr>
        <w:t xml:space="preserve">, especially </w:t>
      </w:r>
      <w:r w:rsidR="00201A64" w:rsidRPr="00E632ED">
        <w:rPr>
          <w:rFonts w:ascii="Arial" w:hAnsi="Arial" w:cs="Arial"/>
          <w:sz w:val="22"/>
          <w:szCs w:val="22"/>
        </w:rPr>
        <w:t>non-</w:t>
      </w:r>
      <w:r w:rsidRPr="00E632ED">
        <w:rPr>
          <w:rFonts w:ascii="Arial" w:hAnsi="Arial" w:cs="Arial"/>
          <w:sz w:val="22"/>
          <w:szCs w:val="22"/>
        </w:rPr>
        <w:t xml:space="preserve">bilaterians such as Ctenophora or Cnidaria. Understanding the interactions between neuropeptides and receptors in the earliest organisms is vital </w:t>
      </w:r>
      <w:r w:rsidR="00201A64" w:rsidRPr="00E632ED">
        <w:rPr>
          <w:rFonts w:ascii="Arial" w:hAnsi="Arial" w:cs="Arial"/>
          <w:sz w:val="22"/>
          <w:szCs w:val="22"/>
        </w:rPr>
        <w:t>to reconstructing the</w:t>
      </w:r>
      <w:r w:rsidRPr="00E632ED">
        <w:rPr>
          <w:rFonts w:ascii="Arial" w:hAnsi="Arial" w:cs="Arial"/>
          <w:sz w:val="22"/>
          <w:szCs w:val="22"/>
        </w:rPr>
        <w:t xml:space="preserve"> evolutionary origin of the first animal nervous systems. For this regard, Ctenophora have been not studied enough despite being some of the </w:t>
      </w:r>
      <w:r w:rsidR="00201A64" w:rsidRPr="00E632ED">
        <w:rPr>
          <w:rFonts w:ascii="Arial" w:hAnsi="Arial" w:cs="Arial"/>
          <w:sz w:val="22"/>
          <w:szCs w:val="22"/>
        </w:rPr>
        <w:t>earliest branching</w:t>
      </w:r>
      <w:r w:rsidRPr="00E632ED">
        <w:rPr>
          <w:rFonts w:ascii="Arial" w:hAnsi="Arial" w:cs="Arial"/>
          <w:sz w:val="22"/>
          <w:szCs w:val="22"/>
        </w:rPr>
        <w:t xml:space="preserve"> organisms with </w:t>
      </w:r>
      <w:r w:rsidR="00201A64" w:rsidRPr="00E632ED">
        <w:rPr>
          <w:rFonts w:ascii="Arial" w:hAnsi="Arial" w:cs="Arial"/>
          <w:sz w:val="22"/>
          <w:szCs w:val="22"/>
        </w:rPr>
        <w:t>simple</w:t>
      </w:r>
      <w:r w:rsidRPr="00E632ED">
        <w:rPr>
          <w:rFonts w:ascii="Arial" w:hAnsi="Arial" w:cs="Arial"/>
          <w:sz w:val="22"/>
          <w:szCs w:val="22"/>
        </w:rPr>
        <w:t xml:space="preserve"> nervous system</w:t>
      </w:r>
      <w:r w:rsidR="00201A64" w:rsidRPr="00E632ED">
        <w:rPr>
          <w:rFonts w:ascii="Arial" w:hAnsi="Arial" w:cs="Arial"/>
          <w:sz w:val="22"/>
          <w:szCs w:val="22"/>
        </w:rPr>
        <w:t xml:space="preserve"> architectures</w:t>
      </w:r>
      <w:r w:rsidRPr="00E632ED">
        <w:rPr>
          <w:rFonts w:ascii="Arial" w:hAnsi="Arial" w:cs="Arial"/>
          <w:sz w:val="22"/>
          <w:szCs w:val="22"/>
        </w:rPr>
        <w:t xml:space="preserve">. </w:t>
      </w:r>
      <w:r w:rsidR="007B57D3" w:rsidRPr="00E632ED">
        <w:rPr>
          <w:rFonts w:ascii="Arial" w:hAnsi="Arial" w:cs="Arial"/>
          <w:sz w:val="22"/>
          <w:szCs w:val="22"/>
        </w:rPr>
        <w:t>This work provides an overview of relevant literature surrounding neuropeptide-receptor pairs in the nervous system of ancient Ctenophora</w:t>
      </w:r>
      <w:r w:rsidRPr="00E632ED">
        <w:rPr>
          <w:rFonts w:ascii="Arial" w:hAnsi="Arial" w:cs="Arial"/>
          <w:sz w:val="22"/>
          <w:szCs w:val="22"/>
        </w:rPr>
        <w:t xml:space="preserve"> and the </w:t>
      </w:r>
      <w:r w:rsidR="00201A64" w:rsidRPr="00E632ED">
        <w:rPr>
          <w:rFonts w:ascii="Arial" w:hAnsi="Arial" w:cs="Arial"/>
          <w:sz w:val="22"/>
          <w:szCs w:val="22"/>
        </w:rPr>
        <w:t>existing</w:t>
      </w:r>
      <w:r w:rsidRPr="00E632ED">
        <w:rPr>
          <w:rFonts w:ascii="Arial" w:hAnsi="Arial" w:cs="Arial"/>
          <w:sz w:val="22"/>
          <w:szCs w:val="22"/>
        </w:rPr>
        <w:t xml:space="preserve"> methods to explore these interactions</w:t>
      </w:r>
      <w:r w:rsidR="007B57D3" w:rsidRPr="00E632ED">
        <w:rPr>
          <w:rFonts w:ascii="Arial" w:hAnsi="Arial" w:cs="Arial"/>
          <w:sz w:val="22"/>
          <w:szCs w:val="22"/>
        </w:rPr>
        <w:t>. The aim is to establish the current state</w:t>
      </w:r>
      <w:r w:rsidR="00201A64" w:rsidRPr="00E632ED">
        <w:rPr>
          <w:rFonts w:ascii="Arial" w:hAnsi="Arial" w:cs="Arial"/>
          <w:sz w:val="22"/>
          <w:szCs w:val="22"/>
        </w:rPr>
        <w:t>-</w:t>
      </w:r>
      <w:r w:rsidR="007B57D3" w:rsidRPr="00E632ED">
        <w:rPr>
          <w:rFonts w:ascii="Arial" w:hAnsi="Arial" w:cs="Arial"/>
          <w:sz w:val="22"/>
          <w:szCs w:val="22"/>
        </w:rPr>
        <w:t>of</w:t>
      </w:r>
      <w:r w:rsidR="00201A64" w:rsidRPr="00E632ED">
        <w:rPr>
          <w:rFonts w:ascii="Arial" w:hAnsi="Arial" w:cs="Arial"/>
          <w:sz w:val="22"/>
          <w:szCs w:val="22"/>
        </w:rPr>
        <w:t>-</w:t>
      </w:r>
      <w:r w:rsidR="007B57D3" w:rsidRPr="00E632ED">
        <w:rPr>
          <w:rFonts w:ascii="Arial" w:hAnsi="Arial" w:cs="Arial"/>
          <w:sz w:val="22"/>
          <w:szCs w:val="22"/>
        </w:rPr>
        <w:t>the</w:t>
      </w:r>
      <w:r w:rsidR="00201A64" w:rsidRPr="00E632ED">
        <w:rPr>
          <w:rFonts w:ascii="Arial" w:hAnsi="Arial" w:cs="Arial"/>
          <w:sz w:val="22"/>
          <w:szCs w:val="22"/>
        </w:rPr>
        <w:t>-</w:t>
      </w:r>
      <w:r w:rsidR="007B57D3" w:rsidRPr="00E632ED">
        <w:rPr>
          <w:rFonts w:ascii="Arial" w:hAnsi="Arial" w:cs="Arial"/>
          <w:sz w:val="22"/>
          <w:szCs w:val="22"/>
        </w:rPr>
        <w:t xml:space="preserve">art knowledge and highlight the </w:t>
      </w:r>
      <w:r w:rsidR="00201A64" w:rsidRPr="00E632ED">
        <w:rPr>
          <w:rFonts w:ascii="Arial" w:hAnsi="Arial" w:cs="Arial"/>
          <w:sz w:val="22"/>
          <w:szCs w:val="22"/>
        </w:rPr>
        <w:t>methodological challenges that this work seeks to address.</w:t>
      </w:r>
      <w:r w:rsidR="007B57D3" w:rsidRPr="00E632ED">
        <w:rPr>
          <w:rFonts w:ascii="Arial" w:hAnsi="Arial" w:cs="Arial"/>
          <w:sz w:val="22"/>
          <w:szCs w:val="22"/>
        </w:rPr>
        <w:t xml:space="preserve"> </w:t>
      </w:r>
      <w:r w:rsidRPr="00E632ED">
        <w:rPr>
          <w:rFonts w:ascii="Arial" w:hAnsi="Arial" w:cs="Arial"/>
          <w:sz w:val="22"/>
          <w:szCs w:val="22"/>
        </w:rPr>
        <w:t>To achieve this, a workflow</w:t>
      </w:r>
      <w:r w:rsidR="00AD550D" w:rsidRPr="00E632ED">
        <w:rPr>
          <w:rFonts w:ascii="Arial" w:hAnsi="Arial" w:cs="Arial"/>
          <w:sz w:val="22"/>
          <w:szCs w:val="22"/>
        </w:rPr>
        <w:t xml:space="preserve"> is proposed,</w:t>
      </w:r>
      <w:r w:rsidRPr="00E632ED">
        <w:rPr>
          <w:rFonts w:ascii="Arial" w:hAnsi="Arial" w:cs="Arial"/>
          <w:sz w:val="22"/>
          <w:szCs w:val="22"/>
        </w:rPr>
        <w:t xml:space="preserve"> </w:t>
      </w:r>
      <w:r w:rsidR="00AD550D" w:rsidRPr="00E632ED">
        <w:rPr>
          <w:rFonts w:ascii="Arial" w:hAnsi="Arial" w:cs="Arial"/>
          <w:sz w:val="22"/>
          <w:szCs w:val="22"/>
        </w:rPr>
        <w:t>integrating</w:t>
      </w:r>
      <w:r w:rsidRPr="00E632ED">
        <w:rPr>
          <w:rFonts w:ascii="Arial" w:hAnsi="Arial" w:cs="Arial"/>
          <w:sz w:val="22"/>
          <w:szCs w:val="22"/>
        </w:rPr>
        <w:t xml:space="preserve"> Machine learning tools (Alphafold 3) and RNA seq analysis for structure complex predictions and </w:t>
      </w:r>
      <w:r w:rsidR="00AD550D" w:rsidRPr="00E632ED">
        <w:rPr>
          <w:rFonts w:ascii="Arial" w:hAnsi="Arial" w:cs="Arial"/>
          <w:sz w:val="22"/>
          <w:szCs w:val="22"/>
        </w:rPr>
        <w:t xml:space="preserve">functional </w:t>
      </w:r>
      <w:r w:rsidRPr="00E632ED">
        <w:rPr>
          <w:rFonts w:ascii="Arial" w:hAnsi="Arial" w:cs="Arial"/>
          <w:sz w:val="22"/>
          <w:szCs w:val="22"/>
        </w:rPr>
        <w:t>characterization. Additionally, alternative</w:t>
      </w:r>
      <w:r w:rsidR="00AD550D" w:rsidRPr="00E632ED">
        <w:rPr>
          <w:rFonts w:ascii="Arial" w:hAnsi="Arial" w:cs="Arial"/>
          <w:sz w:val="22"/>
          <w:szCs w:val="22"/>
        </w:rPr>
        <w:t xml:space="preserve"> approaches</w:t>
      </w:r>
      <w:r w:rsidRPr="00E632ED">
        <w:rPr>
          <w:rFonts w:ascii="Arial" w:hAnsi="Arial" w:cs="Arial"/>
          <w:sz w:val="22"/>
          <w:szCs w:val="22"/>
        </w:rPr>
        <w:t xml:space="preserve"> to Alphafold are proposed for probable low-quality results to characterize neuropeptide-receptor interactions. This involves 3D structure prediction of the neuropeptides, receptors, and a combination of molecular docking and molecular dynamics </w:t>
      </w:r>
      <w:r w:rsidR="00AD550D" w:rsidRPr="00E632ED">
        <w:rPr>
          <w:rFonts w:ascii="Arial" w:hAnsi="Arial" w:cs="Arial"/>
          <w:sz w:val="22"/>
          <w:szCs w:val="22"/>
        </w:rPr>
        <w:t>simulations</w:t>
      </w:r>
      <w:r w:rsidRPr="00E632ED">
        <w:rPr>
          <w:rFonts w:ascii="Arial" w:hAnsi="Arial" w:cs="Arial"/>
          <w:sz w:val="22"/>
          <w:szCs w:val="22"/>
        </w:rPr>
        <w:t xml:space="preserve">. A timeline to achieve this is also presented. </w:t>
      </w:r>
    </w:p>
    <w:p w14:paraId="5E929E50" w14:textId="163CC6D0" w:rsidR="00881401" w:rsidRPr="00E632ED" w:rsidRDefault="00881401" w:rsidP="00E632ED">
      <w:pPr>
        <w:spacing w:line="360" w:lineRule="auto"/>
        <w:jc w:val="both"/>
        <w:rPr>
          <w:rFonts w:ascii="Arial" w:hAnsi="Arial" w:cs="Arial"/>
          <w:sz w:val="22"/>
          <w:szCs w:val="22"/>
        </w:rPr>
      </w:pPr>
      <w:r w:rsidRPr="00E632ED">
        <w:rPr>
          <w:rFonts w:ascii="Arial" w:hAnsi="Arial" w:cs="Arial"/>
          <w:b/>
          <w:bCs/>
          <w:sz w:val="22"/>
          <w:szCs w:val="22"/>
        </w:rPr>
        <w:t xml:space="preserve">Keywords: </w:t>
      </w:r>
      <w:r w:rsidRPr="00E632ED">
        <w:rPr>
          <w:rFonts w:ascii="Arial" w:hAnsi="Arial" w:cs="Arial"/>
          <w:sz w:val="22"/>
          <w:szCs w:val="22"/>
        </w:rPr>
        <w:t>Ctenophora, Neuropeptides, GPCRs, Molecular docking, Alphafold, Transcriptomics</w:t>
      </w:r>
    </w:p>
    <w:p w14:paraId="0F396BED" w14:textId="301F8082" w:rsidR="00201A64" w:rsidRPr="00E632ED" w:rsidRDefault="00AF1ABE" w:rsidP="00E632ED">
      <w:pPr>
        <w:spacing w:line="360" w:lineRule="auto"/>
        <w:jc w:val="center"/>
        <w:rPr>
          <w:rFonts w:ascii="Arial" w:hAnsi="Arial" w:cs="Arial"/>
          <w:b/>
          <w:bCs/>
          <w:sz w:val="22"/>
          <w:szCs w:val="22"/>
        </w:rPr>
      </w:pPr>
      <w:r w:rsidRPr="00E632ED">
        <w:rPr>
          <w:rFonts w:ascii="Arial" w:hAnsi="Arial" w:cs="Arial"/>
          <w:b/>
          <w:bCs/>
          <w:sz w:val="22"/>
          <w:szCs w:val="22"/>
        </w:rPr>
        <w:t>Literature review</w:t>
      </w:r>
    </w:p>
    <w:p w14:paraId="739F88FB" w14:textId="78465065" w:rsidR="00A81A53" w:rsidRPr="00E632ED" w:rsidRDefault="00A81A53" w:rsidP="00E632ED">
      <w:pPr>
        <w:spacing w:line="360" w:lineRule="auto"/>
        <w:jc w:val="both"/>
        <w:rPr>
          <w:rFonts w:ascii="Arial" w:hAnsi="Arial" w:cs="Arial"/>
          <w:sz w:val="22"/>
          <w:szCs w:val="22"/>
        </w:rPr>
      </w:pPr>
      <w:r w:rsidRPr="00E632ED">
        <w:rPr>
          <w:rFonts w:ascii="Arial" w:hAnsi="Arial" w:cs="Arial"/>
          <w:sz w:val="22"/>
          <w:szCs w:val="22"/>
        </w:rPr>
        <w:t xml:space="preserve">Research </w:t>
      </w:r>
      <w:r w:rsidR="007B57D3" w:rsidRPr="00E632ED">
        <w:rPr>
          <w:rFonts w:ascii="Arial" w:hAnsi="Arial" w:cs="Arial"/>
          <w:sz w:val="22"/>
          <w:szCs w:val="22"/>
        </w:rPr>
        <w:t>to</w:t>
      </w:r>
      <w:r w:rsidR="00F83657" w:rsidRPr="00E632ED">
        <w:rPr>
          <w:rFonts w:ascii="Arial" w:hAnsi="Arial" w:cs="Arial"/>
          <w:sz w:val="22"/>
          <w:szCs w:val="22"/>
        </w:rPr>
        <w:t xml:space="preserve"> study </w:t>
      </w:r>
      <w:r w:rsidR="007B57D3" w:rsidRPr="00E632ED">
        <w:rPr>
          <w:rFonts w:ascii="Arial" w:hAnsi="Arial" w:cs="Arial"/>
          <w:sz w:val="22"/>
          <w:szCs w:val="22"/>
        </w:rPr>
        <w:t>the</w:t>
      </w:r>
      <w:r w:rsidR="00F83657" w:rsidRPr="00E632ED">
        <w:rPr>
          <w:rFonts w:ascii="Arial" w:hAnsi="Arial" w:cs="Arial"/>
          <w:sz w:val="22"/>
          <w:szCs w:val="22"/>
        </w:rPr>
        <w:t xml:space="preserve"> ancient nervous system</w:t>
      </w:r>
      <w:r w:rsidR="008E7836" w:rsidRPr="00E632ED">
        <w:rPr>
          <w:rFonts w:ascii="Arial" w:hAnsi="Arial" w:cs="Arial"/>
          <w:sz w:val="22"/>
          <w:szCs w:val="22"/>
        </w:rPr>
        <w:t>s</w:t>
      </w:r>
      <w:r w:rsidR="00F83657" w:rsidRPr="00E632ED">
        <w:rPr>
          <w:rFonts w:ascii="Arial" w:hAnsi="Arial" w:cs="Arial"/>
          <w:sz w:val="22"/>
          <w:szCs w:val="22"/>
        </w:rPr>
        <w:t xml:space="preserve"> </w:t>
      </w:r>
      <w:r w:rsidR="008E7836" w:rsidRPr="00E632ED">
        <w:rPr>
          <w:rFonts w:ascii="Arial" w:hAnsi="Arial" w:cs="Arial"/>
          <w:sz w:val="22"/>
          <w:szCs w:val="22"/>
        </w:rPr>
        <w:t xml:space="preserve">in cnidarians and ctenophores </w:t>
      </w:r>
      <w:r w:rsidR="00F83657" w:rsidRPr="00E632ED">
        <w:rPr>
          <w:rFonts w:ascii="Arial" w:hAnsi="Arial" w:cs="Arial"/>
          <w:sz w:val="22"/>
          <w:szCs w:val="22"/>
        </w:rPr>
        <w:t>is becoming an important focus as it relates</w:t>
      </w:r>
      <w:r w:rsidR="008E7836" w:rsidRPr="00E632ED">
        <w:rPr>
          <w:rFonts w:ascii="Arial" w:hAnsi="Arial" w:cs="Arial"/>
          <w:sz w:val="22"/>
          <w:szCs w:val="22"/>
        </w:rPr>
        <w:t xml:space="preserve"> to the understanding of the origins of the first systems of neurotransmission</w:t>
      </w:r>
      <w:r w:rsidR="00A36DA7" w:rsidRPr="00E632ED">
        <w:rPr>
          <w:rFonts w:ascii="Arial" w:hAnsi="Arial" w:cs="Arial"/>
          <w:sz w:val="22"/>
          <w:szCs w:val="22"/>
        </w:rPr>
        <w:t xml:space="preserve"> which have been unique to the animal taxa, except for the lineages sponges and placozoans. Understanding the evolution of the nervous system is key to build a picture of the evolution of the animal kingdom.</w:t>
      </w:r>
      <w:r w:rsidR="00DE56F8" w:rsidRPr="00E632ED">
        <w:rPr>
          <w:rFonts w:ascii="Arial" w:hAnsi="Arial" w:cs="Arial"/>
          <w:sz w:val="22"/>
          <w:szCs w:val="22"/>
        </w:rPr>
        <w:t xml:space="preserve"> Among the lineages, ctenophores represent an informative model for studying these questions. </w:t>
      </w:r>
    </w:p>
    <w:p w14:paraId="46D5E93F" w14:textId="0E79D41F" w:rsidR="00A36DA7" w:rsidRPr="00E632ED" w:rsidRDefault="00A36DA7" w:rsidP="00E632ED">
      <w:pPr>
        <w:spacing w:line="360" w:lineRule="auto"/>
        <w:jc w:val="both"/>
        <w:rPr>
          <w:rFonts w:ascii="Arial" w:hAnsi="Arial" w:cs="Arial"/>
          <w:b/>
          <w:bCs/>
          <w:sz w:val="22"/>
          <w:szCs w:val="22"/>
        </w:rPr>
      </w:pPr>
      <w:r w:rsidRPr="00E632ED">
        <w:rPr>
          <w:rFonts w:ascii="Arial" w:hAnsi="Arial" w:cs="Arial"/>
          <w:b/>
          <w:bCs/>
          <w:sz w:val="22"/>
          <w:szCs w:val="22"/>
        </w:rPr>
        <w:t>Ctenophora</w:t>
      </w:r>
    </w:p>
    <w:p w14:paraId="0171D0A7" w14:textId="6C6399B9" w:rsidR="00A36DA7" w:rsidRPr="00E632ED" w:rsidRDefault="00A36DA7" w:rsidP="00E632ED">
      <w:pPr>
        <w:spacing w:line="360" w:lineRule="auto"/>
        <w:jc w:val="both"/>
        <w:rPr>
          <w:rFonts w:ascii="Arial" w:hAnsi="Arial" w:cs="Arial"/>
          <w:sz w:val="22"/>
          <w:szCs w:val="22"/>
        </w:rPr>
      </w:pPr>
      <w:r w:rsidRPr="00E632ED">
        <w:rPr>
          <w:rFonts w:ascii="Arial" w:hAnsi="Arial" w:cs="Arial"/>
          <w:sz w:val="22"/>
          <w:szCs w:val="22"/>
        </w:rPr>
        <w:t xml:space="preserve">The animal kingdom can be divided into 5 large groups: Porifera (sponges), Ctenophora (comb jellies), Placozoa, Cnidaria and Bilateria (vertebrates, insects, </w:t>
      </w:r>
      <w:r w:rsidR="00DF4790" w:rsidRPr="00E632ED">
        <w:rPr>
          <w:rFonts w:ascii="Arial" w:hAnsi="Arial" w:cs="Arial"/>
          <w:sz w:val="22"/>
          <w:szCs w:val="22"/>
        </w:rPr>
        <w:t>molluscs</w:t>
      </w:r>
      <w:r w:rsidR="00DE56F8" w:rsidRPr="00E632ED">
        <w:rPr>
          <w:rFonts w:ascii="Arial" w:hAnsi="Arial" w:cs="Arial"/>
          <w:sz w:val="22"/>
          <w:szCs w:val="22"/>
        </w:rPr>
        <w:t>)</w:t>
      </w:r>
      <w:r w:rsidR="00DF4790" w:rsidRPr="00E632ED">
        <w:rPr>
          <w:rFonts w:ascii="Arial" w:hAnsi="Arial" w:cs="Arial"/>
          <w:sz w:val="22"/>
          <w:szCs w:val="22"/>
        </w:rPr>
        <w:t xml:space="preserve">. </w:t>
      </w:r>
      <w:r w:rsidR="00FF3296" w:rsidRPr="00E632ED">
        <w:rPr>
          <w:rFonts w:ascii="Arial" w:hAnsi="Arial" w:cs="Arial"/>
          <w:sz w:val="22"/>
          <w:szCs w:val="22"/>
        </w:rPr>
        <w:t xml:space="preserve">Of these, Porifera and Placozoa did not evolve a nervous system but rather cell-to-cell </w:t>
      </w:r>
      <w:r w:rsidR="00DE56F8" w:rsidRPr="00E632ED">
        <w:rPr>
          <w:rFonts w:ascii="Arial" w:hAnsi="Arial" w:cs="Arial"/>
          <w:sz w:val="22"/>
          <w:szCs w:val="22"/>
        </w:rPr>
        <w:t>signalling</w:t>
      </w:r>
      <w:r w:rsidR="00FF3296" w:rsidRPr="00E632ED">
        <w:rPr>
          <w:rFonts w:ascii="Arial" w:hAnsi="Arial" w:cs="Arial"/>
          <w:sz w:val="22"/>
          <w:szCs w:val="22"/>
        </w:rPr>
        <w:t xml:space="preserve"> for body activity</w:t>
      </w:r>
      <w:r w:rsidR="003B00B6" w:rsidRPr="00E632ED">
        <w:rPr>
          <w:rFonts w:ascii="Arial" w:hAnsi="Arial" w:cs="Arial"/>
          <w:sz w:val="22"/>
          <w:szCs w:val="22"/>
        </w:rPr>
        <w:t xml:space="preserve"> (Leys, 2015)</w:t>
      </w:r>
      <w:r w:rsidR="00FF3296" w:rsidRPr="00E632ED">
        <w:rPr>
          <w:rFonts w:ascii="Arial" w:hAnsi="Arial" w:cs="Arial"/>
          <w:sz w:val="22"/>
          <w:szCs w:val="22"/>
        </w:rPr>
        <w:t>. When it comes to Ctenophora and Cnidaria, they evolved a nerve net</w:t>
      </w:r>
      <w:r w:rsidR="00CA4980" w:rsidRPr="00E632ED">
        <w:rPr>
          <w:rFonts w:ascii="Arial" w:hAnsi="Arial" w:cs="Arial"/>
          <w:sz w:val="22"/>
          <w:szCs w:val="22"/>
        </w:rPr>
        <w:t xml:space="preserve"> (a network of interconnected neurons</w:t>
      </w:r>
      <w:r w:rsidR="00FF3296" w:rsidRPr="00E632ED">
        <w:rPr>
          <w:rFonts w:ascii="Arial" w:hAnsi="Arial" w:cs="Arial"/>
          <w:sz w:val="22"/>
          <w:szCs w:val="22"/>
        </w:rPr>
        <w:t xml:space="preserve"> lacking brai</w:t>
      </w:r>
      <w:r w:rsidR="00CA4980" w:rsidRPr="00E632ED">
        <w:rPr>
          <w:rFonts w:ascii="Arial" w:hAnsi="Arial" w:cs="Arial"/>
          <w:sz w:val="22"/>
          <w:szCs w:val="22"/>
        </w:rPr>
        <w:t xml:space="preserve">n </w:t>
      </w:r>
      <w:r w:rsidR="00FF3296" w:rsidRPr="00E632ED">
        <w:rPr>
          <w:rFonts w:ascii="Arial" w:hAnsi="Arial" w:cs="Arial"/>
          <w:sz w:val="22"/>
          <w:szCs w:val="22"/>
        </w:rPr>
        <w:t>centralization</w:t>
      </w:r>
      <w:r w:rsidR="00CA4980" w:rsidRPr="00E632ED">
        <w:rPr>
          <w:rFonts w:ascii="Arial" w:hAnsi="Arial" w:cs="Arial"/>
          <w:sz w:val="22"/>
          <w:szCs w:val="22"/>
        </w:rPr>
        <w:t>)</w:t>
      </w:r>
      <w:r w:rsidR="00067F8D" w:rsidRPr="00E632ED">
        <w:rPr>
          <w:rFonts w:ascii="Arial" w:hAnsi="Arial" w:cs="Arial"/>
          <w:sz w:val="22"/>
          <w:szCs w:val="22"/>
        </w:rPr>
        <w:t xml:space="preserve"> with key differences</w:t>
      </w:r>
      <w:r w:rsidR="00FF3296" w:rsidRPr="00E632ED">
        <w:rPr>
          <w:rFonts w:ascii="Arial" w:hAnsi="Arial" w:cs="Arial"/>
          <w:sz w:val="22"/>
          <w:szCs w:val="22"/>
        </w:rPr>
        <w:t>. Cnidarians’ nervous system shares a common origin to bilaterians as the neurons are connected via synapses. In contrast, Ctenophora’s subepithelial neurons form a syncytium</w:t>
      </w:r>
      <w:r w:rsidR="00DE56F8" w:rsidRPr="00E632ED">
        <w:rPr>
          <w:rFonts w:ascii="Arial" w:hAnsi="Arial" w:cs="Arial"/>
          <w:sz w:val="22"/>
          <w:szCs w:val="22"/>
        </w:rPr>
        <w:t xml:space="preserve">, which is </w:t>
      </w:r>
      <w:r w:rsidR="00067F8D" w:rsidRPr="00E632ED">
        <w:rPr>
          <w:rFonts w:ascii="Arial" w:hAnsi="Arial" w:cs="Arial"/>
          <w:sz w:val="22"/>
          <w:szCs w:val="22"/>
        </w:rPr>
        <w:t>a single continuous mass of cytoplasm containing several nuclei</w:t>
      </w:r>
      <w:r w:rsidR="00DE56F8" w:rsidRPr="00E632ED">
        <w:rPr>
          <w:rFonts w:ascii="Arial" w:hAnsi="Arial" w:cs="Arial"/>
          <w:sz w:val="22"/>
          <w:szCs w:val="22"/>
        </w:rPr>
        <w:t xml:space="preserve"> </w:t>
      </w:r>
      <w:r w:rsidR="00CA4999" w:rsidRPr="00E632ED">
        <w:rPr>
          <w:rFonts w:ascii="Arial" w:hAnsi="Arial" w:cs="Arial"/>
          <w:sz w:val="22"/>
          <w:szCs w:val="22"/>
        </w:rPr>
        <w:t xml:space="preserve">(Burkhardt </w:t>
      </w:r>
      <w:r w:rsidR="00CA4999" w:rsidRPr="00E632ED">
        <w:rPr>
          <w:rFonts w:ascii="Arial" w:hAnsi="Arial" w:cs="Arial"/>
          <w:i/>
          <w:iCs/>
          <w:sz w:val="22"/>
          <w:szCs w:val="22"/>
        </w:rPr>
        <w:t>et al.</w:t>
      </w:r>
      <w:r w:rsidR="00CA4999" w:rsidRPr="00E632ED">
        <w:rPr>
          <w:rFonts w:ascii="Arial" w:hAnsi="Arial" w:cs="Arial"/>
          <w:sz w:val="22"/>
          <w:szCs w:val="22"/>
        </w:rPr>
        <w:t>, 2023)</w:t>
      </w:r>
      <w:r w:rsidR="005733B7" w:rsidRPr="00E632ED">
        <w:rPr>
          <w:rFonts w:ascii="Arial" w:hAnsi="Arial" w:cs="Arial"/>
          <w:sz w:val="22"/>
          <w:szCs w:val="22"/>
        </w:rPr>
        <w:t xml:space="preserve"> </w:t>
      </w:r>
      <w:r w:rsidR="003B00B6" w:rsidRPr="00E632ED">
        <w:rPr>
          <w:rFonts w:ascii="Arial" w:hAnsi="Arial" w:cs="Arial"/>
          <w:sz w:val="22"/>
          <w:szCs w:val="22"/>
        </w:rPr>
        <w:t>a</w:t>
      </w:r>
      <w:r w:rsidR="00067F8D" w:rsidRPr="00E632ED">
        <w:rPr>
          <w:rFonts w:ascii="Arial" w:hAnsi="Arial" w:cs="Arial"/>
          <w:sz w:val="22"/>
          <w:szCs w:val="22"/>
        </w:rPr>
        <w:t xml:space="preserve">nd possess </w:t>
      </w:r>
      <w:r w:rsidR="00067F8D" w:rsidRPr="00E632ED">
        <w:rPr>
          <w:rFonts w:ascii="Arial" w:hAnsi="Arial" w:cs="Arial"/>
          <w:sz w:val="22"/>
          <w:szCs w:val="22"/>
        </w:rPr>
        <w:lastRenderedPageBreak/>
        <w:t>chemical synapses between sensory cells and subepithelial neurons</w:t>
      </w:r>
      <w:r w:rsidR="00695D81" w:rsidRPr="00E632ED">
        <w:rPr>
          <w:rFonts w:ascii="Arial" w:hAnsi="Arial" w:cs="Arial"/>
          <w:sz w:val="22"/>
          <w:szCs w:val="22"/>
        </w:rPr>
        <w:t xml:space="preserve">. There is still a need to identify common features </w:t>
      </w:r>
      <w:r w:rsidR="00DE56F8" w:rsidRPr="00E632ED">
        <w:rPr>
          <w:rFonts w:ascii="Arial" w:hAnsi="Arial" w:cs="Arial"/>
          <w:sz w:val="22"/>
          <w:szCs w:val="22"/>
        </w:rPr>
        <w:t>between</w:t>
      </w:r>
      <w:r w:rsidR="00695D81" w:rsidRPr="00E632ED">
        <w:rPr>
          <w:rFonts w:ascii="Arial" w:hAnsi="Arial" w:cs="Arial"/>
          <w:sz w:val="22"/>
          <w:szCs w:val="22"/>
        </w:rPr>
        <w:t xml:space="preserve"> </w:t>
      </w:r>
      <w:r w:rsidR="00DE56F8" w:rsidRPr="00E632ED">
        <w:rPr>
          <w:rFonts w:ascii="Arial" w:hAnsi="Arial" w:cs="Arial"/>
          <w:sz w:val="22"/>
          <w:szCs w:val="22"/>
        </w:rPr>
        <w:t>C</w:t>
      </w:r>
      <w:r w:rsidR="00695D81" w:rsidRPr="00E632ED">
        <w:rPr>
          <w:rFonts w:ascii="Arial" w:hAnsi="Arial" w:cs="Arial"/>
          <w:sz w:val="22"/>
          <w:szCs w:val="22"/>
        </w:rPr>
        <w:t xml:space="preserve">nidaria and </w:t>
      </w:r>
      <w:r w:rsidR="00DE56F8" w:rsidRPr="00E632ED">
        <w:rPr>
          <w:rFonts w:ascii="Arial" w:hAnsi="Arial" w:cs="Arial"/>
          <w:sz w:val="22"/>
          <w:szCs w:val="22"/>
        </w:rPr>
        <w:t>Ctenophora</w:t>
      </w:r>
      <w:r w:rsidR="00695D81" w:rsidRPr="00E632ED">
        <w:rPr>
          <w:rFonts w:ascii="Arial" w:hAnsi="Arial" w:cs="Arial"/>
          <w:sz w:val="22"/>
          <w:szCs w:val="22"/>
        </w:rPr>
        <w:t xml:space="preserve"> to identify the origins of their nerve nets. </w:t>
      </w:r>
    </w:p>
    <w:p w14:paraId="56551FA3" w14:textId="4DBF9357" w:rsidR="0096473F" w:rsidRPr="00E632ED" w:rsidRDefault="00DE56F8" w:rsidP="00E632ED">
      <w:pPr>
        <w:spacing w:line="360" w:lineRule="auto"/>
        <w:jc w:val="both"/>
        <w:rPr>
          <w:rFonts w:ascii="Arial" w:hAnsi="Arial" w:cs="Arial"/>
          <w:sz w:val="22"/>
          <w:szCs w:val="22"/>
        </w:rPr>
      </w:pPr>
      <w:r w:rsidRPr="00E632ED">
        <w:rPr>
          <w:rFonts w:ascii="Arial" w:hAnsi="Arial" w:cs="Arial"/>
          <w:sz w:val="22"/>
          <w:szCs w:val="22"/>
        </w:rPr>
        <w:t>Understanding how such nervous systems emerged has led to several</w:t>
      </w:r>
      <w:r w:rsidR="00695D81" w:rsidRPr="00E632ED">
        <w:rPr>
          <w:rFonts w:ascii="Arial" w:hAnsi="Arial" w:cs="Arial"/>
          <w:sz w:val="22"/>
          <w:szCs w:val="22"/>
        </w:rPr>
        <w:t xml:space="preserve"> hypotheses </w:t>
      </w:r>
      <w:r w:rsidRPr="00E632ED">
        <w:rPr>
          <w:rFonts w:ascii="Arial" w:hAnsi="Arial" w:cs="Arial"/>
          <w:sz w:val="22"/>
          <w:szCs w:val="22"/>
        </w:rPr>
        <w:t xml:space="preserve">including </w:t>
      </w:r>
      <w:r w:rsidR="00695D81" w:rsidRPr="00E632ED">
        <w:rPr>
          <w:rFonts w:ascii="Arial" w:hAnsi="Arial" w:cs="Arial"/>
          <w:sz w:val="22"/>
          <w:szCs w:val="22"/>
        </w:rPr>
        <w:t xml:space="preserve">the neurosecretory network hypothesis </w:t>
      </w:r>
      <w:r w:rsidR="0018180D" w:rsidRPr="00E632ED">
        <w:rPr>
          <w:rFonts w:ascii="Arial" w:hAnsi="Arial" w:cs="Arial"/>
          <w:sz w:val="22"/>
          <w:szCs w:val="22"/>
        </w:rPr>
        <w:t>(Bullock and Horridge, 1965)</w:t>
      </w:r>
      <w:r w:rsidR="005733B7" w:rsidRPr="00E632ED">
        <w:rPr>
          <w:rFonts w:ascii="Arial" w:hAnsi="Arial" w:cs="Arial"/>
          <w:sz w:val="22"/>
          <w:szCs w:val="22"/>
        </w:rPr>
        <w:t xml:space="preserve">. </w:t>
      </w:r>
      <w:r w:rsidR="00E15B97" w:rsidRPr="00E632ED">
        <w:rPr>
          <w:rFonts w:ascii="Arial" w:hAnsi="Arial" w:cs="Arial"/>
          <w:sz w:val="22"/>
          <w:szCs w:val="22"/>
        </w:rPr>
        <w:t xml:space="preserve">The hypothesis is based on </w:t>
      </w:r>
      <w:r w:rsidRPr="00E632ED">
        <w:rPr>
          <w:rFonts w:ascii="Arial" w:hAnsi="Arial" w:cs="Arial"/>
          <w:sz w:val="22"/>
          <w:szCs w:val="22"/>
        </w:rPr>
        <w:t>proposing</w:t>
      </w:r>
      <w:r w:rsidR="00E15B97" w:rsidRPr="00E632ED">
        <w:rPr>
          <w:rFonts w:ascii="Arial" w:hAnsi="Arial" w:cs="Arial"/>
          <w:sz w:val="22"/>
          <w:szCs w:val="22"/>
        </w:rPr>
        <w:t xml:space="preserve"> the apparition of neurosecretory cells to transmit information from sensory cells to effector cells (</w:t>
      </w:r>
      <w:r w:rsidRPr="00E632ED">
        <w:rPr>
          <w:rFonts w:ascii="Arial" w:hAnsi="Arial" w:cs="Arial"/>
          <w:sz w:val="22"/>
          <w:szCs w:val="22"/>
        </w:rPr>
        <w:t>e.g.</w:t>
      </w:r>
      <w:r w:rsidR="00E15B97" w:rsidRPr="00E632ED">
        <w:rPr>
          <w:rFonts w:ascii="Arial" w:hAnsi="Arial" w:cs="Arial"/>
          <w:sz w:val="22"/>
          <w:szCs w:val="22"/>
        </w:rPr>
        <w:t xml:space="preserve"> muscles) using small molecules (e.g. glutamate) and peptides. In fact, placozoans and sponges encode for neurosecretion proteins in their genomes and perform </w:t>
      </w:r>
      <w:r w:rsidR="00E102BA" w:rsidRPr="00E632ED">
        <w:rPr>
          <w:rFonts w:ascii="Arial" w:hAnsi="Arial" w:cs="Arial"/>
          <w:sz w:val="22"/>
          <w:szCs w:val="22"/>
        </w:rPr>
        <w:t>paracrine signalling</w:t>
      </w:r>
      <w:r w:rsidR="00E15B97" w:rsidRPr="00E632ED">
        <w:rPr>
          <w:rFonts w:ascii="Arial" w:hAnsi="Arial" w:cs="Arial"/>
          <w:sz w:val="22"/>
          <w:szCs w:val="22"/>
        </w:rPr>
        <w:t xml:space="preserve"> via peptides as well</w:t>
      </w:r>
      <w:r w:rsidR="00CA4980" w:rsidRPr="00E632ED">
        <w:rPr>
          <w:rFonts w:ascii="Arial" w:hAnsi="Arial" w:cs="Arial"/>
          <w:sz w:val="22"/>
          <w:szCs w:val="22"/>
        </w:rPr>
        <w:t xml:space="preserve">. In other words, cell </w:t>
      </w:r>
      <w:r w:rsidR="002444E4" w:rsidRPr="00E632ED">
        <w:rPr>
          <w:rFonts w:ascii="Arial" w:hAnsi="Arial" w:cs="Arial"/>
          <w:sz w:val="22"/>
          <w:szCs w:val="22"/>
        </w:rPr>
        <w:t>signalling</w:t>
      </w:r>
      <w:r w:rsidR="00CA4980" w:rsidRPr="00E632ED">
        <w:rPr>
          <w:rFonts w:ascii="Arial" w:hAnsi="Arial" w:cs="Arial"/>
          <w:sz w:val="22"/>
          <w:szCs w:val="22"/>
        </w:rPr>
        <w:t xml:space="preserve"> to nearby cells via diffusion</w:t>
      </w:r>
      <w:r w:rsidR="0018180D" w:rsidRPr="00E632ED">
        <w:rPr>
          <w:rFonts w:ascii="Arial" w:hAnsi="Arial" w:cs="Arial"/>
          <w:sz w:val="22"/>
          <w:szCs w:val="22"/>
        </w:rPr>
        <w:t xml:space="preserve"> (Senatore, Reese and Smith, 2017)</w:t>
      </w:r>
      <w:r w:rsidR="00E102BA" w:rsidRPr="00E632ED">
        <w:rPr>
          <w:rFonts w:ascii="Arial" w:hAnsi="Arial" w:cs="Arial"/>
          <w:sz w:val="22"/>
          <w:szCs w:val="22"/>
        </w:rPr>
        <w:t>. This system resembles peptidergic nerve nets</w:t>
      </w:r>
      <w:r w:rsidR="00CA4980" w:rsidRPr="00E632ED">
        <w:rPr>
          <w:rFonts w:ascii="Arial" w:hAnsi="Arial" w:cs="Arial"/>
          <w:sz w:val="22"/>
          <w:szCs w:val="22"/>
        </w:rPr>
        <w:t xml:space="preserve"> (or simpler said, systems that respond to peptide neurotransmitters)</w:t>
      </w:r>
      <w:r w:rsidR="00E102BA" w:rsidRPr="00E632ED">
        <w:rPr>
          <w:rFonts w:ascii="Arial" w:hAnsi="Arial" w:cs="Arial"/>
          <w:sz w:val="22"/>
          <w:szCs w:val="22"/>
        </w:rPr>
        <w:t xml:space="preserve"> and endocrine cells in animals with nervous systems. These proteins have been named protoneurons </w:t>
      </w:r>
      <w:r w:rsidR="0018180D" w:rsidRPr="00E632ED">
        <w:rPr>
          <w:rFonts w:ascii="Arial" w:hAnsi="Arial" w:cs="Arial"/>
          <w:sz w:val="22"/>
          <w:szCs w:val="22"/>
        </w:rPr>
        <w:t xml:space="preserve">(Najle </w:t>
      </w:r>
      <w:r w:rsidR="0018180D" w:rsidRPr="00E632ED">
        <w:rPr>
          <w:rFonts w:ascii="Arial" w:hAnsi="Arial" w:cs="Arial"/>
          <w:i/>
          <w:iCs/>
          <w:sz w:val="22"/>
          <w:szCs w:val="22"/>
        </w:rPr>
        <w:t>et al.</w:t>
      </w:r>
      <w:r w:rsidR="0018180D" w:rsidRPr="00E632ED">
        <w:rPr>
          <w:rFonts w:ascii="Arial" w:hAnsi="Arial" w:cs="Arial"/>
          <w:sz w:val="22"/>
          <w:szCs w:val="22"/>
        </w:rPr>
        <w:t xml:space="preserve">, 2023) </w:t>
      </w:r>
      <w:r w:rsidR="00E102BA" w:rsidRPr="00E632ED">
        <w:rPr>
          <w:rFonts w:ascii="Arial" w:hAnsi="Arial" w:cs="Arial"/>
          <w:sz w:val="22"/>
          <w:szCs w:val="22"/>
        </w:rPr>
        <w:t>and hint that paracrine signaling would have been the initial cell-to-cell communication system</w:t>
      </w:r>
      <w:r w:rsidR="00DF4790" w:rsidRPr="00E632ED">
        <w:rPr>
          <w:rFonts w:ascii="Arial" w:hAnsi="Arial" w:cs="Arial"/>
          <w:sz w:val="22"/>
          <w:szCs w:val="22"/>
        </w:rPr>
        <w:t xml:space="preserve"> </w:t>
      </w:r>
      <w:r w:rsidR="005733B7" w:rsidRPr="00E632ED">
        <w:rPr>
          <w:rFonts w:ascii="Arial" w:hAnsi="Arial" w:cs="Arial"/>
          <w:sz w:val="22"/>
          <w:szCs w:val="22"/>
        </w:rPr>
        <w:t>(Jékely, 2021) (</w:t>
      </w:r>
      <w:r w:rsidR="00DF4790" w:rsidRPr="00E632ED">
        <w:rPr>
          <w:rFonts w:ascii="Arial" w:hAnsi="Arial" w:cs="Arial"/>
          <w:sz w:val="22"/>
          <w:szCs w:val="22"/>
        </w:rPr>
        <w:t>Sachkova, Modepalli and Kittelmann, 2025)</w:t>
      </w:r>
      <w:r w:rsidR="00E102BA" w:rsidRPr="00E632ED">
        <w:rPr>
          <w:rFonts w:ascii="Arial" w:hAnsi="Arial" w:cs="Arial"/>
          <w:sz w:val="22"/>
          <w:szCs w:val="22"/>
        </w:rPr>
        <w:t xml:space="preserve">. </w:t>
      </w:r>
      <w:r w:rsidR="00DF4790" w:rsidRPr="00E632ED">
        <w:rPr>
          <w:rFonts w:ascii="Arial" w:hAnsi="Arial" w:cs="Arial"/>
          <w:sz w:val="22"/>
          <w:szCs w:val="22"/>
        </w:rPr>
        <w:t>A</w:t>
      </w:r>
      <w:r w:rsidR="00D830A2" w:rsidRPr="00E632ED">
        <w:rPr>
          <w:rFonts w:ascii="Arial" w:hAnsi="Arial" w:cs="Arial"/>
          <w:sz w:val="22"/>
          <w:szCs w:val="22"/>
        </w:rPr>
        <w:t>nd for the placozoans, their peptidergic cell nerve nets share similarities with GPCRs, neuropeptide-processing cells and the neuronal presynaptic scaffold present in cnidarians and bilaterials</w:t>
      </w:r>
      <w:r w:rsidR="005733B7" w:rsidRPr="00E632ED">
        <w:rPr>
          <w:rFonts w:ascii="Arial" w:hAnsi="Arial" w:cs="Arial"/>
          <w:sz w:val="22"/>
          <w:szCs w:val="22"/>
        </w:rPr>
        <w:t xml:space="preserve"> (Burkhardt </w:t>
      </w:r>
      <w:r w:rsidR="005733B7" w:rsidRPr="00E632ED">
        <w:rPr>
          <w:rFonts w:ascii="Arial" w:hAnsi="Arial" w:cs="Arial"/>
          <w:i/>
          <w:iCs/>
          <w:sz w:val="22"/>
          <w:szCs w:val="22"/>
        </w:rPr>
        <w:t>et al.</w:t>
      </w:r>
      <w:r w:rsidR="005733B7" w:rsidRPr="00E632ED">
        <w:rPr>
          <w:rFonts w:ascii="Arial" w:hAnsi="Arial" w:cs="Arial"/>
          <w:sz w:val="22"/>
          <w:szCs w:val="22"/>
        </w:rPr>
        <w:t xml:space="preserve">, 2014) </w:t>
      </w:r>
      <w:r w:rsidR="002444E4" w:rsidRPr="00E632ED">
        <w:rPr>
          <w:rFonts w:ascii="Arial" w:hAnsi="Arial" w:cs="Arial"/>
          <w:sz w:val="22"/>
          <w:szCs w:val="22"/>
        </w:rPr>
        <w:t xml:space="preserve">(Sachkova, Modepalli and Kittelmann, 2025). </w:t>
      </w:r>
      <w:r w:rsidR="00D830A2" w:rsidRPr="00E632ED">
        <w:rPr>
          <w:rFonts w:ascii="Arial" w:hAnsi="Arial" w:cs="Arial"/>
          <w:sz w:val="22"/>
          <w:szCs w:val="22"/>
        </w:rPr>
        <w:t xml:space="preserve">Of note, GPCRs are not only present in these animal groups, but also in ctenophores. Their involvement in the understanding of the first nervous systems, especially in ctenophores, is critical. </w:t>
      </w:r>
    </w:p>
    <w:p w14:paraId="70C8AE1E" w14:textId="4B721BE4" w:rsidR="006114C4" w:rsidRPr="00E632ED" w:rsidRDefault="006114C4" w:rsidP="00E632ED">
      <w:pPr>
        <w:spacing w:line="360" w:lineRule="auto"/>
        <w:jc w:val="both"/>
        <w:rPr>
          <w:rFonts w:ascii="Arial" w:hAnsi="Arial" w:cs="Arial"/>
          <w:b/>
          <w:bCs/>
          <w:sz w:val="22"/>
          <w:szCs w:val="22"/>
        </w:rPr>
      </w:pPr>
      <w:r w:rsidRPr="00E632ED">
        <w:rPr>
          <w:rFonts w:ascii="Arial" w:hAnsi="Arial" w:cs="Arial"/>
          <w:b/>
          <w:bCs/>
          <w:sz w:val="22"/>
          <w:szCs w:val="22"/>
        </w:rPr>
        <w:t>GP</w:t>
      </w:r>
      <w:r w:rsidR="005733B7" w:rsidRPr="00E632ED">
        <w:rPr>
          <w:rFonts w:ascii="Arial" w:hAnsi="Arial" w:cs="Arial"/>
          <w:b/>
          <w:bCs/>
          <w:sz w:val="22"/>
          <w:szCs w:val="22"/>
        </w:rPr>
        <w:t>C</w:t>
      </w:r>
      <w:r w:rsidRPr="00E632ED">
        <w:rPr>
          <w:rFonts w:ascii="Arial" w:hAnsi="Arial" w:cs="Arial"/>
          <w:b/>
          <w:bCs/>
          <w:sz w:val="22"/>
          <w:szCs w:val="22"/>
        </w:rPr>
        <w:t>R in Ctenophora</w:t>
      </w:r>
    </w:p>
    <w:p w14:paraId="2C0A548B" w14:textId="58AE9458" w:rsidR="00463E32" w:rsidRPr="00E632ED" w:rsidRDefault="00D13CC8" w:rsidP="00E632ED">
      <w:pPr>
        <w:spacing w:line="360" w:lineRule="auto"/>
        <w:jc w:val="both"/>
        <w:rPr>
          <w:rFonts w:ascii="Arial" w:hAnsi="Arial" w:cs="Arial"/>
          <w:sz w:val="22"/>
          <w:szCs w:val="22"/>
        </w:rPr>
      </w:pPr>
      <w:r w:rsidRPr="00E632ED">
        <w:rPr>
          <w:rFonts w:ascii="Arial" w:hAnsi="Arial" w:cs="Arial"/>
          <w:sz w:val="22"/>
          <w:szCs w:val="22"/>
        </w:rPr>
        <w:t>Understanding the nervous systems of Ctenophora requires familiarity with the G protein coupled receptors</w:t>
      </w:r>
      <w:r w:rsidR="001F3A61" w:rsidRPr="00E632ED">
        <w:rPr>
          <w:rFonts w:ascii="Arial" w:hAnsi="Arial" w:cs="Arial"/>
          <w:sz w:val="22"/>
          <w:szCs w:val="22"/>
        </w:rPr>
        <w:t xml:space="preserve">. </w:t>
      </w:r>
      <w:r w:rsidR="00093DAE" w:rsidRPr="00E632ED">
        <w:rPr>
          <w:rFonts w:ascii="Arial" w:hAnsi="Arial" w:cs="Arial"/>
          <w:sz w:val="22"/>
          <w:szCs w:val="22"/>
        </w:rPr>
        <w:t xml:space="preserve">These are membrane receptors that transform extracellular signals in intracellular responses. </w:t>
      </w:r>
      <w:r w:rsidR="001F3A61" w:rsidRPr="00E632ED">
        <w:rPr>
          <w:rFonts w:ascii="Arial" w:hAnsi="Arial" w:cs="Arial"/>
          <w:sz w:val="22"/>
          <w:szCs w:val="22"/>
        </w:rPr>
        <w:t xml:space="preserve">They represent the </w:t>
      </w:r>
      <w:r w:rsidR="00FF3296" w:rsidRPr="00E632ED">
        <w:rPr>
          <w:rFonts w:ascii="Arial" w:hAnsi="Arial" w:cs="Arial"/>
          <w:sz w:val="22"/>
          <w:szCs w:val="22"/>
        </w:rPr>
        <w:t>most abundant</w:t>
      </w:r>
      <w:r w:rsidR="001F3A61" w:rsidRPr="00E632ED">
        <w:rPr>
          <w:rFonts w:ascii="Arial" w:hAnsi="Arial" w:cs="Arial"/>
          <w:sz w:val="22"/>
          <w:szCs w:val="22"/>
        </w:rPr>
        <w:t xml:space="preserve"> membrane bound proteins to regulate neurotransmission, hormone releases and immune responses.</w:t>
      </w:r>
      <w:r w:rsidR="002C040A" w:rsidRPr="00E632ED">
        <w:rPr>
          <w:rFonts w:ascii="Arial" w:hAnsi="Arial" w:cs="Arial"/>
          <w:sz w:val="22"/>
          <w:szCs w:val="22"/>
        </w:rPr>
        <w:t xml:space="preserve"> Particularly, ctenophores such as </w:t>
      </w:r>
      <w:r w:rsidR="002C040A" w:rsidRPr="00E632ED">
        <w:rPr>
          <w:rFonts w:ascii="Arial" w:hAnsi="Arial" w:cs="Arial"/>
          <w:i/>
          <w:iCs/>
          <w:sz w:val="22"/>
          <w:szCs w:val="22"/>
        </w:rPr>
        <w:t>M. leidyi</w:t>
      </w:r>
      <w:r w:rsidR="002C040A" w:rsidRPr="00E632ED">
        <w:rPr>
          <w:rFonts w:ascii="Arial" w:hAnsi="Arial" w:cs="Arial"/>
          <w:sz w:val="22"/>
          <w:szCs w:val="22"/>
        </w:rPr>
        <w:t xml:space="preserve"> are known to have at least 3 of the 5 main GPCR families: glutamate, rhodopsin and adhesion </w:t>
      </w:r>
      <w:r w:rsidR="00213D5B" w:rsidRPr="00E632ED">
        <w:rPr>
          <w:rFonts w:ascii="Arial" w:hAnsi="Arial" w:cs="Arial"/>
          <w:sz w:val="22"/>
          <w:szCs w:val="22"/>
        </w:rPr>
        <w:t xml:space="preserve">(Ryan </w:t>
      </w:r>
      <w:r w:rsidR="00213D5B" w:rsidRPr="00E632ED">
        <w:rPr>
          <w:rFonts w:ascii="Arial" w:hAnsi="Arial" w:cs="Arial"/>
          <w:i/>
          <w:iCs/>
          <w:sz w:val="22"/>
          <w:szCs w:val="22"/>
        </w:rPr>
        <w:t>et al.</w:t>
      </w:r>
      <w:r w:rsidR="00213D5B" w:rsidRPr="00E632ED">
        <w:rPr>
          <w:rFonts w:ascii="Arial" w:hAnsi="Arial" w:cs="Arial"/>
          <w:sz w:val="22"/>
          <w:szCs w:val="22"/>
        </w:rPr>
        <w:t>, 2013)</w:t>
      </w:r>
      <w:r w:rsidR="00DF4790" w:rsidRPr="00E632ED">
        <w:rPr>
          <w:rFonts w:ascii="Arial" w:hAnsi="Arial" w:cs="Arial"/>
          <w:sz w:val="22"/>
          <w:szCs w:val="22"/>
        </w:rPr>
        <w:t xml:space="preserve">. </w:t>
      </w:r>
      <w:r w:rsidR="002444E4" w:rsidRPr="00E632ED">
        <w:rPr>
          <w:rFonts w:ascii="Arial" w:hAnsi="Arial" w:cs="Arial"/>
          <w:sz w:val="22"/>
          <w:szCs w:val="22"/>
        </w:rPr>
        <w:t xml:space="preserve">The amount distribution of these receptors is shown for </w:t>
      </w:r>
      <w:r w:rsidR="00A865BE" w:rsidRPr="00E632ED">
        <w:rPr>
          <w:rFonts w:ascii="Arial" w:hAnsi="Arial" w:cs="Arial"/>
          <w:sz w:val="22"/>
          <w:szCs w:val="22"/>
        </w:rPr>
        <w:t xml:space="preserve">other groups is shown in Fig </w:t>
      </w:r>
      <w:r w:rsidR="00DF4790" w:rsidRPr="00E632ED">
        <w:rPr>
          <w:rFonts w:ascii="Arial" w:hAnsi="Arial" w:cs="Arial"/>
          <w:sz w:val="22"/>
          <w:szCs w:val="22"/>
        </w:rPr>
        <w:t>1.</w:t>
      </w:r>
      <w:r w:rsidR="00A865BE" w:rsidRPr="00E632ED">
        <w:rPr>
          <w:rFonts w:ascii="Arial" w:hAnsi="Arial" w:cs="Arial"/>
          <w:sz w:val="22"/>
          <w:szCs w:val="22"/>
        </w:rPr>
        <w:t xml:space="preserve"> </w:t>
      </w:r>
      <w:r w:rsidR="002C040A" w:rsidRPr="00E632ED">
        <w:rPr>
          <w:rFonts w:ascii="Arial" w:hAnsi="Arial" w:cs="Arial"/>
          <w:sz w:val="22"/>
          <w:szCs w:val="22"/>
        </w:rPr>
        <w:t xml:space="preserve">As for Rhodopsin, </w:t>
      </w:r>
      <w:r w:rsidR="00B06252" w:rsidRPr="00E632ED">
        <w:rPr>
          <w:rFonts w:ascii="Arial" w:hAnsi="Arial" w:cs="Arial"/>
          <w:i/>
          <w:iCs/>
          <w:sz w:val="22"/>
          <w:szCs w:val="22"/>
        </w:rPr>
        <w:t>M</w:t>
      </w:r>
      <w:r w:rsidR="002444E4" w:rsidRPr="00E632ED">
        <w:rPr>
          <w:rFonts w:ascii="Arial" w:hAnsi="Arial" w:cs="Arial"/>
          <w:i/>
          <w:iCs/>
          <w:sz w:val="22"/>
          <w:szCs w:val="22"/>
        </w:rPr>
        <w:t>.</w:t>
      </w:r>
      <w:r w:rsidR="00B06252" w:rsidRPr="00E632ED">
        <w:rPr>
          <w:rFonts w:ascii="Arial" w:hAnsi="Arial" w:cs="Arial"/>
          <w:i/>
          <w:iCs/>
          <w:sz w:val="22"/>
          <w:szCs w:val="22"/>
        </w:rPr>
        <w:t xml:space="preserve"> leidyi</w:t>
      </w:r>
      <w:r w:rsidR="00B06252" w:rsidRPr="00E632ED">
        <w:rPr>
          <w:rFonts w:ascii="Arial" w:hAnsi="Arial" w:cs="Arial"/>
          <w:sz w:val="22"/>
          <w:szCs w:val="22"/>
        </w:rPr>
        <w:t xml:space="preserve"> has</w:t>
      </w:r>
      <w:r w:rsidR="00463E32" w:rsidRPr="00E632ED">
        <w:rPr>
          <w:rFonts w:ascii="Arial" w:hAnsi="Arial" w:cs="Arial"/>
          <w:sz w:val="22"/>
          <w:szCs w:val="22"/>
        </w:rPr>
        <w:t xml:space="preserve"> 605 genes with</w:t>
      </w:r>
      <w:r w:rsidR="00B06252" w:rsidRPr="00E632ED">
        <w:rPr>
          <w:rFonts w:ascii="Arial" w:hAnsi="Arial" w:cs="Arial"/>
          <w:sz w:val="22"/>
          <w:szCs w:val="22"/>
        </w:rPr>
        <w:t xml:space="preserve"> homologs to serotonin, adrenergic and adrenaline receptors</w:t>
      </w:r>
      <w:r w:rsidR="006B1E57" w:rsidRPr="00E632ED">
        <w:rPr>
          <w:rFonts w:ascii="Arial" w:hAnsi="Arial" w:cs="Arial"/>
          <w:sz w:val="22"/>
          <w:szCs w:val="22"/>
        </w:rPr>
        <w:t>.</w:t>
      </w:r>
      <w:r w:rsidR="00B06252" w:rsidRPr="00E632ED">
        <w:rPr>
          <w:rFonts w:ascii="Arial" w:hAnsi="Arial" w:cs="Arial"/>
          <w:sz w:val="22"/>
          <w:szCs w:val="22"/>
        </w:rPr>
        <w:t xml:space="preserve"> However, this species lacks the enzymes for synthesis of these neurotransmitters, which could reveal unknown functions for Rhodopsin proteins</w:t>
      </w:r>
      <w:r w:rsidR="002444E4" w:rsidRPr="00E632ED">
        <w:rPr>
          <w:rFonts w:ascii="Arial" w:hAnsi="Arial" w:cs="Arial"/>
          <w:sz w:val="22"/>
          <w:szCs w:val="22"/>
        </w:rPr>
        <w:t xml:space="preserve"> (Krishnan and Schiöth, 2015).</w:t>
      </w:r>
      <w:r w:rsidR="00B06252" w:rsidRPr="00E632ED">
        <w:rPr>
          <w:rFonts w:ascii="Arial" w:hAnsi="Arial" w:cs="Arial"/>
          <w:sz w:val="22"/>
          <w:szCs w:val="22"/>
        </w:rPr>
        <w:t xml:space="preserve"> </w:t>
      </w:r>
      <w:r w:rsidR="006B1E57" w:rsidRPr="00E632ED">
        <w:rPr>
          <w:rFonts w:ascii="Arial" w:hAnsi="Arial" w:cs="Arial"/>
          <w:sz w:val="22"/>
          <w:szCs w:val="22"/>
        </w:rPr>
        <w:t>As for adhesion GPCRs in Ctenophora, their role remains unknown</w:t>
      </w:r>
      <w:r w:rsidR="00463E32" w:rsidRPr="00E632ED">
        <w:rPr>
          <w:rFonts w:ascii="Arial" w:hAnsi="Arial" w:cs="Arial"/>
          <w:sz w:val="22"/>
          <w:szCs w:val="22"/>
        </w:rPr>
        <w:t xml:space="preserve"> despite encoding for 26 adhesion-protein genes</w:t>
      </w:r>
      <w:r w:rsidR="006B1E57" w:rsidRPr="00E632ED">
        <w:rPr>
          <w:rFonts w:ascii="Arial" w:hAnsi="Arial" w:cs="Arial"/>
          <w:sz w:val="22"/>
          <w:szCs w:val="22"/>
        </w:rPr>
        <w:t xml:space="preserve"> </w:t>
      </w:r>
      <w:r w:rsidR="00F4704A" w:rsidRPr="00E632ED">
        <w:rPr>
          <w:rFonts w:ascii="Arial" w:hAnsi="Arial" w:cs="Arial"/>
          <w:sz w:val="22"/>
          <w:szCs w:val="22"/>
        </w:rPr>
        <w:t>(Jékely, 2021).</w:t>
      </w:r>
      <w:r w:rsidR="006B1E57" w:rsidRPr="00E632ED">
        <w:rPr>
          <w:rFonts w:ascii="Arial" w:hAnsi="Arial" w:cs="Arial"/>
          <w:sz w:val="22"/>
          <w:szCs w:val="22"/>
        </w:rPr>
        <w:t xml:space="preserve"> So far, their role in vertebrates includes cell-cell adhesion and synapse formation</w:t>
      </w:r>
      <w:r w:rsidR="00213D5B" w:rsidRPr="00E632ED">
        <w:rPr>
          <w:rFonts w:ascii="Arial" w:hAnsi="Arial" w:cs="Arial"/>
          <w:sz w:val="22"/>
          <w:szCs w:val="22"/>
        </w:rPr>
        <w:t xml:space="preserve"> (Bukalo and Dityatev, 2012)</w:t>
      </w:r>
      <w:r w:rsidR="006B1E57" w:rsidRPr="00E632ED">
        <w:rPr>
          <w:rFonts w:ascii="Arial" w:hAnsi="Arial" w:cs="Arial"/>
          <w:sz w:val="22"/>
          <w:szCs w:val="22"/>
        </w:rPr>
        <w:t xml:space="preserve">. But its role in pre-bilaterial organisms like </w:t>
      </w:r>
      <w:r w:rsidR="006B1E57" w:rsidRPr="00E632ED">
        <w:rPr>
          <w:rFonts w:ascii="Arial" w:hAnsi="Arial" w:cs="Arial"/>
          <w:i/>
          <w:iCs/>
          <w:sz w:val="22"/>
          <w:szCs w:val="22"/>
        </w:rPr>
        <w:t xml:space="preserve">M. leidyi </w:t>
      </w:r>
      <w:r w:rsidR="006B1E57" w:rsidRPr="00E632ED">
        <w:rPr>
          <w:rFonts w:ascii="Arial" w:hAnsi="Arial" w:cs="Arial"/>
          <w:sz w:val="22"/>
          <w:szCs w:val="22"/>
        </w:rPr>
        <w:t xml:space="preserve">remains to be elucidated. Finally, </w:t>
      </w:r>
      <w:r w:rsidR="00463E32" w:rsidRPr="00E632ED">
        <w:rPr>
          <w:rFonts w:ascii="Arial" w:hAnsi="Arial" w:cs="Arial"/>
          <w:sz w:val="22"/>
          <w:szCs w:val="22"/>
        </w:rPr>
        <w:t xml:space="preserve">18 genes for glutamate proteins are present, but little to no information exists to their role other than the presence of conserved N-terminal domains such </w:t>
      </w:r>
      <w:r w:rsidR="00463E32" w:rsidRPr="00E632ED">
        <w:rPr>
          <w:rFonts w:ascii="Arial" w:hAnsi="Arial" w:cs="Arial"/>
          <w:sz w:val="22"/>
          <w:szCs w:val="22"/>
        </w:rPr>
        <w:lastRenderedPageBreak/>
        <w:t xml:space="preserve">as the Venus-flytrap domain (ligand binding domain) and a cysteine rich domain (CRD) </w:t>
      </w:r>
      <w:r w:rsidR="002444E4" w:rsidRPr="00E632ED">
        <w:rPr>
          <w:rFonts w:ascii="Arial" w:hAnsi="Arial" w:cs="Arial"/>
          <w:sz w:val="22"/>
          <w:szCs w:val="22"/>
        </w:rPr>
        <w:t>(Krishnan and Schiöth, 2015)</w:t>
      </w:r>
      <w:r w:rsidR="00463E32" w:rsidRPr="00E632ED">
        <w:rPr>
          <w:rFonts w:ascii="Arial" w:hAnsi="Arial" w:cs="Arial"/>
          <w:sz w:val="22"/>
          <w:szCs w:val="22"/>
        </w:rPr>
        <w:t xml:space="preserve">. </w:t>
      </w:r>
      <w:r w:rsidR="00CE11B1" w:rsidRPr="00E632ED">
        <w:rPr>
          <w:rFonts w:ascii="Arial" w:hAnsi="Arial" w:cs="Arial"/>
          <w:sz w:val="22"/>
          <w:szCs w:val="22"/>
        </w:rPr>
        <w:t>So far, these information gaps represent a central role in the methodology discussed further in this work.</w:t>
      </w:r>
    </w:p>
    <w:p w14:paraId="527C9A15" w14:textId="77777777" w:rsidR="00AF1ABE" w:rsidRPr="00E632ED" w:rsidRDefault="00AF1ABE" w:rsidP="00E632ED">
      <w:pPr>
        <w:spacing w:line="360" w:lineRule="auto"/>
        <w:jc w:val="both"/>
        <w:rPr>
          <w:rFonts w:ascii="Arial" w:hAnsi="Arial" w:cs="Arial"/>
          <w:sz w:val="22"/>
          <w:szCs w:val="22"/>
        </w:rPr>
      </w:pPr>
    </w:p>
    <w:p w14:paraId="4FA80F01" w14:textId="75BB3507" w:rsidR="006114C4" w:rsidRPr="00E632ED" w:rsidRDefault="006114C4" w:rsidP="00E632ED">
      <w:pPr>
        <w:spacing w:line="360" w:lineRule="auto"/>
        <w:jc w:val="both"/>
        <w:rPr>
          <w:rFonts w:ascii="Arial" w:hAnsi="Arial" w:cs="Arial"/>
          <w:b/>
          <w:bCs/>
          <w:sz w:val="22"/>
          <w:szCs w:val="22"/>
        </w:rPr>
      </w:pPr>
      <w:r w:rsidRPr="00E632ED">
        <w:rPr>
          <w:rFonts w:ascii="Arial" w:hAnsi="Arial" w:cs="Arial"/>
          <w:b/>
          <w:bCs/>
          <w:sz w:val="22"/>
          <w:szCs w:val="22"/>
        </w:rPr>
        <w:t>Neuropeptide repertoire</w:t>
      </w:r>
    </w:p>
    <w:p w14:paraId="600EABB6" w14:textId="52C64E26" w:rsidR="00F71892" w:rsidRPr="00E632ED" w:rsidRDefault="006114C4" w:rsidP="00E632ED">
      <w:pPr>
        <w:spacing w:line="360" w:lineRule="auto"/>
        <w:jc w:val="both"/>
        <w:rPr>
          <w:rFonts w:ascii="Arial" w:hAnsi="Arial" w:cs="Arial"/>
          <w:sz w:val="22"/>
          <w:szCs w:val="22"/>
        </w:rPr>
      </w:pPr>
      <w:r w:rsidRPr="00E632ED">
        <w:rPr>
          <w:rFonts w:ascii="Arial" w:hAnsi="Arial" w:cs="Arial"/>
          <w:sz w:val="22"/>
          <w:szCs w:val="22"/>
        </w:rPr>
        <w:t xml:space="preserve">As for the neuropeptides present in M leidyi., </w:t>
      </w:r>
      <w:r w:rsidR="00D830A2" w:rsidRPr="00E632ED">
        <w:rPr>
          <w:rFonts w:ascii="Arial" w:hAnsi="Arial" w:cs="Arial"/>
          <w:sz w:val="22"/>
          <w:szCs w:val="22"/>
        </w:rPr>
        <w:t xml:space="preserve">it is believed that their nervous system evolved independently. A study by Sachkova </w:t>
      </w:r>
      <w:r w:rsidR="00D830A2" w:rsidRPr="00E632ED">
        <w:rPr>
          <w:rFonts w:ascii="Arial" w:hAnsi="Arial" w:cs="Arial"/>
          <w:i/>
          <w:iCs/>
          <w:sz w:val="22"/>
          <w:szCs w:val="22"/>
        </w:rPr>
        <w:t>et al</w:t>
      </w:r>
      <w:r w:rsidR="00D830A2" w:rsidRPr="00E632ED">
        <w:rPr>
          <w:rFonts w:ascii="Arial" w:hAnsi="Arial" w:cs="Arial"/>
          <w:sz w:val="22"/>
          <w:szCs w:val="22"/>
        </w:rPr>
        <w:t xml:space="preserve"> (</w:t>
      </w:r>
      <w:r w:rsidR="00F4704A" w:rsidRPr="00E632ED">
        <w:rPr>
          <w:rFonts w:ascii="Arial" w:hAnsi="Arial" w:cs="Arial"/>
          <w:sz w:val="22"/>
          <w:szCs w:val="22"/>
        </w:rPr>
        <w:t>2024</w:t>
      </w:r>
      <w:r w:rsidR="00D830A2" w:rsidRPr="00E632ED">
        <w:rPr>
          <w:rFonts w:ascii="Arial" w:hAnsi="Arial" w:cs="Arial"/>
          <w:sz w:val="22"/>
          <w:szCs w:val="22"/>
        </w:rPr>
        <w:t>)</w:t>
      </w:r>
      <w:r w:rsidR="00D368C3" w:rsidRPr="00E632ED">
        <w:rPr>
          <w:rFonts w:ascii="Arial" w:hAnsi="Arial" w:cs="Arial"/>
          <w:sz w:val="22"/>
          <w:szCs w:val="22"/>
        </w:rPr>
        <w:t xml:space="preserve"> found </w:t>
      </w:r>
      <w:r w:rsidR="00227805" w:rsidRPr="00E632ED">
        <w:rPr>
          <w:rFonts w:ascii="Arial" w:hAnsi="Arial" w:cs="Arial"/>
          <w:sz w:val="22"/>
          <w:szCs w:val="22"/>
        </w:rPr>
        <w:t xml:space="preserve">129 putative </w:t>
      </w:r>
      <w:r w:rsidR="00D368C3" w:rsidRPr="00E632ED">
        <w:rPr>
          <w:rFonts w:ascii="Arial" w:hAnsi="Arial" w:cs="Arial"/>
          <w:sz w:val="22"/>
          <w:szCs w:val="22"/>
        </w:rPr>
        <w:t xml:space="preserve">peptide </w:t>
      </w:r>
      <w:r w:rsidR="00227805" w:rsidRPr="00E632ED">
        <w:rPr>
          <w:rFonts w:ascii="Arial" w:hAnsi="Arial" w:cs="Arial"/>
          <w:sz w:val="22"/>
          <w:szCs w:val="22"/>
        </w:rPr>
        <w:t>precursors, being 16 of them localized in the subepithelial nerve net (SNN), sensory aboral organ (SAO) and epithelial sensory cells (ESC)</w:t>
      </w:r>
      <w:r w:rsidR="00F71892" w:rsidRPr="00E632ED">
        <w:rPr>
          <w:rFonts w:ascii="Arial" w:hAnsi="Arial" w:cs="Arial"/>
          <w:sz w:val="22"/>
          <w:szCs w:val="22"/>
        </w:rPr>
        <w:t xml:space="preserve"> mainly</w:t>
      </w:r>
      <w:r w:rsidR="00C040FE" w:rsidRPr="00E632ED">
        <w:rPr>
          <w:rFonts w:ascii="Arial" w:hAnsi="Arial" w:cs="Arial"/>
          <w:sz w:val="22"/>
          <w:szCs w:val="22"/>
        </w:rPr>
        <w:t xml:space="preserve">. A more detailed morphologic schematic of these body parts is shown in Fig </w:t>
      </w:r>
      <w:r w:rsidR="00DF4790" w:rsidRPr="00E632ED">
        <w:rPr>
          <w:rFonts w:ascii="Arial" w:hAnsi="Arial" w:cs="Arial"/>
          <w:sz w:val="22"/>
          <w:szCs w:val="22"/>
        </w:rPr>
        <w:t>2</w:t>
      </w:r>
      <w:r w:rsidR="00F71892" w:rsidRPr="00E632ED">
        <w:rPr>
          <w:rFonts w:ascii="Arial" w:hAnsi="Arial" w:cs="Arial"/>
          <w:sz w:val="22"/>
          <w:szCs w:val="22"/>
        </w:rPr>
        <w:t>.</w:t>
      </w:r>
    </w:p>
    <w:p w14:paraId="437AFF28" w14:textId="7078A31B" w:rsidR="00F71892" w:rsidRPr="00E632ED" w:rsidRDefault="00F71892" w:rsidP="00E632ED">
      <w:pPr>
        <w:spacing w:line="360" w:lineRule="auto"/>
        <w:jc w:val="both"/>
        <w:rPr>
          <w:rFonts w:ascii="Arial" w:hAnsi="Arial" w:cs="Arial"/>
          <w:sz w:val="22"/>
          <w:szCs w:val="22"/>
        </w:rPr>
      </w:pPr>
      <w:r w:rsidRPr="00E632ED">
        <w:rPr>
          <w:rFonts w:ascii="Arial" w:hAnsi="Arial" w:cs="Arial"/>
          <w:sz w:val="22"/>
          <w:szCs w:val="22"/>
        </w:rPr>
        <w:t xml:space="preserve">The subepithelial nerve net can be described as a nerve net throughout the epidermis, and their neurites and cell bodies can be found across other epidermal cell types. It has a </w:t>
      </w:r>
      <w:r w:rsidR="00AD4331" w:rsidRPr="00E632ED">
        <w:rPr>
          <w:rFonts w:ascii="Arial" w:hAnsi="Arial" w:cs="Arial"/>
          <w:sz w:val="22"/>
          <w:szCs w:val="22"/>
        </w:rPr>
        <w:t>distributed neuronal network located beneath the epidermis</w:t>
      </w:r>
      <w:r w:rsidR="000F0D4E" w:rsidRPr="00E632ED">
        <w:rPr>
          <w:rFonts w:ascii="Arial" w:hAnsi="Arial" w:cs="Arial"/>
          <w:sz w:val="22"/>
          <w:szCs w:val="22"/>
        </w:rPr>
        <w:t>. The aboral organ is better described as a complex containing an apical organ and polar fields</w:t>
      </w:r>
      <w:r w:rsidR="00AA28D6" w:rsidRPr="00E632ED">
        <w:rPr>
          <w:rFonts w:ascii="Arial" w:hAnsi="Arial" w:cs="Arial"/>
          <w:sz w:val="22"/>
          <w:szCs w:val="22"/>
        </w:rPr>
        <w:t xml:space="preserve"> (Hernandez</w:t>
      </w:r>
      <w:r w:rsidR="00AA28D6" w:rsidRPr="00E632ED">
        <w:rPr>
          <w:rFonts w:ascii="Arial" w:hAnsi="Arial" w:cs="Arial"/>
          <w:sz w:val="22"/>
          <w:szCs w:val="22"/>
        </w:rPr>
        <w:noBreakHyphen/>
        <w:t>Nicaise, 1991)</w:t>
      </w:r>
      <w:r w:rsidR="000F0D4E" w:rsidRPr="00E632ED">
        <w:rPr>
          <w:rFonts w:ascii="Arial" w:hAnsi="Arial" w:cs="Arial"/>
          <w:sz w:val="22"/>
          <w:szCs w:val="22"/>
        </w:rPr>
        <w:t>. The apical organ</w:t>
      </w:r>
      <w:r w:rsidR="00CA4980" w:rsidRPr="00E632ED">
        <w:rPr>
          <w:rFonts w:ascii="Arial" w:hAnsi="Arial" w:cs="Arial"/>
          <w:sz w:val="22"/>
          <w:szCs w:val="22"/>
        </w:rPr>
        <w:t xml:space="preserve"> is a sensory and balance organ at the opposite end of the mouth</w:t>
      </w:r>
      <w:r w:rsidR="001673A2" w:rsidRPr="00E632ED">
        <w:rPr>
          <w:rFonts w:ascii="Arial" w:hAnsi="Arial" w:cs="Arial"/>
          <w:sz w:val="22"/>
          <w:szCs w:val="22"/>
        </w:rPr>
        <w:t xml:space="preserve"> and</w:t>
      </w:r>
      <w:r w:rsidR="000F0D4E" w:rsidRPr="00E632ED">
        <w:rPr>
          <w:rFonts w:ascii="Arial" w:hAnsi="Arial" w:cs="Arial"/>
          <w:sz w:val="22"/>
          <w:szCs w:val="22"/>
        </w:rPr>
        <w:t xml:space="preserve"> </w:t>
      </w:r>
      <w:r w:rsidR="0035770B" w:rsidRPr="00E632ED">
        <w:rPr>
          <w:rFonts w:ascii="Arial" w:hAnsi="Arial" w:cs="Arial"/>
          <w:sz w:val="22"/>
          <w:szCs w:val="22"/>
        </w:rPr>
        <w:t>is in</w:t>
      </w:r>
      <w:r w:rsidR="000F0D4E" w:rsidRPr="00E632ED">
        <w:rPr>
          <w:rFonts w:ascii="Arial" w:hAnsi="Arial" w:cs="Arial"/>
          <w:sz w:val="22"/>
          <w:szCs w:val="22"/>
        </w:rPr>
        <w:t xml:space="preserve"> the aboral </w:t>
      </w:r>
      <w:r w:rsidR="00AA28D6" w:rsidRPr="00E632ED">
        <w:rPr>
          <w:rFonts w:ascii="Arial" w:hAnsi="Arial" w:cs="Arial"/>
          <w:sz w:val="22"/>
          <w:szCs w:val="22"/>
        </w:rPr>
        <w:t>pole and</w:t>
      </w:r>
      <w:r w:rsidR="000F0D4E" w:rsidRPr="00E632ED">
        <w:rPr>
          <w:rFonts w:ascii="Arial" w:hAnsi="Arial" w:cs="Arial"/>
          <w:sz w:val="22"/>
          <w:szCs w:val="22"/>
        </w:rPr>
        <w:t xml:space="preserve"> is responsible for detecting gravity and environmental stimuli</w:t>
      </w:r>
      <w:r w:rsidR="001D2743" w:rsidRPr="00E632ED">
        <w:rPr>
          <w:rFonts w:ascii="Arial" w:hAnsi="Arial" w:cs="Arial"/>
          <w:sz w:val="22"/>
          <w:szCs w:val="22"/>
        </w:rPr>
        <w:t>. Its cells, denominated as ciliated, control comb row and beating frequency. The polar fields,</w:t>
      </w:r>
      <w:r w:rsidR="00093DAE" w:rsidRPr="00E632ED">
        <w:rPr>
          <w:rFonts w:ascii="Arial" w:hAnsi="Arial" w:cs="Arial"/>
          <w:sz w:val="22"/>
          <w:szCs w:val="22"/>
        </w:rPr>
        <w:t xml:space="preserve"> paired ciliated structures near the aboral organ</w:t>
      </w:r>
      <w:r w:rsidR="001D2743" w:rsidRPr="00E632ED">
        <w:rPr>
          <w:rFonts w:ascii="Arial" w:hAnsi="Arial" w:cs="Arial"/>
          <w:sz w:val="22"/>
          <w:szCs w:val="22"/>
        </w:rPr>
        <w:t xml:space="preserve">, are two tongue shaped flanking areas </w:t>
      </w:r>
      <w:r w:rsidR="005B370E" w:rsidRPr="00E632ED">
        <w:rPr>
          <w:rFonts w:ascii="Arial" w:hAnsi="Arial" w:cs="Arial"/>
          <w:sz w:val="22"/>
          <w:szCs w:val="22"/>
        </w:rPr>
        <w:t>in the complex</w:t>
      </w:r>
      <w:r w:rsidR="0035770B" w:rsidRPr="00E632ED">
        <w:rPr>
          <w:rFonts w:ascii="Arial" w:hAnsi="Arial" w:cs="Arial"/>
          <w:sz w:val="22"/>
          <w:szCs w:val="22"/>
        </w:rPr>
        <w:t xml:space="preserve"> (Jager </w:t>
      </w:r>
      <w:r w:rsidR="0035770B" w:rsidRPr="00E632ED">
        <w:rPr>
          <w:rFonts w:ascii="Arial" w:hAnsi="Arial" w:cs="Arial"/>
          <w:i/>
          <w:iCs/>
          <w:sz w:val="22"/>
          <w:szCs w:val="22"/>
        </w:rPr>
        <w:t>et al.</w:t>
      </w:r>
      <w:r w:rsidR="0035770B" w:rsidRPr="00E632ED">
        <w:rPr>
          <w:rFonts w:ascii="Arial" w:hAnsi="Arial" w:cs="Arial"/>
          <w:sz w:val="22"/>
          <w:szCs w:val="22"/>
        </w:rPr>
        <w:t xml:space="preserve">, 2010). </w:t>
      </w:r>
      <w:r w:rsidR="005B370E" w:rsidRPr="00E632ED">
        <w:rPr>
          <w:rFonts w:ascii="Arial" w:hAnsi="Arial" w:cs="Arial"/>
          <w:sz w:val="22"/>
          <w:szCs w:val="22"/>
        </w:rPr>
        <w:t>Its function is still not fully studied but a work from</w:t>
      </w:r>
      <w:r w:rsidR="0035770B" w:rsidRPr="00E632ED">
        <w:rPr>
          <w:rFonts w:ascii="Arial" w:hAnsi="Arial" w:cs="Arial"/>
          <w:sz w:val="22"/>
          <w:szCs w:val="22"/>
        </w:rPr>
        <w:t xml:space="preserve"> Jager </w:t>
      </w:r>
      <w:r w:rsidR="005B370E" w:rsidRPr="00E632ED">
        <w:rPr>
          <w:rFonts w:ascii="Arial" w:hAnsi="Arial" w:cs="Arial"/>
          <w:sz w:val="22"/>
          <w:szCs w:val="22"/>
        </w:rPr>
        <w:t xml:space="preserve">hypothesizes a function based on its shape. It is well known that this animal </w:t>
      </w:r>
      <w:r w:rsidR="001673A2" w:rsidRPr="00E632ED">
        <w:rPr>
          <w:rFonts w:ascii="Arial" w:hAnsi="Arial" w:cs="Arial"/>
          <w:sz w:val="22"/>
          <w:szCs w:val="22"/>
        </w:rPr>
        <w:t>can</w:t>
      </w:r>
      <w:r w:rsidR="005B370E" w:rsidRPr="00E632ED">
        <w:rPr>
          <w:rFonts w:ascii="Arial" w:hAnsi="Arial" w:cs="Arial"/>
          <w:sz w:val="22"/>
          <w:szCs w:val="22"/>
        </w:rPr>
        <w:t xml:space="preserve"> move vertically due to contraction of deep </w:t>
      </w:r>
      <w:r w:rsidR="001673A2" w:rsidRPr="00E632ED">
        <w:rPr>
          <w:rFonts w:ascii="Arial" w:hAnsi="Arial" w:cs="Arial"/>
          <w:sz w:val="22"/>
          <w:szCs w:val="22"/>
        </w:rPr>
        <w:t>mesoglea</w:t>
      </w:r>
      <w:r w:rsidR="005B370E" w:rsidRPr="00E632ED">
        <w:rPr>
          <w:rFonts w:ascii="Arial" w:hAnsi="Arial" w:cs="Arial"/>
          <w:sz w:val="22"/>
          <w:szCs w:val="22"/>
        </w:rPr>
        <w:t xml:space="preserve"> muscle </w:t>
      </w:r>
      <w:r w:rsidR="001673A2" w:rsidRPr="00E632ED">
        <w:rPr>
          <w:rFonts w:ascii="Arial" w:hAnsi="Arial" w:cs="Arial"/>
          <w:sz w:val="22"/>
          <w:szCs w:val="22"/>
        </w:rPr>
        <w:t>fibres</w:t>
      </w:r>
      <w:r w:rsidR="005B370E" w:rsidRPr="00E632ED">
        <w:rPr>
          <w:rFonts w:ascii="Arial" w:hAnsi="Arial" w:cs="Arial"/>
          <w:sz w:val="22"/>
          <w:szCs w:val="22"/>
        </w:rPr>
        <w:t xml:space="preserve">. The polar field muscles might be involved in antagonizing this movement to trigger the upwards migration of the apical organ. Finally, </w:t>
      </w:r>
      <w:r w:rsidR="001673A2" w:rsidRPr="00E632ED">
        <w:rPr>
          <w:rFonts w:ascii="Arial" w:hAnsi="Arial" w:cs="Arial"/>
          <w:sz w:val="22"/>
          <w:szCs w:val="22"/>
        </w:rPr>
        <w:t>epithelial</w:t>
      </w:r>
      <w:r w:rsidR="003A4091" w:rsidRPr="00E632ED">
        <w:rPr>
          <w:rFonts w:ascii="Arial" w:hAnsi="Arial" w:cs="Arial"/>
          <w:sz w:val="22"/>
          <w:szCs w:val="22"/>
        </w:rPr>
        <w:t xml:space="preserve"> sensory cells are also ciliated in the form of vibroreceptors and hoplocytes and can establish synapses with neurons of the subepithelial polygonal nerve net</w:t>
      </w:r>
      <w:r w:rsidR="00F4704A" w:rsidRPr="00E632ED">
        <w:rPr>
          <w:rFonts w:ascii="Arial" w:hAnsi="Arial" w:cs="Arial"/>
          <w:sz w:val="22"/>
          <w:szCs w:val="22"/>
        </w:rPr>
        <w:t xml:space="preserve"> (Jager </w:t>
      </w:r>
      <w:r w:rsidR="00F4704A" w:rsidRPr="00E632ED">
        <w:rPr>
          <w:rFonts w:ascii="Arial" w:hAnsi="Arial" w:cs="Arial"/>
          <w:i/>
          <w:iCs/>
          <w:sz w:val="22"/>
          <w:szCs w:val="22"/>
        </w:rPr>
        <w:t>et al.</w:t>
      </w:r>
      <w:r w:rsidR="00F4704A" w:rsidRPr="00E632ED">
        <w:rPr>
          <w:rFonts w:ascii="Arial" w:hAnsi="Arial" w:cs="Arial"/>
          <w:sz w:val="22"/>
          <w:szCs w:val="22"/>
        </w:rPr>
        <w:t>, 2010)</w:t>
      </w:r>
      <w:r w:rsidR="00AA28D6" w:rsidRPr="00E632ED">
        <w:rPr>
          <w:rFonts w:ascii="Arial" w:hAnsi="Arial" w:cs="Arial"/>
          <w:sz w:val="22"/>
          <w:szCs w:val="22"/>
        </w:rPr>
        <w:t xml:space="preserve"> (Hernandez</w:t>
      </w:r>
      <w:r w:rsidR="00AA28D6" w:rsidRPr="00E632ED">
        <w:rPr>
          <w:rFonts w:ascii="Arial" w:hAnsi="Arial" w:cs="Arial"/>
          <w:sz w:val="22"/>
          <w:szCs w:val="22"/>
        </w:rPr>
        <w:noBreakHyphen/>
        <w:t>Nicaise, 1991)</w:t>
      </w:r>
      <w:r w:rsidR="00F4704A" w:rsidRPr="00E632ED">
        <w:rPr>
          <w:rFonts w:ascii="Arial" w:hAnsi="Arial" w:cs="Arial"/>
          <w:sz w:val="22"/>
          <w:szCs w:val="22"/>
        </w:rPr>
        <w:t>.</w:t>
      </w:r>
    </w:p>
    <w:p w14:paraId="71894DA3" w14:textId="054E68AC" w:rsidR="00D830A2" w:rsidRPr="00E632ED" w:rsidRDefault="003839E4" w:rsidP="00E632ED">
      <w:pPr>
        <w:spacing w:line="360" w:lineRule="auto"/>
        <w:jc w:val="both"/>
        <w:rPr>
          <w:rFonts w:ascii="Arial" w:hAnsi="Arial" w:cs="Arial"/>
          <w:sz w:val="22"/>
          <w:szCs w:val="22"/>
        </w:rPr>
      </w:pPr>
      <w:r w:rsidRPr="00E632ED">
        <w:rPr>
          <w:rFonts w:ascii="Arial" w:hAnsi="Arial" w:cs="Arial"/>
          <w:sz w:val="22"/>
          <w:szCs w:val="22"/>
        </w:rPr>
        <w:t>As a whole, these peptides</w:t>
      </w:r>
      <w:r w:rsidR="00C50B59" w:rsidRPr="00E632ED">
        <w:rPr>
          <w:rFonts w:ascii="Arial" w:hAnsi="Arial" w:cs="Arial"/>
          <w:sz w:val="22"/>
          <w:szCs w:val="22"/>
        </w:rPr>
        <w:t xml:space="preserve"> have been found out to have a role in the neuro-sensory system and behaviour including swimming speed. </w:t>
      </w:r>
      <w:r w:rsidR="00227805" w:rsidRPr="00E632ED">
        <w:rPr>
          <w:rFonts w:ascii="Arial" w:hAnsi="Arial" w:cs="Arial"/>
          <w:sz w:val="22"/>
          <w:szCs w:val="22"/>
        </w:rPr>
        <w:t>They constitute a peptidergic nerve net, which means that the nervous system is triggered by neuropeptides</w:t>
      </w:r>
      <w:r w:rsidR="00AA28D6" w:rsidRPr="00E632ED">
        <w:rPr>
          <w:rFonts w:ascii="Arial" w:hAnsi="Arial" w:cs="Arial"/>
          <w:sz w:val="22"/>
          <w:szCs w:val="22"/>
        </w:rPr>
        <w:t xml:space="preserve"> (Jager </w:t>
      </w:r>
      <w:r w:rsidR="00AA28D6" w:rsidRPr="00E632ED">
        <w:rPr>
          <w:rFonts w:ascii="Arial" w:hAnsi="Arial" w:cs="Arial"/>
          <w:i/>
          <w:iCs/>
          <w:sz w:val="22"/>
          <w:szCs w:val="22"/>
        </w:rPr>
        <w:t>et al.</w:t>
      </w:r>
      <w:r w:rsidR="00AA28D6" w:rsidRPr="00E632ED">
        <w:rPr>
          <w:rFonts w:ascii="Arial" w:hAnsi="Arial" w:cs="Arial"/>
          <w:sz w:val="22"/>
          <w:szCs w:val="22"/>
        </w:rPr>
        <w:t>, 2010)</w:t>
      </w:r>
      <w:r w:rsidR="00227805" w:rsidRPr="00E632ED">
        <w:rPr>
          <w:rFonts w:ascii="Arial" w:hAnsi="Arial" w:cs="Arial"/>
          <w:sz w:val="22"/>
          <w:szCs w:val="22"/>
        </w:rPr>
        <w:t xml:space="preserve">. </w:t>
      </w:r>
      <w:r w:rsidR="00C50B59" w:rsidRPr="00E632ED">
        <w:rPr>
          <w:rFonts w:ascii="Arial" w:hAnsi="Arial" w:cs="Arial"/>
          <w:sz w:val="22"/>
          <w:szCs w:val="22"/>
        </w:rPr>
        <w:t>Together, the peptides form an interconnected network of neurites through anastomoses (continuous membranes) which has not been observed in other metazoans</w:t>
      </w:r>
      <w:r w:rsidR="0009781E" w:rsidRPr="00E632ED">
        <w:rPr>
          <w:rFonts w:ascii="Arial" w:hAnsi="Arial" w:cs="Arial"/>
          <w:sz w:val="22"/>
          <w:szCs w:val="22"/>
        </w:rPr>
        <w:t xml:space="preserve"> (Sachkova </w:t>
      </w:r>
      <w:r w:rsidR="0009781E" w:rsidRPr="00E632ED">
        <w:rPr>
          <w:rFonts w:ascii="Arial" w:hAnsi="Arial" w:cs="Arial"/>
          <w:i/>
          <w:iCs/>
          <w:sz w:val="22"/>
          <w:szCs w:val="22"/>
        </w:rPr>
        <w:t>et al.</w:t>
      </w:r>
      <w:r w:rsidR="0009781E" w:rsidRPr="00E632ED">
        <w:rPr>
          <w:rFonts w:ascii="Arial" w:hAnsi="Arial" w:cs="Arial"/>
          <w:sz w:val="22"/>
          <w:szCs w:val="22"/>
        </w:rPr>
        <w:t>, 2021)</w:t>
      </w:r>
      <w:r w:rsidR="00C50B59" w:rsidRPr="00E632ED">
        <w:rPr>
          <w:rFonts w:ascii="Arial" w:hAnsi="Arial" w:cs="Arial"/>
          <w:sz w:val="22"/>
          <w:szCs w:val="22"/>
        </w:rPr>
        <w:t>. In fact, the neuropeptide repertoire is highly divergent from other ctenophores and cannot be homologized due to n</w:t>
      </w:r>
      <w:r w:rsidR="00227805" w:rsidRPr="00E632ED">
        <w:rPr>
          <w:rFonts w:ascii="Arial" w:hAnsi="Arial" w:cs="Arial"/>
          <w:sz w:val="22"/>
          <w:szCs w:val="22"/>
        </w:rPr>
        <w:t xml:space="preserve">europeptides </w:t>
      </w:r>
      <w:r w:rsidR="00C50B59" w:rsidRPr="00E632ED">
        <w:rPr>
          <w:rFonts w:ascii="Arial" w:hAnsi="Arial" w:cs="Arial"/>
          <w:sz w:val="22"/>
          <w:szCs w:val="22"/>
        </w:rPr>
        <w:t>being f</w:t>
      </w:r>
      <w:r w:rsidR="00227805" w:rsidRPr="00E632ED">
        <w:rPr>
          <w:rFonts w:ascii="Arial" w:hAnsi="Arial" w:cs="Arial"/>
          <w:sz w:val="22"/>
          <w:szCs w:val="22"/>
        </w:rPr>
        <w:t>ast evolving</w:t>
      </w:r>
      <w:r w:rsidR="00E77CBD" w:rsidRPr="00E632ED">
        <w:rPr>
          <w:rFonts w:ascii="Arial" w:eastAsia="Times New Roman" w:hAnsi="Arial" w:cs="Arial"/>
          <w:kern w:val="0"/>
          <w:sz w:val="22"/>
          <w:szCs w:val="22"/>
          <w:lang w:eastAsia="en-GB"/>
          <w14:ligatures w14:val="none"/>
        </w:rPr>
        <w:t xml:space="preserve"> </w:t>
      </w:r>
      <w:r w:rsidR="00E77CBD" w:rsidRPr="00E632ED">
        <w:rPr>
          <w:rFonts w:ascii="Arial" w:hAnsi="Arial" w:cs="Arial"/>
          <w:sz w:val="22"/>
          <w:szCs w:val="22"/>
        </w:rPr>
        <w:t xml:space="preserve">(Ryan </w:t>
      </w:r>
      <w:r w:rsidR="00E77CBD" w:rsidRPr="00E632ED">
        <w:rPr>
          <w:rFonts w:ascii="Arial" w:hAnsi="Arial" w:cs="Arial"/>
          <w:i/>
          <w:iCs/>
          <w:sz w:val="22"/>
          <w:szCs w:val="22"/>
        </w:rPr>
        <w:t>et al.</w:t>
      </w:r>
      <w:r w:rsidR="00E77CBD" w:rsidRPr="00E632ED">
        <w:rPr>
          <w:rFonts w:ascii="Arial" w:hAnsi="Arial" w:cs="Arial"/>
          <w:sz w:val="22"/>
          <w:szCs w:val="22"/>
        </w:rPr>
        <w:t>, 2013)</w:t>
      </w:r>
      <w:r w:rsidR="00C50B59" w:rsidRPr="00E632ED">
        <w:rPr>
          <w:rFonts w:ascii="Arial" w:hAnsi="Arial" w:cs="Arial"/>
          <w:sz w:val="22"/>
          <w:szCs w:val="22"/>
        </w:rPr>
        <w:t>, although many putative neuropeptides are conserved across ctenophores. They</w:t>
      </w:r>
      <w:r w:rsidR="00227805" w:rsidRPr="00E632ED">
        <w:rPr>
          <w:rFonts w:ascii="Arial" w:hAnsi="Arial" w:cs="Arial"/>
          <w:sz w:val="22"/>
          <w:szCs w:val="22"/>
        </w:rPr>
        <w:t xml:space="preserve"> are believed to be </w:t>
      </w:r>
      <w:r w:rsidR="00AE588E" w:rsidRPr="00E632ED">
        <w:rPr>
          <w:rFonts w:ascii="Arial" w:hAnsi="Arial" w:cs="Arial"/>
          <w:sz w:val="22"/>
          <w:szCs w:val="22"/>
        </w:rPr>
        <w:t>produced by precursors</w:t>
      </w:r>
      <w:r w:rsidR="0009781E" w:rsidRPr="00E632ED">
        <w:rPr>
          <w:rFonts w:ascii="Arial" w:hAnsi="Arial" w:cs="Arial"/>
          <w:sz w:val="22"/>
          <w:szCs w:val="22"/>
        </w:rPr>
        <w:t>-</w:t>
      </w:r>
      <w:r w:rsidR="00AE588E" w:rsidRPr="00E632ED">
        <w:rPr>
          <w:rFonts w:ascii="Arial" w:hAnsi="Arial" w:cs="Arial"/>
          <w:sz w:val="22"/>
          <w:szCs w:val="22"/>
        </w:rPr>
        <w:t xml:space="preserve">like neurons. </w:t>
      </w:r>
      <w:r w:rsidR="00C50B59" w:rsidRPr="00E632ED">
        <w:rPr>
          <w:rFonts w:ascii="Arial" w:hAnsi="Arial" w:cs="Arial"/>
          <w:sz w:val="22"/>
          <w:szCs w:val="22"/>
        </w:rPr>
        <w:t>Based on this, e</w:t>
      </w:r>
      <w:r w:rsidR="00AE588E" w:rsidRPr="00E632ED">
        <w:rPr>
          <w:rFonts w:ascii="Arial" w:hAnsi="Arial" w:cs="Arial"/>
          <w:sz w:val="22"/>
          <w:szCs w:val="22"/>
        </w:rPr>
        <w:t xml:space="preserve">nrichment in these precursors would signal enrichment of the neuropeptides, which still need to undergo a muli-step processing to </w:t>
      </w:r>
      <w:r w:rsidR="00AE588E" w:rsidRPr="00E632ED">
        <w:rPr>
          <w:rFonts w:ascii="Arial" w:hAnsi="Arial" w:cs="Arial"/>
          <w:sz w:val="22"/>
          <w:szCs w:val="22"/>
        </w:rPr>
        <w:lastRenderedPageBreak/>
        <w:t>become mature and functiona</w:t>
      </w:r>
      <w:r w:rsidR="00B160F6" w:rsidRPr="00E632ED">
        <w:rPr>
          <w:rFonts w:ascii="Arial" w:hAnsi="Arial" w:cs="Arial"/>
          <w:sz w:val="22"/>
          <w:szCs w:val="22"/>
        </w:rPr>
        <w:t xml:space="preserve">l (Sachkova </w:t>
      </w:r>
      <w:r w:rsidR="00B160F6" w:rsidRPr="00E632ED">
        <w:rPr>
          <w:rFonts w:ascii="Arial" w:hAnsi="Arial" w:cs="Arial"/>
          <w:i/>
          <w:iCs/>
          <w:sz w:val="22"/>
          <w:szCs w:val="22"/>
        </w:rPr>
        <w:t>et al.</w:t>
      </w:r>
      <w:r w:rsidR="00B160F6" w:rsidRPr="00E632ED">
        <w:rPr>
          <w:rFonts w:ascii="Arial" w:hAnsi="Arial" w:cs="Arial"/>
          <w:sz w:val="22"/>
          <w:szCs w:val="22"/>
        </w:rPr>
        <w:t>, 2021)</w:t>
      </w:r>
      <w:r w:rsidR="0009781E" w:rsidRPr="00E632ED">
        <w:rPr>
          <w:rFonts w:ascii="Arial" w:hAnsi="Arial" w:cs="Arial"/>
          <w:sz w:val="22"/>
          <w:szCs w:val="22"/>
        </w:rPr>
        <w:t>. Despite this growing body of biological knowledge, the interactions between neuropeptides and their receptors remains unresolved.</w:t>
      </w:r>
    </w:p>
    <w:p w14:paraId="6ABD4FA2" w14:textId="4CD158F7" w:rsidR="006114C4" w:rsidRPr="00E632ED" w:rsidRDefault="0009781E" w:rsidP="00E632ED">
      <w:pPr>
        <w:spacing w:line="360" w:lineRule="auto"/>
        <w:jc w:val="both"/>
        <w:rPr>
          <w:rFonts w:ascii="Arial" w:hAnsi="Arial" w:cs="Arial"/>
          <w:b/>
          <w:bCs/>
          <w:sz w:val="22"/>
          <w:szCs w:val="22"/>
        </w:rPr>
      </w:pPr>
      <w:r w:rsidRPr="00E632ED">
        <w:rPr>
          <w:rFonts w:ascii="Arial" w:hAnsi="Arial" w:cs="Arial"/>
          <w:b/>
          <w:bCs/>
          <w:sz w:val="22"/>
          <w:szCs w:val="22"/>
        </w:rPr>
        <w:t>Existing</w:t>
      </w:r>
      <w:r w:rsidR="006114C4" w:rsidRPr="00E632ED">
        <w:rPr>
          <w:rFonts w:ascii="Arial" w:hAnsi="Arial" w:cs="Arial"/>
          <w:b/>
          <w:bCs/>
          <w:sz w:val="22"/>
          <w:szCs w:val="22"/>
        </w:rPr>
        <w:t xml:space="preserve"> methods to explore neuropeptide-receptor interactions</w:t>
      </w:r>
    </w:p>
    <w:p w14:paraId="48A8CB8C" w14:textId="1F0BEC6B" w:rsidR="00BD7497" w:rsidRPr="00E632ED" w:rsidRDefault="0042680A" w:rsidP="00E632ED">
      <w:pPr>
        <w:spacing w:line="360" w:lineRule="auto"/>
        <w:jc w:val="both"/>
        <w:rPr>
          <w:rFonts w:ascii="Arial" w:hAnsi="Arial" w:cs="Arial"/>
          <w:sz w:val="22"/>
          <w:szCs w:val="22"/>
        </w:rPr>
      </w:pPr>
      <w:r w:rsidRPr="00E632ED">
        <w:rPr>
          <w:rFonts w:ascii="Arial" w:hAnsi="Arial" w:cs="Arial"/>
          <w:sz w:val="22"/>
          <w:szCs w:val="22"/>
        </w:rPr>
        <w:t xml:space="preserve">A range of approaches have been developed to understand </w:t>
      </w:r>
      <w:r w:rsidR="00AD4331" w:rsidRPr="00E632ED">
        <w:rPr>
          <w:rFonts w:ascii="Arial" w:hAnsi="Arial" w:cs="Arial"/>
          <w:sz w:val="22"/>
          <w:szCs w:val="22"/>
        </w:rPr>
        <w:t>peptide</w:t>
      </w:r>
      <w:r w:rsidRPr="00E632ED">
        <w:rPr>
          <w:rFonts w:ascii="Arial" w:hAnsi="Arial" w:cs="Arial"/>
          <w:sz w:val="22"/>
          <w:szCs w:val="22"/>
        </w:rPr>
        <w:t>-receptor interactions.</w:t>
      </w:r>
      <w:r w:rsidR="00900AF3" w:rsidRPr="00E632ED">
        <w:rPr>
          <w:rFonts w:ascii="Arial" w:hAnsi="Arial" w:cs="Arial"/>
          <w:sz w:val="22"/>
          <w:szCs w:val="22"/>
        </w:rPr>
        <w:t xml:space="preserve"> </w:t>
      </w:r>
      <w:r w:rsidR="0058347F" w:rsidRPr="00E632ED">
        <w:rPr>
          <w:rFonts w:ascii="Arial" w:hAnsi="Arial" w:cs="Arial"/>
          <w:sz w:val="22"/>
          <w:szCs w:val="22"/>
        </w:rPr>
        <w:t>Alphafold</w:t>
      </w:r>
      <w:r w:rsidR="00F764E2" w:rsidRPr="00E632ED">
        <w:rPr>
          <w:rFonts w:ascii="Arial" w:hAnsi="Arial" w:cs="Arial"/>
          <w:sz w:val="22"/>
          <w:szCs w:val="22"/>
        </w:rPr>
        <w:t xml:space="preserve"> </w:t>
      </w:r>
      <w:r w:rsidR="0058347F" w:rsidRPr="00E632ED">
        <w:rPr>
          <w:rFonts w:ascii="Arial" w:hAnsi="Arial" w:cs="Arial"/>
          <w:sz w:val="22"/>
          <w:szCs w:val="22"/>
        </w:rPr>
        <w:t xml:space="preserve">(AF) has become a strong </w:t>
      </w:r>
      <w:r w:rsidR="006228EE" w:rsidRPr="00E632ED">
        <w:rPr>
          <w:rFonts w:ascii="Arial" w:hAnsi="Arial" w:cs="Arial"/>
          <w:sz w:val="22"/>
          <w:szCs w:val="22"/>
        </w:rPr>
        <w:t xml:space="preserve">tool </w:t>
      </w:r>
      <w:r w:rsidR="0058347F" w:rsidRPr="00E632ED">
        <w:rPr>
          <w:rFonts w:ascii="Arial" w:hAnsi="Arial" w:cs="Arial"/>
          <w:sz w:val="22"/>
          <w:szCs w:val="22"/>
        </w:rPr>
        <w:t>in the understanding of orphan ligands binding to receptors</w:t>
      </w:r>
      <w:r w:rsidR="00CB0A57" w:rsidRPr="00E632ED">
        <w:rPr>
          <w:rFonts w:ascii="Arial" w:hAnsi="Arial" w:cs="Arial"/>
          <w:sz w:val="22"/>
          <w:szCs w:val="22"/>
        </w:rPr>
        <w:t>.</w:t>
      </w:r>
      <w:r w:rsidR="00DF4790" w:rsidRPr="00E632ED">
        <w:rPr>
          <w:rFonts w:ascii="Arial" w:hAnsi="Arial" w:cs="Arial"/>
          <w:sz w:val="22"/>
          <w:szCs w:val="22"/>
        </w:rPr>
        <w:t xml:space="preserve"> It starts with a sequence input and performs database searching (on which the model has been previously trained). The search results in a model inference and structure prediction with confidence scores associated.</w:t>
      </w:r>
      <w:r w:rsidR="00CB0A57" w:rsidRPr="00E632ED">
        <w:rPr>
          <w:rFonts w:ascii="Arial" w:hAnsi="Arial" w:cs="Arial"/>
          <w:sz w:val="22"/>
          <w:szCs w:val="22"/>
        </w:rPr>
        <w:t xml:space="preserve"> </w:t>
      </w:r>
      <w:r w:rsidR="0058347F" w:rsidRPr="00E632ED">
        <w:rPr>
          <w:rFonts w:ascii="Arial" w:hAnsi="Arial" w:cs="Arial"/>
          <w:sz w:val="22"/>
          <w:szCs w:val="22"/>
        </w:rPr>
        <w:t xml:space="preserve">In a study by Danneskiold-Samsøe et al (2024), </w:t>
      </w:r>
      <w:r w:rsidR="009C5F27" w:rsidRPr="00E632ED">
        <w:rPr>
          <w:rFonts w:ascii="Arial" w:hAnsi="Arial" w:cs="Arial"/>
          <w:sz w:val="22"/>
          <w:szCs w:val="22"/>
        </w:rPr>
        <w:t xml:space="preserve">AF2 was used for </w:t>
      </w:r>
      <w:r w:rsidR="0058347F" w:rsidRPr="00E632ED">
        <w:rPr>
          <w:rFonts w:ascii="Arial" w:hAnsi="Arial" w:cs="Arial"/>
          <w:sz w:val="22"/>
          <w:szCs w:val="22"/>
        </w:rPr>
        <w:t xml:space="preserve">ligand-receptor interactions. In their study, </w:t>
      </w:r>
      <w:r w:rsidR="009C5F27" w:rsidRPr="00E632ED">
        <w:rPr>
          <w:rFonts w:ascii="Arial" w:hAnsi="Arial" w:cs="Arial"/>
          <w:sz w:val="22"/>
          <w:szCs w:val="22"/>
        </w:rPr>
        <w:t xml:space="preserve">for </w:t>
      </w:r>
      <w:r w:rsidR="0058347F" w:rsidRPr="00E632ED">
        <w:rPr>
          <w:rFonts w:ascii="Arial" w:hAnsi="Arial" w:cs="Arial"/>
          <w:sz w:val="22"/>
          <w:szCs w:val="22"/>
        </w:rPr>
        <w:t xml:space="preserve">90% of the studied ligands, candidates were found above a iPTM=0.5 value. </w:t>
      </w:r>
      <w:r w:rsidR="003B46EC" w:rsidRPr="00E632ED">
        <w:rPr>
          <w:rFonts w:ascii="Arial" w:hAnsi="Arial" w:cs="Arial"/>
          <w:sz w:val="22"/>
          <w:szCs w:val="22"/>
        </w:rPr>
        <w:t xml:space="preserve">This highlights the accuracy prediction power and its potential to elucidate the GPCR and </w:t>
      </w:r>
      <w:r w:rsidR="00AD4331" w:rsidRPr="00E632ED">
        <w:rPr>
          <w:rFonts w:ascii="Arial" w:hAnsi="Arial" w:cs="Arial"/>
          <w:sz w:val="22"/>
          <w:szCs w:val="22"/>
        </w:rPr>
        <w:t>peptide</w:t>
      </w:r>
      <w:r w:rsidR="003B46EC" w:rsidRPr="00E632ED">
        <w:rPr>
          <w:rFonts w:ascii="Arial" w:hAnsi="Arial" w:cs="Arial"/>
          <w:sz w:val="22"/>
          <w:szCs w:val="22"/>
        </w:rPr>
        <w:t xml:space="preserve"> interactions. </w:t>
      </w:r>
      <w:r w:rsidR="00F764E2" w:rsidRPr="00E632ED">
        <w:rPr>
          <w:rFonts w:ascii="Arial" w:hAnsi="Arial" w:cs="Arial"/>
          <w:sz w:val="22"/>
          <w:szCs w:val="22"/>
        </w:rPr>
        <w:t>Additionally</w:t>
      </w:r>
      <w:r w:rsidR="00BD7497" w:rsidRPr="00E632ED">
        <w:rPr>
          <w:rFonts w:ascii="Arial" w:hAnsi="Arial" w:cs="Arial"/>
          <w:sz w:val="22"/>
          <w:szCs w:val="22"/>
        </w:rPr>
        <w:t xml:space="preserve">, they suggest that employing only the extracellular domain (ECD) of the receptor is sufficient for predictions. This is because they observed cases where including intracellular domains </w:t>
      </w:r>
      <w:r w:rsidR="006228EE" w:rsidRPr="00E632ED">
        <w:rPr>
          <w:rFonts w:ascii="Arial" w:hAnsi="Arial" w:cs="Arial"/>
          <w:sz w:val="22"/>
          <w:szCs w:val="22"/>
        </w:rPr>
        <w:t>did not affect performance, making this parameter</w:t>
      </w:r>
      <w:r w:rsidR="00BD7497" w:rsidRPr="00E632ED">
        <w:rPr>
          <w:rFonts w:ascii="Arial" w:hAnsi="Arial" w:cs="Arial"/>
          <w:sz w:val="22"/>
          <w:szCs w:val="22"/>
        </w:rPr>
        <w:t xml:space="preserve"> negligible</w:t>
      </w:r>
      <w:r w:rsidR="00F764E2" w:rsidRPr="00E632ED">
        <w:rPr>
          <w:rFonts w:ascii="Arial" w:hAnsi="Arial" w:cs="Arial"/>
          <w:sz w:val="22"/>
          <w:szCs w:val="22"/>
        </w:rPr>
        <w:t xml:space="preserve"> (Danneskiold-Samsøe </w:t>
      </w:r>
      <w:r w:rsidR="00F764E2" w:rsidRPr="00E632ED">
        <w:rPr>
          <w:rFonts w:ascii="Arial" w:hAnsi="Arial" w:cs="Arial"/>
          <w:i/>
          <w:iCs/>
          <w:sz w:val="22"/>
          <w:szCs w:val="22"/>
        </w:rPr>
        <w:t>et al</w:t>
      </w:r>
      <w:r w:rsidR="00F764E2" w:rsidRPr="00E632ED">
        <w:rPr>
          <w:rFonts w:ascii="Arial" w:hAnsi="Arial" w:cs="Arial"/>
          <w:sz w:val="22"/>
          <w:szCs w:val="22"/>
        </w:rPr>
        <w:t>, 2024).</w:t>
      </w:r>
    </w:p>
    <w:p w14:paraId="236FBACA" w14:textId="3B6FCDED" w:rsidR="00900AF3" w:rsidRPr="00E632ED" w:rsidRDefault="00900AF3" w:rsidP="00E632ED">
      <w:pPr>
        <w:spacing w:line="360" w:lineRule="auto"/>
        <w:jc w:val="both"/>
        <w:rPr>
          <w:rFonts w:ascii="Arial" w:hAnsi="Arial" w:cs="Arial"/>
          <w:sz w:val="22"/>
          <w:szCs w:val="22"/>
        </w:rPr>
      </w:pPr>
      <w:r w:rsidRPr="00E632ED">
        <w:rPr>
          <w:rFonts w:ascii="Arial" w:hAnsi="Arial" w:cs="Arial"/>
          <w:sz w:val="22"/>
          <w:szCs w:val="22"/>
        </w:rPr>
        <w:t xml:space="preserve">Alphafold is an example of </w:t>
      </w:r>
      <w:r w:rsidR="009D5BAD" w:rsidRPr="00E632ED">
        <w:rPr>
          <w:rFonts w:ascii="Arial" w:hAnsi="Arial" w:cs="Arial"/>
          <w:sz w:val="22"/>
          <w:szCs w:val="22"/>
        </w:rPr>
        <w:t>sequence-based</w:t>
      </w:r>
      <w:r w:rsidRPr="00E632ED">
        <w:rPr>
          <w:rFonts w:ascii="Arial" w:hAnsi="Arial" w:cs="Arial"/>
          <w:sz w:val="22"/>
          <w:szCs w:val="22"/>
        </w:rPr>
        <w:t xml:space="preserve"> methods to study proteins and make predictions on structure and binding. Other sequence-based methods to study proteins </w:t>
      </w:r>
      <w:r w:rsidR="009D5BAD" w:rsidRPr="00E632ED">
        <w:rPr>
          <w:rFonts w:ascii="Arial" w:hAnsi="Arial" w:cs="Arial"/>
          <w:sz w:val="22"/>
          <w:szCs w:val="22"/>
        </w:rPr>
        <w:t xml:space="preserve">and especially the binding pockets </w:t>
      </w:r>
      <w:r w:rsidRPr="00E632ED">
        <w:rPr>
          <w:rFonts w:ascii="Arial" w:hAnsi="Arial" w:cs="Arial"/>
          <w:sz w:val="22"/>
          <w:szCs w:val="22"/>
        </w:rPr>
        <w:t>are available especially when there is no structure data available, such as PSeq2Sites and SeqInSite</w:t>
      </w:r>
      <w:r w:rsidR="00B160F6" w:rsidRPr="00E632ED">
        <w:rPr>
          <w:rFonts w:ascii="Arial" w:hAnsi="Arial" w:cs="Arial"/>
          <w:sz w:val="22"/>
          <w:szCs w:val="22"/>
        </w:rPr>
        <w:t xml:space="preserve"> (Tran-Nguyen and Camproux, 2025). </w:t>
      </w:r>
      <w:r w:rsidR="009D5BAD" w:rsidRPr="00E632ED">
        <w:rPr>
          <w:rFonts w:ascii="Arial" w:hAnsi="Arial" w:cs="Arial"/>
          <w:sz w:val="22"/>
          <w:szCs w:val="22"/>
        </w:rPr>
        <w:t xml:space="preserve">Alternatives are also available focused on structure rather than sequence such as Deeppocket, and Fpocket, but require high quality input and are computationally intensive </w:t>
      </w:r>
      <w:r w:rsidR="00B160F6" w:rsidRPr="00E632ED">
        <w:rPr>
          <w:rFonts w:ascii="Arial" w:hAnsi="Arial" w:cs="Arial"/>
          <w:sz w:val="22"/>
          <w:szCs w:val="22"/>
        </w:rPr>
        <w:t xml:space="preserve">(Tran-Nguyen and Camproux, 2025) (Seo </w:t>
      </w:r>
      <w:r w:rsidR="00B160F6" w:rsidRPr="00E632ED">
        <w:rPr>
          <w:rFonts w:ascii="Arial" w:hAnsi="Arial" w:cs="Arial"/>
          <w:i/>
          <w:iCs/>
          <w:sz w:val="22"/>
          <w:szCs w:val="22"/>
        </w:rPr>
        <w:t>et al.</w:t>
      </w:r>
      <w:r w:rsidR="00B160F6" w:rsidRPr="00E632ED">
        <w:rPr>
          <w:rFonts w:ascii="Arial" w:hAnsi="Arial" w:cs="Arial"/>
          <w:sz w:val="22"/>
          <w:szCs w:val="22"/>
        </w:rPr>
        <w:t>, 2024).</w:t>
      </w:r>
    </w:p>
    <w:p w14:paraId="6F704F55" w14:textId="6AD7513C" w:rsidR="009A1934" w:rsidRPr="00E632ED" w:rsidRDefault="009A1934" w:rsidP="00E632ED">
      <w:pPr>
        <w:spacing w:line="360" w:lineRule="auto"/>
        <w:jc w:val="both"/>
        <w:rPr>
          <w:rFonts w:ascii="Arial" w:hAnsi="Arial" w:cs="Arial"/>
          <w:sz w:val="22"/>
          <w:szCs w:val="22"/>
        </w:rPr>
      </w:pPr>
      <w:r w:rsidRPr="00E632ED">
        <w:rPr>
          <w:rFonts w:ascii="Arial" w:hAnsi="Arial" w:cs="Arial"/>
          <w:sz w:val="22"/>
          <w:szCs w:val="22"/>
        </w:rPr>
        <w:t>At the same time, while several 3D protein structures are available in the Mnemiopsis genome server for the receptors</w:t>
      </w:r>
      <w:r w:rsidR="00B160F6" w:rsidRPr="00E632ED">
        <w:rPr>
          <w:rFonts w:ascii="Arial" w:hAnsi="Arial" w:cs="Arial"/>
          <w:sz w:val="22"/>
          <w:szCs w:val="22"/>
        </w:rPr>
        <w:t xml:space="preserve"> (National Human Genome Research Institute, no date)</w:t>
      </w:r>
      <w:r w:rsidRPr="00E632ED">
        <w:rPr>
          <w:rFonts w:ascii="Arial" w:hAnsi="Arial" w:cs="Arial"/>
          <w:sz w:val="22"/>
          <w:szCs w:val="22"/>
        </w:rPr>
        <w:t>, there is less availability on the 3D structures of the neuropeptides transmitted</w:t>
      </w:r>
      <w:r w:rsidR="00502E89" w:rsidRPr="00E632ED">
        <w:rPr>
          <w:rFonts w:ascii="Arial" w:hAnsi="Arial" w:cs="Arial"/>
          <w:sz w:val="22"/>
          <w:szCs w:val="22"/>
        </w:rPr>
        <w:t xml:space="preserve">. Nonetheless, there are tools to assess this </w:t>
      </w:r>
      <w:r w:rsidR="00900AF3" w:rsidRPr="00E632ED">
        <w:rPr>
          <w:rFonts w:ascii="Arial" w:hAnsi="Arial" w:cs="Arial"/>
          <w:sz w:val="22"/>
          <w:szCs w:val="22"/>
        </w:rPr>
        <w:t xml:space="preserve">peptide </w:t>
      </w:r>
      <w:r w:rsidR="00502E89" w:rsidRPr="00E632ED">
        <w:rPr>
          <w:rFonts w:ascii="Arial" w:hAnsi="Arial" w:cs="Arial"/>
          <w:sz w:val="22"/>
          <w:szCs w:val="22"/>
        </w:rPr>
        <w:t>structure predictions. Some of the best performing include Alphafold3 and Pep</w:t>
      </w:r>
      <w:r w:rsidR="006228EE" w:rsidRPr="00E632ED">
        <w:rPr>
          <w:rFonts w:ascii="Arial" w:hAnsi="Arial" w:cs="Arial"/>
          <w:sz w:val="22"/>
          <w:szCs w:val="22"/>
        </w:rPr>
        <w:t>Fold</w:t>
      </w:r>
      <w:r w:rsidR="00502E89" w:rsidRPr="00E632ED">
        <w:rPr>
          <w:rFonts w:ascii="Arial" w:hAnsi="Arial" w:cs="Arial"/>
          <w:sz w:val="22"/>
          <w:szCs w:val="22"/>
        </w:rPr>
        <w:t xml:space="preserve">, the last one with similar performance and in some cases even more reliable results for ligands especially at ph and salt dependent conformations </w:t>
      </w:r>
      <w:r w:rsidR="00B160F6" w:rsidRPr="00E632ED">
        <w:rPr>
          <w:rFonts w:ascii="Arial" w:hAnsi="Arial" w:cs="Arial"/>
          <w:sz w:val="22"/>
          <w:szCs w:val="22"/>
        </w:rPr>
        <w:t xml:space="preserve">(Rey </w:t>
      </w:r>
      <w:r w:rsidR="00B160F6" w:rsidRPr="00E632ED">
        <w:rPr>
          <w:rFonts w:ascii="Arial" w:hAnsi="Arial" w:cs="Arial"/>
          <w:i/>
          <w:iCs/>
          <w:sz w:val="22"/>
          <w:szCs w:val="22"/>
        </w:rPr>
        <w:t>et al.</w:t>
      </w:r>
      <w:r w:rsidR="00B160F6" w:rsidRPr="00E632ED">
        <w:rPr>
          <w:rFonts w:ascii="Arial" w:hAnsi="Arial" w:cs="Arial"/>
          <w:sz w:val="22"/>
          <w:szCs w:val="22"/>
        </w:rPr>
        <w:t xml:space="preserve">, 2023). </w:t>
      </w:r>
    </w:p>
    <w:p w14:paraId="47DB4B99" w14:textId="1ABDFF78" w:rsidR="00F764E2" w:rsidRPr="00E632ED" w:rsidRDefault="00BC2622" w:rsidP="00E632ED">
      <w:pPr>
        <w:spacing w:line="360" w:lineRule="auto"/>
        <w:jc w:val="both"/>
        <w:rPr>
          <w:rFonts w:ascii="Arial" w:hAnsi="Arial" w:cs="Arial"/>
          <w:sz w:val="22"/>
          <w:szCs w:val="22"/>
        </w:rPr>
      </w:pPr>
      <w:r w:rsidRPr="00E632ED">
        <w:rPr>
          <w:rFonts w:ascii="Arial" w:hAnsi="Arial" w:cs="Arial"/>
          <w:sz w:val="22"/>
          <w:szCs w:val="22"/>
        </w:rPr>
        <w:t xml:space="preserve">When it comes to protein-peptide interactions for </w:t>
      </w:r>
      <w:r w:rsidRPr="00E632ED">
        <w:rPr>
          <w:rFonts w:ascii="Arial" w:hAnsi="Arial" w:cs="Arial"/>
          <w:i/>
          <w:iCs/>
          <w:sz w:val="22"/>
          <w:szCs w:val="22"/>
        </w:rPr>
        <w:t>M leidyi</w:t>
      </w:r>
      <w:r w:rsidRPr="00E632ED">
        <w:rPr>
          <w:rFonts w:ascii="Arial" w:hAnsi="Arial" w:cs="Arial"/>
          <w:sz w:val="22"/>
          <w:szCs w:val="22"/>
        </w:rPr>
        <w:t>, little information is available on their conformations. While AF is a powerful tool, it relies on data availability, which the organism lacks in public databases. Nevertheless, other softwares have not yet been tried to determine the best pose conformation and its evolution throughout time. Molecular docking and molecular dynamics can assist in this matter.</w:t>
      </w:r>
      <w:r w:rsidR="00AD4331" w:rsidRPr="00E632ED">
        <w:rPr>
          <w:rFonts w:ascii="Arial" w:hAnsi="Arial" w:cs="Arial"/>
          <w:sz w:val="22"/>
          <w:szCs w:val="22"/>
        </w:rPr>
        <w:t xml:space="preserve"> Molecular docking refers to a computational prediction of how two molecules bind in a 3D space.</w:t>
      </w:r>
      <w:r w:rsidRPr="00E632ED">
        <w:rPr>
          <w:rFonts w:ascii="Arial" w:hAnsi="Arial" w:cs="Arial"/>
          <w:sz w:val="22"/>
          <w:szCs w:val="22"/>
        </w:rPr>
        <w:t xml:space="preserve"> Rosetta’s FlexPepDock and HADDOCK are already validated tools with peptide modes which could prove useful in determining a neuropeptide-receptor pose for </w:t>
      </w:r>
      <w:r w:rsidRPr="00E632ED">
        <w:rPr>
          <w:rFonts w:ascii="Arial" w:hAnsi="Arial" w:cs="Arial"/>
          <w:i/>
          <w:iCs/>
          <w:sz w:val="22"/>
          <w:szCs w:val="22"/>
        </w:rPr>
        <w:t>M. Leidyi</w:t>
      </w:r>
      <w:r w:rsidRPr="00E632ED">
        <w:rPr>
          <w:rFonts w:ascii="Arial" w:hAnsi="Arial" w:cs="Arial"/>
          <w:sz w:val="22"/>
          <w:szCs w:val="22"/>
        </w:rPr>
        <w:t>. Molecular dynamics</w:t>
      </w:r>
      <w:r w:rsidR="00AD4331" w:rsidRPr="00E632ED">
        <w:rPr>
          <w:rFonts w:ascii="Arial" w:hAnsi="Arial" w:cs="Arial"/>
          <w:sz w:val="22"/>
          <w:szCs w:val="22"/>
        </w:rPr>
        <w:t xml:space="preserve"> is </w:t>
      </w:r>
      <w:r w:rsidR="00F764E2" w:rsidRPr="00E632ED">
        <w:rPr>
          <w:rFonts w:ascii="Arial" w:hAnsi="Arial" w:cs="Arial"/>
          <w:sz w:val="22"/>
          <w:szCs w:val="22"/>
        </w:rPr>
        <w:t>o</w:t>
      </w:r>
      <w:r w:rsidR="00AD4331" w:rsidRPr="00E632ED">
        <w:rPr>
          <w:rFonts w:ascii="Arial" w:hAnsi="Arial" w:cs="Arial"/>
          <w:sz w:val="22"/>
          <w:szCs w:val="22"/>
        </w:rPr>
        <w:t xml:space="preserve">n the other hand a </w:t>
      </w:r>
      <w:r w:rsidR="00AD4331" w:rsidRPr="00E632ED">
        <w:rPr>
          <w:rFonts w:ascii="Arial" w:hAnsi="Arial" w:cs="Arial"/>
          <w:sz w:val="22"/>
          <w:szCs w:val="22"/>
        </w:rPr>
        <w:lastRenderedPageBreak/>
        <w:t>simulation of atomic movements over time to assess stability</w:t>
      </w:r>
      <w:r w:rsidRPr="00E632ED">
        <w:rPr>
          <w:rFonts w:ascii="Arial" w:hAnsi="Arial" w:cs="Arial"/>
          <w:sz w:val="22"/>
          <w:szCs w:val="22"/>
        </w:rPr>
        <w:t xml:space="preserve"> </w:t>
      </w:r>
      <w:r w:rsidR="00CF32E9" w:rsidRPr="00E632ED">
        <w:rPr>
          <w:rFonts w:ascii="Arial" w:hAnsi="Arial" w:cs="Arial"/>
          <w:sz w:val="22"/>
          <w:szCs w:val="22"/>
        </w:rPr>
        <w:t>(GROMACS is the most-spread used)</w:t>
      </w:r>
      <w:r w:rsidR="00E77CBD" w:rsidRPr="00E632ED">
        <w:rPr>
          <w:rFonts w:ascii="Arial" w:hAnsi="Arial" w:cs="Arial"/>
          <w:sz w:val="22"/>
          <w:szCs w:val="22"/>
        </w:rPr>
        <w:t xml:space="preserve"> (Bicak </w:t>
      </w:r>
      <w:r w:rsidR="00E77CBD" w:rsidRPr="00E632ED">
        <w:rPr>
          <w:rFonts w:ascii="Arial" w:hAnsi="Arial" w:cs="Arial"/>
          <w:i/>
          <w:iCs/>
          <w:sz w:val="22"/>
          <w:szCs w:val="22"/>
        </w:rPr>
        <w:t>et al.</w:t>
      </w:r>
      <w:r w:rsidR="00E77CBD" w:rsidRPr="00E632ED">
        <w:rPr>
          <w:rFonts w:ascii="Arial" w:hAnsi="Arial" w:cs="Arial"/>
          <w:sz w:val="22"/>
          <w:szCs w:val="22"/>
        </w:rPr>
        <w:t>, 2020)</w:t>
      </w:r>
      <w:r w:rsidR="00DF4790" w:rsidRPr="00E632ED">
        <w:rPr>
          <w:rFonts w:ascii="Arial" w:hAnsi="Arial" w:cs="Arial"/>
          <w:sz w:val="22"/>
          <w:szCs w:val="22"/>
        </w:rPr>
        <w:t>. It is based on determining the properties of each atom and its interactions and solve Newton’s equations for movement throughout time. The result is a system to determine stability of the complex using energies and temperatures that resemble morphological conditions</w:t>
      </w:r>
      <w:r w:rsidR="00F764E2" w:rsidRPr="00E632ED">
        <w:rPr>
          <w:rFonts w:ascii="Arial" w:hAnsi="Arial" w:cs="Arial"/>
          <w:sz w:val="22"/>
          <w:szCs w:val="22"/>
        </w:rPr>
        <w:t xml:space="preserve"> (Vidal-Limon, Aguilar-Toalá and Liceaga, 2022)</w:t>
      </w:r>
      <w:r w:rsidR="00DF4790" w:rsidRPr="00E632ED">
        <w:rPr>
          <w:rFonts w:ascii="Arial" w:hAnsi="Arial" w:cs="Arial"/>
          <w:sz w:val="22"/>
          <w:szCs w:val="22"/>
        </w:rPr>
        <w:t>. It</w:t>
      </w:r>
      <w:r w:rsidR="00CF32E9" w:rsidRPr="00E632ED">
        <w:rPr>
          <w:rFonts w:ascii="Arial" w:hAnsi="Arial" w:cs="Arial"/>
          <w:sz w:val="22"/>
          <w:szCs w:val="22"/>
        </w:rPr>
        <w:t xml:space="preserve"> can provide insights into the evolving dynamics of the complexes and their function</w:t>
      </w:r>
      <w:r w:rsidR="00F764E2" w:rsidRPr="00E632ED">
        <w:rPr>
          <w:rFonts w:ascii="Arial" w:hAnsi="Arial" w:cs="Arial"/>
          <w:sz w:val="22"/>
          <w:szCs w:val="22"/>
        </w:rPr>
        <w:t xml:space="preserve">. </w:t>
      </w:r>
    </w:p>
    <w:p w14:paraId="7C631154" w14:textId="77777777" w:rsidR="005B39DC" w:rsidRPr="00E632ED" w:rsidRDefault="005B39DC" w:rsidP="00E632ED">
      <w:pPr>
        <w:spacing w:line="360" w:lineRule="auto"/>
        <w:jc w:val="both"/>
        <w:rPr>
          <w:rFonts w:ascii="Arial" w:hAnsi="Arial" w:cs="Arial"/>
          <w:sz w:val="22"/>
          <w:szCs w:val="22"/>
        </w:rPr>
      </w:pPr>
    </w:p>
    <w:p w14:paraId="3CA28E88" w14:textId="3D8307C4" w:rsidR="00CF32E9" w:rsidRPr="00E632ED" w:rsidRDefault="00AE588E" w:rsidP="00E632ED">
      <w:pPr>
        <w:spacing w:line="360" w:lineRule="auto"/>
        <w:jc w:val="both"/>
        <w:rPr>
          <w:rFonts w:ascii="Arial" w:hAnsi="Arial" w:cs="Arial"/>
          <w:b/>
          <w:bCs/>
          <w:sz w:val="22"/>
          <w:szCs w:val="22"/>
        </w:rPr>
      </w:pPr>
      <w:r w:rsidRPr="00E632ED">
        <w:rPr>
          <w:rFonts w:ascii="Arial" w:hAnsi="Arial" w:cs="Arial"/>
          <w:b/>
          <w:bCs/>
          <w:sz w:val="22"/>
          <w:szCs w:val="22"/>
        </w:rPr>
        <w:t>RNA seq a</w:t>
      </w:r>
      <w:r w:rsidR="00AF1ABE" w:rsidRPr="00E632ED">
        <w:rPr>
          <w:rFonts w:ascii="Arial" w:hAnsi="Arial" w:cs="Arial"/>
          <w:b/>
          <w:bCs/>
          <w:sz w:val="22"/>
          <w:szCs w:val="22"/>
        </w:rPr>
        <w:t>nalysis</w:t>
      </w:r>
    </w:p>
    <w:p w14:paraId="7F983F1D" w14:textId="4DEB0DFD" w:rsidR="008A3405" w:rsidRPr="00E632ED" w:rsidRDefault="002C2CF3" w:rsidP="00E632ED">
      <w:pPr>
        <w:spacing w:line="360" w:lineRule="auto"/>
        <w:jc w:val="both"/>
        <w:rPr>
          <w:rFonts w:ascii="Arial" w:hAnsi="Arial" w:cs="Arial"/>
          <w:sz w:val="22"/>
          <w:szCs w:val="22"/>
        </w:rPr>
      </w:pPr>
      <w:r w:rsidRPr="00E632ED">
        <w:rPr>
          <w:rFonts w:ascii="Arial" w:hAnsi="Arial" w:cs="Arial"/>
          <w:sz w:val="22"/>
          <w:szCs w:val="22"/>
        </w:rPr>
        <w:t xml:space="preserve">In addition to structural prediction approaches, transcriptomics offers complementary insights into neuropeptide-receptor relationships. </w:t>
      </w:r>
      <w:r w:rsidR="003B2F37" w:rsidRPr="00E632ED">
        <w:rPr>
          <w:rFonts w:ascii="Arial" w:hAnsi="Arial" w:cs="Arial"/>
          <w:sz w:val="22"/>
          <w:szCs w:val="22"/>
        </w:rPr>
        <w:t>Single cell (</w:t>
      </w:r>
      <w:r w:rsidR="008A3405" w:rsidRPr="00E632ED">
        <w:rPr>
          <w:rFonts w:ascii="Arial" w:hAnsi="Arial" w:cs="Arial"/>
          <w:sz w:val="22"/>
          <w:szCs w:val="22"/>
        </w:rPr>
        <w:t>scRNAseq</w:t>
      </w:r>
      <w:r w:rsidR="003B2F37" w:rsidRPr="00E632ED">
        <w:rPr>
          <w:rFonts w:ascii="Arial" w:hAnsi="Arial" w:cs="Arial"/>
          <w:sz w:val="22"/>
          <w:szCs w:val="22"/>
        </w:rPr>
        <w:t>)</w:t>
      </w:r>
      <w:r w:rsidR="008A3405" w:rsidRPr="00E632ED">
        <w:rPr>
          <w:rFonts w:ascii="Arial" w:hAnsi="Arial" w:cs="Arial"/>
          <w:sz w:val="22"/>
          <w:szCs w:val="22"/>
        </w:rPr>
        <w:t xml:space="preserve"> experiments have proven useful to make insights about the nature of these unique neuropeptides and their protein interactions. Particularly, when used with in situ hybridization and immunohistochemistry, it is possible to annotate metacell clusters in different parts of the ctenophore body (such as AO cells and pharyngeal neurons)</w:t>
      </w:r>
      <w:r w:rsidR="00E77CBD" w:rsidRPr="00E632ED">
        <w:rPr>
          <w:rFonts w:ascii="Arial" w:hAnsi="Arial" w:cs="Arial"/>
          <w:sz w:val="22"/>
          <w:szCs w:val="22"/>
        </w:rPr>
        <w:t xml:space="preserve"> (Sachkova </w:t>
      </w:r>
      <w:r w:rsidR="00E77CBD" w:rsidRPr="00E632ED">
        <w:rPr>
          <w:rFonts w:ascii="Arial" w:hAnsi="Arial" w:cs="Arial"/>
          <w:i/>
          <w:iCs/>
          <w:sz w:val="22"/>
          <w:szCs w:val="22"/>
        </w:rPr>
        <w:t xml:space="preserve">et al, </w:t>
      </w:r>
      <w:r w:rsidR="00E77CBD" w:rsidRPr="00E632ED">
        <w:rPr>
          <w:rFonts w:ascii="Arial" w:hAnsi="Arial" w:cs="Arial"/>
          <w:sz w:val="22"/>
          <w:szCs w:val="22"/>
        </w:rPr>
        <w:t>2021)</w:t>
      </w:r>
      <w:r w:rsidR="008A3405" w:rsidRPr="00E632ED">
        <w:rPr>
          <w:rFonts w:ascii="Arial" w:hAnsi="Arial" w:cs="Arial"/>
          <w:sz w:val="22"/>
          <w:szCs w:val="22"/>
        </w:rPr>
        <w:t xml:space="preserve">. </w:t>
      </w:r>
      <w:r w:rsidRPr="00E632ED">
        <w:rPr>
          <w:rFonts w:ascii="Arial" w:hAnsi="Arial" w:cs="Arial"/>
          <w:sz w:val="22"/>
          <w:szCs w:val="22"/>
        </w:rPr>
        <w:t xml:space="preserve">Metacells are defined as disjoint groups of highly similar cells aggregated together (Bilous </w:t>
      </w:r>
      <w:r w:rsidRPr="00E632ED">
        <w:rPr>
          <w:rFonts w:ascii="Arial" w:hAnsi="Arial" w:cs="Arial"/>
          <w:i/>
          <w:iCs/>
          <w:sz w:val="22"/>
          <w:szCs w:val="22"/>
        </w:rPr>
        <w:t xml:space="preserve">et al, </w:t>
      </w:r>
      <w:r w:rsidRPr="00E632ED">
        <w:rPr>
          <w:rFonts w:ascii="Arial" w:hAnsi="Arial" w:cs="Arial"/>
          <w:sz w:val="22"/>
          <w:szCs w:val="22"/>
        </w:rPr>
        <w:t xml:space="preserve">2024). </w:t>
      </w:r>
      <w:r w:rsidR="00B10465" w:rsidRPr="00E632ED">
        <w:rPr>
          <w:rFonts w:ascii="Arial" w:hAnsi="Arial" w:cs="Arial"/>
          <w:sz w:val="22"/>
          <w:szCs w:val="22"/>
        </w:rPr>
        <w:t>At the same time, a study found 30 putative neuropeptides enriched in several specific metacell clusters</w:t>
      </w:r>
      <w:r w:rsidR="003B2F37" w:rsidRPr="00E632ED">
        <w:rPr>
          <w:rFonts w:ascii="Arial" w:hAnsi="Arial" w:cs="Arial"/>
          <w:sz w:val="22"/>
          <w:szCs w:val="22"/>
        </w:rPr>
        <w:t xml:space="preserve"> (Sachkova </w:t>
      </w:r>
      <w:r w:rsidR="003B2F37" w:rsidRPr="00E632ED">
        <w:rPr>
          <w:rFonts w:ascii="Arial" w:hAnsi="Arial" w:cs="Arial"/>
          <w:i/>
          <w:iCs/>
          <w:sz w:val="22"/>
          <w:szCs w:val="22"/>
        </w:rPr>
        <w:t xml:space="preserve">et al, </w:t>
      </w:r>
      <w:r w:rsidR="003B2F37" w:rsidRPr="00E632ED">
        <w:rPr>
          <w:rFonts w:ascii="Arial" w:hAnsi="Arial" w:cs="Arial"/>
          <w:sz w:val="22"/>
          <w:szCs w:val="22"/>
        </w:rPr>
        <w:t>2021)</w:t>
      </w:r>
      <w:r w:rsidR="00B10465" w:rsidRPr="00E632ED">
        <w:rPr>
          <w:rFonts w:ascii="Arial" w:hAnsi="Arial" w:cs="Arial"/>
          <w:sz w:val="22"/>
          <w:szCs w:val="22"/>
        </w:rPr>
        <w:t>.</w:t>
      </w:r>
      <w:r w:rsidR="003B2F37" w:rsidRPr="00E632ED">
        <w:rPr>
          <w:rFonts w:ascii="Arial" w:hAnsi="Arial" w:cs="Arial"/>
          <w:sz w:val="22"/>
          <w:szCs w:val="22"/>
        </w:rPr>
        <w:t xml:space="preserve"> </w:t>
      </w:r>
      <w:r w:rsidR="00B10465" w:rsidRPr="00E632ED">
        <w:rPr>
          <w:rFonts w:ascii="Arial" w:hAnsi="Arial" w:cs="Arial"/>
          <w:sz w:val="22"/>
          <w:szCs w:val="22"/>
        </w:rPr>
        <w:t xml:space="preserve"> </w:t>
      </w:r>
      <w:r w:rsidR="008A3405" w:rsidRPr="00E632ED">
        <w:rPr>
          <w:rFonts w:ascii="Arial" w:hAnsi="Arial" w:cs="Arial"/>
          <w:sz w:val="22"/>
          <w:szCs w:val="22"/>
        </w:rPr>
        <w:t xml:space="preserve">Yet, co-expression might still give some insights if further used. </w:t>
      </w:r>
      <w:r w:rsidR="00D6285C" w:rsidRPr="00E632ED">
        <w:rPr>
          <w:rFonts w:ascii="Arial" w:hAnsi="Arial" w:cs="Arial"/>
          <w:sz w:val="22"/>
          <w:szCs w:val="22"/>
        </w:rPr>
        <w:t xml:space="preserve">The </w:t>
      </w:r>
      <w:r w:rsidR="00B10465" w:rsidRPr="00E632ED">
        <w:rPr>
          <w:rFonts w:ascii="Arial" w:hAnsi="Arial" w:cs="Arial"/>
          <w:sz w:val="22"/>
          <w:szCs w:val="22"/>
        </w:rPr>
        <w:t xml:space="preserve">use of RNA-seq can determine autocrine </w:t>
      </w:r>
      <w:r w:rsidR="00CA4980" w:rsidRPr="00E632ED">
        <w:rPr>
          <w:rFonts w:ascii="Arial" w:hAnsi="Arial" w:cs="Arial"/>
          <w:sz w:val="22"/>
          <w:szCs w:val="22"/>
        </w:rPr>
        <w:t xml:space="preserve">(cell signaling to itself) </w:t>
      </w:r>
      <w:r w:rsidR="00B10465" w:rsidRPr="00E632ED">
        <w:rPr>
          <w:rFonts w:ascii="Arial" w:hAnsi="Arial" w:cs="Arial"/>
          <w:sz w:val="22"/>
          <w:szCs w:val="22"/>
        </w:rPr>
        <w:t xml:space="preserve">or paracrine neural signalling to further characterize how signalling in M. leidyi works. </w:t>
      </w:r>
    </w:p>
    <w:p w14:paraId="6D5DF156" w14:textId="4AD12940" w:rsidR="003B2F37" w:rsidRPr="00E632ED" w:rsidRDefault="003B2F37" w:rsidP="00E632ED">
      <w:pPr>
        <w:spacing w:line="360" w:lineRule="auto"/>
        <w:jc w:val="both"/>
        <w:rPr>
          <w:rFonts w:ascii="Arial" w:hAnsi="Arial" w:cs="Arial"/>
          <w:b/>
          <w:bCs/>
          <w:sz w:val="22"/>
          <w:szCs w:val="22"/>
        </w:rPr>
      </w:pPr>
      <w:r w:rsidRPr="00E632ED">
        <w:rPr>
          <w:rFonts w:ascii="Arial" w:hAnsi="Arial" w:cs="Arial"/>
          <w:b/>
          <w:bCs/>
          <w:sz w:val="22"/>
          <w:szCs w:val="22"/>
        </w:rPr>
        <w:t>The approach</w:t>
      </w:r>
    </w:p>
    <w:p w14:paraId="42512500" w14:textId="7C010D08" w:rsidR="00B10465" w:rsidRPr="00E632ED" w:rsidRDefault="004D775F" w:rsidP="00E632ED">
      <w:pPr>
        <w:spacing w:line="360" w:lineRule="auto"/>
        <w:jc w:val="both"/>
        <w:rPr>
          <w:rFonts w:ascii="Arial" w:hAnsi="Arial" w:cs="Arial"/>
          <w:sz w:val="22"/>
          <w:szCs w:val="22"/>
        </w:rPr>
      </w:pPr>
      <w:r w:rsidRPr="00E632ED">
        <w:rPr>
          <w:rFonts w:ascii="Arial" w:hAnsi="Arial" w:cs="Arial"/>
          <w:sz w:val="22"/>
          <w:szCs w:val="22"/>
        </w:rPr>
        <w:t xml:space="preserve">Despite the current knowledge in peptide expression in different celltypes, the receptors for these peptides remain unknown. </w:t>
      </w:r>
      <w:r w:rsidR="00C276AD" w:rsidRPr="00E632ED">
        <w:rPr>
          <w:rFonts w:ascii="Arial" w:hAnsi="Arial" w:cs="Arial"/>
          <w:sz w:val="22"/>
          <w:szCs w:val="22"/>
        </w:rPr>
        <w:t xml:space="preserve">While several sequence based and </w:t>
      </w:r>
      <w:r w:rsidR="00AF1ABE" w:rsidRPr="00E632ED">
        <w:rPr>
          <w:rFonts w:ascii="Arial" w:hAnsi="Arial" w:cs="Arial"/>
          <w:sz w:val="22"/>
          <w:szCs w:val="22"/>
        </w:rPr>
        <w:t>structure-based</w:t>
      </w:r>
      <w:r w:rsidR="00C276AD" w:rsidRPr="00E632ED">
        <w:rPr>
          <w:rFonts w:ascii="Arial" w:hAnsi="Arial" w:cs="Arial"/>
          <w:sz w:val="22"/>
          <w:szCs w:val="22"/>
        </w:rPr>
        <w:t xml:space="preserve"> methods are available to characterize the interactions and there is existent knowledge about the protein families present in Ctenophora, none of the methods have been tested in M. leidyi, especially considering the lack of sequential and structural data on which ML methods are trained. Given that </w:t>
      </w:r>
      <w:r w:rsidR="00C276AD" w:rsidRPr="00E632ED">
        <w:rPr>
          <w:rFonts w:ascii="Arial" w:hAnsi="Arial" w:cs="Arial"/>
          <w:i/>
          <w:iCs/>
          <w:sz w:val="22"/>
          <w:szCs w:val="22"/>
        </w:rPr>
        <w:t>M. leidyi</w:t>
      </w:r>
      <w:r w:rsidR="00C276AD" w:rsidRPr="00E632ED">
        <w:rPr>
          <w:rFonts w:ascii="Arial" w:hAnsi="Arial" w:cs="Arial"/>
          <w:sz w:val="22"/>
          <w:szCs w:val="22"/>
        </w:rPr>
        <w:t xml:space="preserve"> neuropeptides are unique and show divergence with other species, there is still no established workflow to link ctenophore neuropeptides and candidate receptors. </w:t>
      </w:r>
    </w:p>
    <w:p w14:paraId="567B322E" w14:textId="4F5DE0B8" w:rsidR="006E541C" w:rsidRPr="00E632ED" w:rsidRDefault="00C276AD" w:rsidP="00E632ED">
      <w:pPr>
        <w:spacing w:line="360" w:lineRule="auto"/>
        <w:jc w:val="both"/>
        <w:rPr>
          <w:rFonts w:ascii="Arial" w:hAnsi="Arial" w:cs="Arial"/>
          <w:sz w:val="22"/>
          <w:szCs w:val="22"/>
        </w:rPr>
      </w:pPr>
      <w:r w:rsidRPr="00E632ED">
        <w:rPr>
          <w:rFonts w:ascii="Arial" w:hAnsi="Arial" w:cs="Arial"/>
          <w:sz w:val="22"/>
          <w:szCs w:val="22"/>
        </w:rPr>
        <w:t xml:space="preserve">To address these information gaps hindering peptide-receptor interaction characterization, a workflow is proposed based on hypothesis combining peptide structure prediction, receptor structure prediction, interaction prediction using ML-tools, docking, MD simulations and gene expression profiles to identify biologically plausible receptors in the ctenophore nervous system. </w:t>
      </w:r>
    </w:p>
    <w:p w14:paraId="518D4614" w14:textId="13380564" w:rsidR="00AE588E" w:rsidRPr="00E632ED" w:rsidRDefault="006E541C" w:rsidP="00E632ED">
      <w:pPr>
        <w:spacing w:line="360" w:lineRule="auto"/>
        <w:jc w:val="center"/>
        <w:rPr>
          <w:rFonts w:ascii="Arial" w:hAnsi="Arial" w:cs="Arial"/>
          <w:b/>
          <w:bCs/>
          <w:sz w:val="22"/>
          <w:szCs w:val="22"/>
        </w:rPr>
      </w:pPr>
      <w:r w:rsidRPr="00E632ED">
        <w:rPr>
          <w:rFonts w:ascii="Arial" w:hAnsi="Arial" w:cs="Arial"/>
          <w:b/>
          <w:bCs/>
          <w:sz w:val="22"/>
          <w:szCs w:val="22"/>
        </w:rPr>
        <w:t>Methods</w:t>
      </w:r>
    </w:p>
    <w:p w14:paraId="56853D77" w14:textId="5B87F345" w:rsidR="006E541C" w:rsidRPr="00E632ED" w:rsidRDefault="004F17C2" w:rsidP="00E632ED">
      <w:pPr>
        <w:spacing w:line="360" w:lineRule="auto"/>
        <w:jc w:val="both"/>
        <w:rPr>
          <w:rFonts w:ascii="Arial" w:hAnsi="Arial" w:cs="Arial"/>
          <w:sz w:val="22"/>
          <w:szCs w:val="22"/>
        </w:rPr>
      </w:pPr>
      <w:r w:rsidRPr="00E632ED">
        <w:rPr>
          <w:rFonts w:ascii="Arial" w:hAnsi="Arial" w:cs="Arial"/>
          <w:sz w:val="22"/>
          <w:szCs w:val="22"/>
        </w:rPr>
        <w:lastRenderedPageBreak/>
        <w:t xml:space="preserve">The aim of this project is to identify candidate receptors for a given neuropeptide expressed in the nervous system of </w:t>
      </w:r>
      <w:r w:rsidRPr="00E632ED">
        <w:rPr>
          <w:rFonts w:ascii="Arial" w:hAnsi="Arial" w:cs="Arial"/>
          <w:i/>
          <w:iCs/>
          <w:sz w:val="22"/>
          <w:szCs w:val="22"/>
        </w:rPr>
        <w:t>Mnemiopsis leidyi</w:t>
      </w:r>
      <w:r w:rsidRPr="00E632ED">
        <w:rPr>
          <w:rFonts w:ascii="Arial" w:hAnsi="Arial" w:cs="Arial"/>
          <w:sz w:val="22"/>
          <w:szCs w:val="22"/>
        </w:rPr>
        <w:t xml:space="preserve"> using ML-tools and molecular interaction softwares, as well as </w:t>
      </w:r>
      <w:r w:rsidR="00D6285C" w:rsidRPr="00E632ED">
        <w:rPr>
          <w:rFonts w:ascii="Arial" w:hAnsi="Arial" w:cs="Arial"/>
          <w:sz w:val="22"/>
          <w:szCs w:val="22"/>
        </w:rPr>
        <w:t xml:space="preserve">co-expression profiling </w:t>
      </w:r>
      <w:r w:rsidRPr="00E632ED">
        <w:rPr>
          <w:rFonts w:ascii="Arial" w:hAnsi="Arial" w:cs="Arial"/>
          <w:sz w:val="22"/>
          <w:szCs w:val="22"/>
        </w:rPr>
        <w:t xml:space="preserve">assessment via RNA-seq analysis. </w:t>
      </w:r>
    </w:p>
    <w:p w14:paraId="66D3C420" w14:textId="594E7CBD" w:rsidR="004F17C2" w:rsidRPr="00E632ED" w:rsidRDefault="004F17C2" w:rsidP="00E632ED">
      <w:pPr>
        <w:spacing w:line="360" w:lineRule="auto"/>
        <w:jc w:val="both"/>
        <w:rPr>
          <w:rFonts w:ascii="Arial" w:hAnsi="Arial" w:cs="Arial"/>
          <w:sz w:val="22"/>
          <w:szCs w:val="22"/>
        </w:rPr>
      </w:pPr>
      <w:r w:rsidRPr="00E632ED">
        <w:rPr>
          <w:rFonts w:ascii="Arial" w:hAnsi="Arial" w:cs="Arial"/>
          <w:sz w:val="22"/>
          <w:szCs w:val="22"/>
        </w:rPr>
        <w:t>To achieve this, the project is structured in the following specific objectives:</w:t>
      </w:r>
    </w:p>
    <w:p w14:paraId="28F0C1DF" w14:textId="53F45072" w:rsidR="004F17C2" w:rsidRPr="00E632ED" w:rsidRDefault="004F17C2" w:rsidP="00E632ED">
      <w:pPr>
        <w:pStyle w:val="ListParagraph"/>
        <w:numPr>
          <w:ilvl w:val="0"/>
          <w:numId w:val="2"/>
        </w:numPr>
        <w:spacing w:line="360" w:lineRule="auto"/>
        <w:jc w:val="both"/>
        <w:rPr>
          <w:rFonts w:ascii="Arial" w:hAnsi="Arial" w:cs="Arial"/>
          <w:sz w:val="22"/>
          <w:szCs w:val="22"/>
        </w:rPr>
      </w:pPr>
      <w:r w:rsidRPr="00E632ED">
        <w:rPr>
          <w:rFonts w:ascii="Arial" w:hAnsi="Arial" w:cs="Arial"/>
          <w:sz w:val="22"/>
          <w:szCs w:val="22"/>
        </w:rPr>
        <w:t xml:space="preserve">Predict the 3D structure of the neuropeptides </w:t>
      </w:r>
    </w:p>
    <w:p w14:paraId="5F169404" w14:textId="2991A85A" w:rsidR="004D7B76" w:rsidRPr="00E632ED" w:rsidRDefault="004D7B76" w:rsidP="00E632ED">
      <w:pPr>
        <w:spacing w:line="360" w:lineRule="auto"/>
        <w:jc w:val="both"/>
        <w:rPr>
          <w:rFonts w:ascii="Arial" w:hAnsi="Arial" w:cs="Arial"/>
          <w:sz w:val="22"/>
          <w:szCs w:val="22"/>
        </w:rPr>
      </w:pPr>
      <w:r w:rsidRPr="00E632ED">
        <w:rPr>
          <w:rFonts w:ascii="Arial" w:hAnsi="Arial" w:cs="Arial"/>
          <w:sz w:val="22"/>
          <w:szCs w:val="22"/>
        </w:rPr>
        <w:t>The neuropeptide structure will be predicted using Alphafold</w:t>
      </w:r>
      <w:r w:rsidR="00952200" w:rsidRPr="00E632ED">
        <w:rPr>
          <w:rFonts w:ascii="Arial" w:hAnsi="Arial" w:cs="Arial"/>
          <w:sz w:val="22"/>
          <w:szCs w:val="22"/>
        </w:rPr>
        <w:t xml:space="preserve"> and will be evaluated for confidence due to the small size of the peptide. To mitigate potential low-confidence predictions, other tools will be evaluated such as PepFold to generate a plausible conformation. </w:t>
      </w:r>
    </w:p>
    <w:p w14:paraId="63FF27FE" w14:textId="77777777" w:rsidR="00952200" w:rsidRPr="00E632ED" w:rsidRDefault="004F17C2" w:rsidP="00E632ED">
      <w:pPr>
        <w:pStyle w:val="ListParagraph"/>
        <w:numPr>
          <w:ilvl w:val="0"/>
          <w:numId w:val="2"/>
        </w:numPr>
        <w:spacing w:line="360" w:lineRule="auto"/>
        <w:jc w:val="both"/>
        <w:rPr>
          <w:rFonts w:ascii="Arial" w:hAnsi="Arial" w:cs="Arial"/>
          <w:sz w:val="22"/>
          <w:szCs w:val="22"/>
        </w:rPr>
      </w:pPr>
      <w:r w:rsidRPr="00E632ED">
        <w:rPr>
          <w:rFonts w:ascii="Arial" w:hAnsi="Arial" w:cs="Arial"/>
          <w:sz w:val="22"/>
          <w:szCs w:val="22"/>
        </w:rPr>
        <w:t xml:space="preserve">Identify or predict the 3D structure of candidate membrane receptors </w:t>
      </w:r>
    </w:p>
    <w:p w14:paraId="632A522F" w14:textId="3F501611" w:rsidR="004F17C2" w:rsidRPr="00E632ED" w:rsidRDefault="00952200" w:rsidP="00E632ED">
      <w:pPr>
        <w:spacing w:line="360" w:lineRule="auto"/>
        <w:jc w:val="both"/>
        <w:rPr>
          <w:rFonts w:ascii="Arial" w:hAnsi="Arial" w:cs="Arial"/>
          <w:sz w:val="22"/>
          <w:szCs w:val="22"/>
        </w:rPr>
      </w:pPr>
      <w:r w:rsidRPr="00E632ED">
        <w:rPr>
          <w:rFonts w:ascii="Arial" w:hAnsi="Arial" w:cs="Arial"/>
          <w:sz w:val="22"/>
          <w:szCs w:val="22"/>
        </w:rPr>
        <w:t xml:space="preserve">This will be done </w:t>
      </w:r>
      <w:r w:rsidR="004F17C2" w:rsidRPr="00E632ED">
        <w:rPr>
          <w:rFonts w:ascii="Arial" w:hAnsi="Arial" w:cs="Arial"/>
          <w:sz w:val="22"/>
          <w:szCs w:val="22"/>
        </w:rPr>
        <w:t>based on genome annotation structure availability</w:t>
      </w:r>
      <w:r w:rsidRPr="00E632ED">
        <w:rPr>
          <w:rFonts w:ascii="Arial" w:hAnsi="Arial" w:cs="Arial"/>
          <w:sz w:val="22"/>
          <w:szCs w:val="22"/>
        </w:rPr>
        <w:t xml:space="preserve"> in the Mnemiopsis genome browser</w:t>
      </w:r>
      <w:r w:rsidR="004F17C2" w:rsidRPr="00E632ED">
        <w:rPr>
          <w:rFonts w:ascii="Arial" w:hAnsi="Arial" w:cs="Arial"/>
          <w:sz w:val="22"/>
          <w:szCs w:val="22"/>
        </w:rPr>
        <w:t xml:space="preserve"> or structure prediction softwares like Alphafold</w:t>
      </w:r>
      <w:r w:rsidRPr="00E632ED">
        <w:rPr>
          <w:rFonts w:ascii="Arial" w:hAnsi="Arial" w:cs="Arial"/>
          <w:sz w:val="22"/>
          <w:szCs w:val="22"/>
        </w:rPr>
        <w:t>. Consequently, softwares like</w:t>
      </w:r>
      <w:r w:rsidR="004F17C2" w:rsidRPr="00E632ED">
        <w:rPr>
          <w:rFonts w:ascii="Arial" w:hAnsi="Arial" w:cs="Arial"/>
          <w:sz w:val="22"/>
          <w:szCs w:val="22"/>
        </w:rPr>
        <w:t xml:space="preserve"> Deeppocket, Fpocket, Pseq2Sites, and SeqinSites </w:t>
      </w:r>
      <w:r w:rsidRPr="00E632ED">
        <w:rPr>
          <w:rFonts w:ascii="Arial" w:hAnsi="Arial" w:cs="Arial"/>
          <w:sz w:val="22"/>
          <w:szCs w:val="22"/>
        </w:rPr>
        <w:t xml:space="preserve">will be </w:t>
      </w:r>
      <w:r w:rsidR="003B2F37" w:rsidRPr="00E632ED">
        <w:rPr>
          <w:rFonts w:ascii="Arial" w:hAnsi="Arial" w:cs="Arial"/>
          <w:sz w:val="22"/>
          <w:szCs w:val="22"/>
        </w:rPr>
        <w:t>considered</w:t>
      </w:r>
      <w:r w:rsidRPr="00E632ED">
        <w:rPr>
          <w:rFonts w:ascii="Arial" w:hAnsi="Arial" w:cs="Arial"/>
          <w:sz w:val="22"/>
          <w:szCs w:val="22"/>
        </w:rPr>
        <w:t xml:space="preserve"> </w:t>
      </w:r>
      <w:r w:rsidR="004F17C2" w:rsidRPr="00E632ED">
        <w:rPr>
          <w:rFonts w:ascii="Arial" w:hAnsi="Arial" w:cs="Arial"/>
          <w:sz w:val="22"/>
          <w:szCs w:val="22"/>
        </w:rPr>
        <w:t>as</w:t>
      </w:r>
      <w:r w:rsidR="004D7B76" w:rsidRPr="00E632ED">
        <w:rPr>
          <w:rFonts w:ascii="Arial" w:hAnsi="Arial" w:cs="Arial"/>
          <w:sz w:val="22"/>
          <w:szCs w:val="22"/>
        </w:rPr>
        <w:t xml:space="preserve"> options </w:t>
      </w:r>
      <w:r w:rsidRPr="00E632ED">
        <w:rPr>
          <w:rFonts w:ascii="Arial" w:hAnsi="Arial" w:cs="Arial"/>
          <w:sz w:val="22"/>
          <w:szCs w:val="22"/>
        </w:rPr>
        <w:t xml:space="preserve">to find </w:t>
      </w:r>
      <w:r w:rsidR="004F17C2" w:rsidRPr="00E632ED">
        <w:rPr>
          <w:rFonts w:ascii="Arial" w:hAnsi="Arial" w:cs="Arial"/>
          <w:sz w:val="22"/>
          <w:szCs w:val="22"/>
        </w:rPr>
        <w:t>protein-binding pocket</w:t>
      </w:r>
      <w:r w:rsidRPr="00E632ED">
        <w:rPr>
          <w:rFonts w:ascii="Arial" w:hAnsi="Arial" w:cs="Arial"/>
          <w:sz w:val="22"/>
          <w:szCs w:val="22"/>
        </w:rPr>
        <w:t>s</w:t>
      </w:r>
      <w:r w:rsidR="004F17C2" w:rsidRPr="00E632ED">
        <w:rPr>
          <w:rFonts w:ascii="Arial" w:hAnsi="Arial" w:cs="Arial"/>
          <w:sz w:val="22"/>
          <w:szCs w:val="22"/>
        </w:rPr>
        <w:t xml:space="preserve"> for downstream analysis</w:t>
      </w:r>
      <w:r w:rsidRPr="00E632ED">
        <w:rPr>
          <w:rFonts w:ascii="Arial" w:hAnsi="Arial" w:cs="Arial"/>
          <w:sz w:val="22"/>
          <w:szCs w:val="22"/>
        </w:rPr>
        <w:t xml:space="preserve">. </w:t>
      </w:r>
    </w:p>
    <w:p w14:paraId="295FA8E1" w14:textId="77777777" w:rsidR="00952200" w:rsidRPr="00E632ED" w:rsidRDefault="004F17C2" w:rsidP="00E632ED">
      <w:pPr>
        <w:pStyle w:val="ListParagraph"/>
        <w:numPr>
          <w:ilvl w:val="0"/>
          <w:numId w:val="2"/>
        </w:numPr>
        <w:spacing w:line="360" w:lineRule="auto"/>
        <w:jc w:val="both"/>
        <w:rPr>
          <w:rFonts w:ascii="Arial" w:hAnsi="Arial" w:cs="Arial"/>
          <w:sz w:val="22"/>
          <w:szCs w:val="22"/>
        </w:rPr>
      </w:pPr>
      <w:r w:rsidRPr="00E632ED">
        <w:rPr>
          <w:rFonts w:ascii="Arial" w:hAnsi="Arial" w:cs="Arial"/>
          <w:sz w:val="22"/>
          <w:szCs w:val="22"/>
        </w:rPr>
        <w:t xml:space="preserve">Predict peptide-receptor interactions </w:t>
      </w:r>
    </w:p>
    <w:p w14:paraId="002130B4" w14:textId="35644A1C" w:rsidR="00952200" w:rsidRPr="00E632ED" w:rsidRDefault="00952200" w:rsidP="00E632ED">
      <w:pPr>
        <w:spacing w:line="360" w:lineRule="auto"/>
        <w:jc w:val="both"/>
        <w:rPr>
          <w:rFonts w:ascii="Arial" w:hAnsi="Arial" w:cs="Arial"/>
          <w:sz w:val="22"/>
          <w:szCs w:val="22"/>
        </w:rPr>
      </w:pPr>
      <w:r w:rsidRPr="00E632ED">
        <w:rPr>
          <w:rFonts w:ascii="Arial" w:hAnsi="Arial" w:cs="Arial"/>
          <w:sz w:val="22"/>
          <w:szCs w:val="22"/>
        </w:rPr>
        <w:t xml:space="preserve">To do this, two possible pathways are available. The first is to attempt the generation of a neuropeptide-receptor complex </w:t>
      </w:r>
      <w:r w:rsidR="004F17C2" w:rsidRPr="00E632ED">
        <w:rPr>
          <w:rFonts w:ascii="Arial" w:hAnsi="Arial" w:cs="Arial"/>
          <w:sz w:val="22"/>
          <w:szCs w:val="22"/>
        </w:rPr>
        <w:t xml:space="preserve">using </w:t>
      </w:r>
      <w:r w:rsidR="004D7B76" w:rsidRPr="00E632ED">
        <w:rPr>
          <w:rFonts w:ascii="Arial" w:hAnsi="Arial" w:cs="Arial"/>
          <w:sz w:val="22"/>
          <w:szCs w:val="22"/>
        </w:rPr>
        <w:t>Alphafold</w:t>
      </w:r>
      <w:r w:rsidRPr="00E632ED">
        <w:rPr>
          <w:rFonts w:ascii="Arial" w:hAnsi="Arial" w:cs="Arial"/>
          <w:sz w:val="22"/>
          <w:szCs w:val="22"/>
        </w:rPr>
        <w:t xml:space="preserve">. However, since alphafold is trained on existing structures, there is the risk of low confidence predictions considering the special divergence and unique neuropeptide properties of </w:t>
      </w:r>
      <w:r w:rsidRPr="00E632ED">
        <w:rPr>
          <w:rFonts w:ascii="Arial" w:hAnsi="Arial" w:cs="Arial"/>
          <w:i/>
          <w:iCs/>
          <w:sz w:val="22"/>
          <w:szCs w:val="22"/>
        </w:rPr>
        <w:t>M. leidyi</w:t>
      </w:r>
      <w:r w:rsidRPr="00E632ED">
        <w:rPr>
          <w:rFonts w:ascii="Arial" w:hAnsi="Arial" w:cs="Arial"/>
          <w:sz w:val="22"/>
          <w:szCs w:val="22"/>
        </w:rPr>
        <w:t>. To address this possibility, a second pathway is proposed by combing molecular docking softwares</w:t>
      </w:r>
      <w:r w:rsidR="004D7B76" w:rsidRPr="00E632ED">
        <w:rPr>
          <w:rFonts w:ascii="Arial" w:hAnsi="Arial" w:cs="Arial"/>
          <w:sz w:val="22"/>
          <w:szCs w:val="22"/>
        </w:rPr>
        <w:t xml:space="preserve"> </w:t>
      </w:r>
      <w:r w:rsidRPr="00E632ED">
        <w:rPr>
          <w:rFonts w:ascii="Arial" w:hAnsi="Arial" w:cs="Arial"/>
          <w:sz w:val="22"/>
          <w:szCs w:val="22"/>
        </w:rPr>
        <w:t>(</w:t>
      </w:r>
      <w:r w:rsidR="004D7B76" w:rsidRPr="00E632ED">
        <w:rPr>
          <w:rFonts w:ascii="Arial" w:hAnsi="Arial" w:cs="Arial"/>
          <w:sz w:val="22"/>
          <w:szCs w:val="22"/>
        </w:rPr>
        <w:t>FlexPepDock, HADDOCK</w:t>
      </w:r>
      <w:r w:rsidRPr="00E632ED">
        <w:rPr>
          <w:rFonts w:ascii="Arial" w:hAnsi="Arial" w:cs="Arial"/>
          <w:sz w:val="22"/>
          <w:szCs w:val="22"/>
        </w:rPr>
        <w:t>)</w:t>
      </w:r>
      <w:r w:rsidR="004D7B76" w:rsidRPr="00E632ED">
        <w:rPr>
          <w:rFonts w:ascii="Arial" w:hAnsi="Arial" w:cs="Arial"/>
          <w:sz w:val="22"/>
          <w:szCs w:val="22"/>
        </w:rPr>
        <w:t xml:space="preserve"> and </w:t>
      </w:r>
      <w:r w:rsidRPr="00E632ED">
        <w:rPr>
          <w:rFonts w:ascii="Arial" w:hAnsi="Arial" w:cs="Arial"/>
          <w:sz w:val="22"/>
          <w:szCs w:val="22"/>
        </w:rPr>
        <w:t>molecular dynamics (</w:t>
      </w:r>
      <w:r w:rsidR="004D7B76" w:rsidRPr="00E632ED">
        <w:rPr>
          <w:rFonts w:ascii="Arial" w:hAnsi="Arial" w:cs="Arial"/>
          <w:sz w:val="22"/>
          <w:szCs w:val="22"/>
        </w:rPr>
        <w:t>GROMACS</w:t>
      </w:r>
      <w:r w:rsidRPr="00E632ED">
        <w:rPr>
          <w:rFonts w:ascii="Arial" w:hAnsi="Arial" w:cs="Arial"/>
          <w:sz w:val="22"/>
          <w:szCs w:val="22"/>
        </w:rPr>
        <w:t>)</w:t>
      </w:r>
      <w:r w:rsidR="004D7B76" w:rsidRPr="00E632ED">
        <w:rPr>
          <w:rFonts w:ascii="Arial" w:hAnsi="Arial" w:cs="Arial"/>
          <w:sz w:val="22"/>
          <w:szCs w:val="22"/>
        </w:rPr>
        <w:t xml:space="preserve"> as options for modelling.</w:t>
      </w:r>
      <w:r w:rsidRPr="00E632ED">
        <w:rPr>
          <w:rFonts w:ascii="Arial" w:hAnsi="Arial" w:cs="Arial"/>
          <w:sz w:val="22"/>
          <w:szCs w:val="22"/>
        </w:rPr>
        <w:t xml:space="preserve"> Receptors will be ranked based on energy binding mode performance and metrics in each of the softwares.</w:t>
      </w:r>
    </w:p>
    <w:p w14:paraId="73D6420F" w14:textId="0CD04A7A" w:rsidR="004D7B76" w:rsidRPr="00E632ED" w:rsidRDefault="00AD4331" w:rsidP="00E632ED">
      <w:pPr>
        <w:pStyle w:val="ListParagraph"/>
        <w:numPr>
          <w:ilvl w:val="0"/>
          <w:numId w:val="2"/>
        </w:numPr>
        <w:spacing w:line="360" w:lineRule="auto"/>
        <w:jc w:val="both"/>
        <w:rPr>
          <w:rFonts w:ascii="Arial" w:hAnsi="Arial" w:cs="Arial"/>
          <w:sz w:val="22"/>
          <w:szCs w:val="22"/>
        </w:rPr>
      </w:pPr>
      <w:r w:rsidRPr="00E632ED">
        <w:rPr>
          <w:rFonts w:ascii="Arial" w:hAnsi="Arial" w:cs="Arial"/>
          <w:sz w:val="22"/>
          <w:szCs w:val="22"/>
        </w:rPr>
        <w:t>Study co expression of receptors and peptide-precursor and the implications</w:t>
      </w:r>
      <w:r w:rsidR="004D7B76" w:rsidRPr="00E632ED">
        <w:rPr>
          <w:rFonts w:ascii="Arial" w:hAnsi="Arial" w:cs="Arial"/>
          <w:sz w:val="22"/>
          <w:szCs w:val="22"/>
        </w:rPr>
        <w:t xml:space="preserve"> of interactions using expression context in </w:t>
      </w:r>
      <w:r w:rsidR="004D7B76" w:rsidRPr="00E632ED">
        <w:rPr>
          <w:rFonts w:ascii="Arial" w:hAnsi="Arial" w:cs="Arial"/>
          <w:i/>
          <w:iCs/>
          <w:sz w:val="22"/>
          <w:szCs w:val="22"/>
        </w:rPr>
        <w:t xml:space="preserve">in silico </w:t>
      </w:r>
      <w:r w:rsidR="004D7B76" w:rsidRPr="00E632ED">
        <w:rPr>
          <w:rFonts w:ascii="Arial" w:hAnsi="Arial" w:cs="Arial"/>
          <w:sz w:val="22"/>
          <w:szCs w:val="22"/>
        </w:rPr>
        <w:t xml:space="preserve">validation. </w:t>
      </w:r>
    </w:p>
    <w:p w14:paraId="14DD8082" w14:textId="6DC31701" w:rsidR="007A790F" w:rsidRPr="00E632ED" w:rsidRDefault="007A790F" w:rsidP="00E632ED">
      <w:pPr>
        <w:spacing w:line="360" w:lineRule="auto"/>
        <w:jc w:val="both"/>
        <w:rPr>
          <w:rFonts w:ascii="Arial" w:hAnsi="Arial" w:cs="Arial"/>
          <w:sz w:val="22"/>
          <w:szCs w:val="22"/>
        </w:rPr>
      </w:pPr>
      <w:r w:rsidRPr="00E632ED">
        <w:rPr>
          <w:rFonts w:ascii="Arial" w:hAnsi="Arial" w:cs="Arial"/>
          <w:sz w:val="22"/>
          <w:szCs w:val="22"/>
        </w:rPr>
        <w:t>For this, RNA seq data will be used to examine co-expression of peptides and candidate receptors in neuronal</w:t>
      </w:r>
      <w:r w:rsidR="003545FC" w:rsidRPr="00E632ED">
        <w:rPr>
          <w:rFonts w:ascii="Arial" w:hAnsi="Arial" w:cs="Arial"/>
          <w:sz w:val="22"/>
          <w:szCs w:val="22"/>
        </w:rPr>
        <w:t xml:space="preserve"> and possibly other</w:t>
      </w:r>
      <w:r w:rsidRPr="00E632ED">
        <w:rPr>
          <w:rFonts w:ascii="Arial" w:hAnsi="Arial" w:cs="Arial"/>
          <w:sz w:val="22"/>
          <w:szCs w:val="22"/>
        </w:rPr>
        <w:t xml:space="preserve"> cells. This is to </w:t>
      </w:r>
      <w:r w:rsidR="00AD4331" w:rsidRPr="00E632ED">
        <w:rPr>
          <w:rFonts w:ascii="Arial" w:hAnsi="Arial" w:cs="Arial"/>
          <w:sz w:val="22"/>
          <w:szCs w:val="22"/>
        </w:rPr>
        <w:t>study the characterization of the nervous system and its connection with other celltypes. Genes could be expressed in several types of cells and a co</w:t>
      </w:r>
      <w:r w:rsidR="003B2F37" w:rsidRPr="00E632ED">
        <w:rPr>
          <w:rFonts w:ascii="Arial" w:hAnsi="Arial" w:cs="Arial"/>
          <w:sz w:val="22"/>
          <w:szCs w:val="22"/>
        </w:rPr>
        <w:t>-</w:t>
      </w:r>
      <w:r w:rsidR="00AD4331" w:rsidRPr="00E632ED">
        <w:rPr>
          <w:rFonts w:ascii="Arial" w:hAnsi="Arial" w:cs="Arial"/>
          <w:sz w:val="22"/>
          <w:szCs w:val="22"/>
        </w:rPr>
        <w:t xml:space="preserve">expression analysis of the precursors and receptors at the biological </w:t>
      </w:r>
      <w:r w:rsidR="003545FC" w:rsidRPr="00E632ED">
        <w:rPr>
          <w:rFonts w:ascii="Arial" w:hAnsi="Arial" w:cs="Arial"/>
          <w:sz w:val="22"/>
          <w:szCs w:val="22"/>
        </w:rPr>
        <w:t xml:space="preserve">level </w:t>
      </w:r>
      <w:r w:rsidR="00AD4331" w:rsidRPr="00E632ED">
        <w:rPr>
          <w:rFonts w:ascii="Arial" w:hAnsi="Arial" w:cs="Arial"/>
          <w:sz w:val="22"/>
          <w:szCs w:val="22"/>
        </w:rPr>
        <w:t>can help to elucidate the relationship between them.</w:t>
      </w:r>
      <w:r w:rsidRPr="00E632ED">
        <w:rPr>
          <w:rFonts w:ascii="Arial" w:hAnsi="Arial" w:cs="Arial"/>
          <w:sz w:val="22"/>
          <w:szCs w:val="22"/>
        </w:rPr>
        <w:t xml:space="preserve"> </w:t>
      </w:r>
    </w:p>
    <w:p w14:paraId="1C58E5F1" w14:textId="7A2816C0" w:rsidR="00AD4331" w:rsidRPr="00E632ED" w:rsidRDefault="00AD4331" w:rsidP="00E632ED">
      <w:pPr>
        <w:spacing w:line="360" w:lineRule="auto"/>
        <w:jc w:val="both"/>
        <w:rPr>
          <w:rFonts w:ascii="Arial" w:hAnsi="Arial" w:cs="Arial"/>
          <w:sz w:val="22"/>
          <w:szCs w:val="22"/>
        </w:rPr>
      </w:pPr>
      <w:r w:rsidRPr="00E632ED">
        <w:rPr>
          <w:rFonts w:ascii="Arial" w:hAnsi="Arial" w:cs="Arial"/>
          <w:sz w:val="22"/>
          <w:szCs w:val="22"/>
        </w:rPr>
        <w:t xml:space="preserve">There are a few clarifications on the objectives and methodologies to be </w:t>
      </w:r>
      <w:r w:rsidR="009709B3" w:rsidRPr="00E632ED">
        <w:rPr>
          <w:rFonts w:ascii="Arial" w:hAnsi="Arial" w:cs="Arial"/>
          <w:sz w:val="22"/>
          <w:szCs w:val="22"/>
        </w:rPr>
        <w:t>employed</w:t>
      </w:r>
      <w:r w:rsidR="003545FC" w:rsidRPr="00E632ED">
        <w:rPr>
          <w:rFonts w:ascii="Arial" w:hAnsi="Arial" w:cs="Arial"/>
          <w:sz w:val="22"/>
          <w:szCs w:val="22"/>
        </w:rPr>
        <w:t xml:space="preserve">. </w:t>
      </w:r>
      <w:r w:rsidRPr="00E632ED">
        <w:rPr>
          <w:rFonts w:ascii="Arial" w:hAnsi="Arial" w:cs="Arial"/>
          <w:sz w:val="22"/>
          <w:szCs w:val="22"/>
        </w:rPr>
        <w:t xml:space="preserve">Alphafold </w:t>
      </w:r>
      <w:r w:rsidR="009709B3" w:rsidRPr="00E632ED">
        <w:rPr>
          <w:rFonts w:ascii="Arial" w:hAnsi="Arial" w:cs="Arial"/>
          <w:sz w:val="22"/>
          <w:szCs w:val="22"/>
        </w:rPr>
        <w:t xml:space="preserve">has the capacity of modelling interactions using only the sequence of the receptor and peptide, skipping steps 1 and 2 in the methodology. However, </w:t>
      </w:r>
      <w:r w:rsidR="00AE4EE7" w:rsidRPr="00E632ED">
        <w:rPr>
          <w:rFonts w:ascii="Arial" w:hAnsi="Arial" w:cs="Arial"/>
          <w:sz w:val="22"/>
          <w:szCs w:val="22"/>
        </w:rPr>
        <w:t xml:space="preserve">as already stated, </w:t>
      </w:r>
      <w:r w:rsidR="009709B3" w:rsidRPr="00E632ED">
        <w:rPr>
          <w:rFonts w:ascii="Arial" w:hAnsi="Arial" w:cs="Arial"/>
          <w:sz w:val="22"/>
          <w:szCs w:val="22"/>
        </w:rPr>
        <w:t>there is a</w:t>
      </w:r>
      <w:r w:rsidR="0015544D" w:rsidRPr="00E632ED">
        <w:rPr>
          <w:rFonts w:ascii="Arial" w:hAnsi="Arial" w:cs="Arial"/>
          <w:sz w:val="22"/>
          <w:szCs w:val="22"/>
        </w:rPr>
        <w:t xml:space="preserve"> high</w:t>
      </w:r>
      <w:r w:rsidR="009709B3" w:rsidRPr="00E632ED">
        <w:rPr>
          <w:rFonts w:ascii="Arial" w:hAnsi="Arial" w:cs="Arial"/>
          <w:sz w:val="22"/>
          <w:szCs w:val="22"/>
        </w:rPr>
        <w:t xml:space="preserve"> risk of </w:t>
      </w:r>
      <w:r w:rsidR="009709B3" w:rsidRPr="00E632ED">
        <w:rPr>
          <w:rFonts w:ascii="Arial" w:hAnsi="Arial" w:cs="Arial"/>
          <w:sz w:val="22"/>
          <w:szCs w:val="22"/>
        </w:rPr>
        <w:lastRenderedPageBreak/>
        <w:t>unreliable results</w:t>
      </w:r>
      <w:r w:rsidR="003545FC" w:rsidRPr="00E632ED">
        <w:rPr>
          <w:rFonts w:ascii="Arial" w:hAnsi="Arial" w:cs="Arial"/>
          <w:sz w:val="22"/>
          <w:szCs w:val="22"/>
        </w:rPr>
        <w:t xml:space="preserve"> </w:t>
      </w:r>
      <w:r w:rsidR="0015544D" w:rsidRPr="00E632ED">
        <w:rPr>
          <w:rFonts w:ascii="Arial" w:hAnsi="Arial" w:cs="Arial"/>
          <w:sz w:val="22"/>
          <w:szCs w:val="22"/>
        </w:rPr>
        <w:t xml:space="preserve">as this organism is poorly characterized </w:t>
      </w:r>
      <w:r w:rsidR="00AE4EE7" w:rsidRPr="00E632ED">
        <w:rPr>
          <w:rFonts w:ascii="Arial" w:hAnsi="Arial" w:cs="Arial"/>
          <w:sz w:val="22"/>
          <w:szCs w:val="22"/>
        </w:rPr>
        <w:t>for the Alphafold database</w:t>
      </w:r>
      <w:r w:rsidR="0015544D" w:rsidRPr="00E632ED">
        <w:rPr>
          <w:rFonts w:ascii="Arial" w:hAnsi="Arial" w:cs="Arial"/>
          <w:sz w:val="22"/>
          <w:szCs w:val="22"/>
        </w:rPr>
        <w:t>. Although not verified yet, the lack of support data for M. leidyi in the Alphafold database is probable to produce low quality results. More of that in</w:t>
      </w:r>
      <w:r w:rsidR="003545FC" w:rsidRPr="00E632ED">
        <w:rPr>
          <w:rFonts w:ascii="Arial" w:hAnsi="Arial" w:cs="Arial"/>
          <w:sz w:val="22"/>
          <w:szCs w:val="22"/>
        </w:rPr>
        <w:t xml:space="preserve"> risk section</w:t>
      </w:r>
      <w:r w:rsidR="009709B3" w:rsidRPr="00E632ED">
        <w:rPr>
          <w:rFonts w:ascii="Arial" w:hAnsi="Arial" w:cs="Arial"/>
          <w:sz w:val="22"/>
          <w:szCs w:val="22"/>
        </w:rPr>
        <w:t>. For this respect, molecular docking and dynamics present themselves as alternatives, and both require not only the sequence but the 3-dimensional structure, making steps 1 and 2 necessary for the workflow. In other words, Alphafold will be tested using its current database to model the best possible peptide-receptor interactions</w:t>
      </w:r>
      <w:r w:rsidR="003545FC" w:rsidRPr="00E632ED">
        <w:rPr>
          <w:rFonts w:ascii="Arial" w:hAnsi="Arial" w:cs="Arial"/>
          <w:sz w:val="22"/>
          <w:szCs w:val="22"/>
        </w:rPr>
        <w:t xml:space="preserve"> for </w:t>
      </w:r>
      <w:r w:rsidR="003545FC" w:rsidRPr="00E632ED">
        <w:rPr>
          <w:rFonts w:ascii="Arial" w:hAnsi="Arial" w:cs="Arial"/>
          <w:i/>
          <w:iCs/>
          <w:sz w:val="22"/>
          <w:szCs w:val="22"/>
        </w:rPr>
        <w:t>M. leidyi</w:t>
      </w:r>
      <w:r w:rsidR="009709B3" w:rsidRPr="00E632ED">
        <w:rPr>
          <w:rFonts w:ascii="Arial" w:hAnsi="Arial" w:cs="Arial"/>
          <w:sz w:val="22"/>
          <w:szCs w:val="22"/>
        </w:rPr>
        <w:t xml:space="preserve">. In case of failing to this task, 3D structure prediction, molecular docking and dynamics </w:t>
      </w:r>
      <w:r w:rsidR="00AE4EE7" w:rsidRPr="00E632ED">
        <w:rPr>
          <w:rFonts w:ascii="Arial" w:hAnsi="Arial" w:cs="Arial"/>
          <w:sz w:val="22"/>
          <w:szCs w:val="22"/>
        </w:rPr>
        <w:t xml:space="preserve">simulation </w:t>
      </w:r>
      <w:r w:rsidR="009709B3" w:rsidRPr="00E632ED">
        <w:rPr>
          <w:rFonts w:ascii="Arial" w:hAnsi="Arial" w:cs="Arial"/>
          <w:sz w:val="22"/>
          <w:szCs w:val="22"/>
        </w:rPr>
        <w:t xml:space="preserve">steps will be followed as an alternative. A summary of the methodology is found in Fig </w:t>
      </w:r>
      <w:r w:rsidR="00DF4790" w:rsidRPr="00E632ED">
        <w:rPr>
          <w:rFonts w:ascii="Arial" w:hAnsi="Arial" w:cs="Arial"/>
          <w:sz w:val="22"/>
          <w:szCs w:val="22"/>
        </w:rPr>
        <w:t>3</w:t>
      </w:r>
      <w:r w:rsidR="009709B3" w:rsidRPr="00E632ED">
        <w:rPr>
          <w:rFonts w:ascii="Arial" w:hAnsi="Arial" w:cs="Arial"/>
          <w:sz w:val="22"/>
          <w:szCs w:val="22"/>
        </w:rPr>
        <w:t xml:space="preserve">. </w:t>
      </w:r>
    </w:p>
    <w:p w14:paraId="46B7043F" w14:textId="48C863C5" w:rsidR="007A790F" w:rsidRPr="00E632ED" w:rsidRDefault="009412B3" w:rsidP="00E632ED">
      <w:pPr>
        <w:spacing w:line="360" w:lineRule="auto"/>
        <w:jc w:val="both"/>
        <w:rPr>
          <w:rFonts w:ascii="Arial" w:hAnsi="Arial" w:cs="Arial"/>
          <w:sz w:val="22"/>
          <w:szCs w:val="22"/>
        </w:rPr>
      </w:pPr>
      <w:r w:rsidRPr="00E632ED">
        <w:rPr>
          <w:rFonts w:ascii="Arial" w:hAnsi="Arial" w:cs="Arial"/>
          <w:sz w:val="22"/>
          <w:szCs w:val="22"/>
        </w:rPr>
        <w:t xml:space="preserve">The project is designed to be feasible and prioritize data preparation and receptor-peptide conformation predictions. Optional RNA seq analyses, while enriching, are scheduled later in the timeline to avoid deviating from the core objectives. </w:t>
      </w:r>
    </w:p>
    <w:p w14:paraId="576E5D9F" w14:textId="2C9833D7" w:rsidR="00AE4EE7" w:rsidRPr="00E632ED" w:rsidRDefault="009412B3" w:rsidP="00E632ED">
      <w:pPr>
        <w:spacing w:line="360" w:lineRule="auto"/>
        <w:jc w:val="both"/>
        <w:rPr>
          <w:rFonts w:ascii="Arial" w:hAnsi="Arial" w:cs="Arial"/>
          <w:sz w:val="22"/>
          <w:szCs w:val="22"/>
        </w:rPr>
      </w:pPr>
      <w:r w:rsidRPr="00E632ED">
        <w:rPr>
          <w:rFonts w:ascii="Arial" w:hAnsi="Arial" w:cs="Arial"/>
          <w:sz w:val="22"/>
          <w:szCs w:val="22"/>
        </w:rPr>
        <w:t xml:space="preserve">A Gantt chart is presented (Figure </w:t>
      </w:r>
      <w:r w:rsidR="00AE4EE7" w:rsidRPr="00E632ED">
        <w:rPr>
          <w:rFonts w:ascii="Arial" w:hAnsi="Arial" w:cs="Arial"/>
          <w:sz w:val="22"/>
          <w:szCs w:val="22"/>
        </w:rPr>
        <w:t>4</w:t>
      </w:r>
      <w:r w:rsidRPr="00E632ED">
        <w:rPr>
          <w:rFonts w:ascii="Arial" w:hAnsi="Arial" w:cs="Arial"/>
          <w:sz w:val="22"/>
          <w:szCs w:val="22"/>
        </w:rPr>
        <w:t>) summaris</w:t>
      </w:r>
      <w:r w:rsidR="00AE4EE7" w:rsidRPr="00E632ED">
        <w:rPr>
          <w:rFonts w:ascii="Arial" w:hAnsi="Arial" w:cs="Arial"/>
          <w:sz w:val="22"/>
          <w:szCs w:val="22"/>
        </w:rPr>
        <w:t xml:space="preserve">ing </w:t>
      </w:r>
      <w:r w:rsidRPr="00E632ED">
        <w:rPr>
          <w:rFonts w:ascii="Arial" w:hAnsi="Arial" w:cs="Arial"/>
          <w:sz w:val="22"/>
          <w:szCs w:val="22"/>
        </w:rPr>
        <w:t xml:space="preserve">the timeline, illustrating task durations, key milestones in structure prediction, interaction analyses, interpretation and report writing. </w:t>
      </w:r>
      <w:r w:rsidR="00AE4EE7" w:rsidRPr="00E632ED">
        <w:rPr>
          <w:rFonts w:ascii="Arial" w:hAnsi="Arial" w:cs="Arial"/>
          <w:sz w:val="22"/>
          <w:szCs w:val="22"/>
        </w:rPr>
        <w:t>Table 1 also describes the start and end dates for each of the tasks.</w:t>
      </w:r>
    </w:p>
    <w:p w14:paraId="0DB13828" w14:textId="63B3D8CB" w:rsidR="00BD7497" w:rsidRPr="00E632ED" w:rsidRDefault="00D52980" w:rsidP="00E632ED">
      <w:pPr>
        <w:spacing w:line="360" w:lineRule="auto"/>
        <w:jc w:val="center"/>
        <w:rPr>
          <w:rFonts w:ascii="Arial" w:hAnsi="Arial" w:cs="Arial"/>
          <w:b/>
          <w:bCs/>
          <w:sz w:val="22"/>
          <w:szCs w:val="22"/>
        </w:rPr>
      </w:pPr>
      <w:r w:rsidRPr="00E632ED">
        <w:rPr>
          <w:rFonts w:ascii="Arial" w:hAnsi="Arial" w:cs="Arial"/>
          <w:b/>
          <w:bCs/>
          <w:sz w:val="22"/>
          <w:szCs w:val="22"/>
        </w:rPr>
        <w:t>Risk</w:t>
      </w:r>
      <w:r w:rsidR="00AF1ABE" w:rsidRPr="00E632ED">
        <w:rPr>
          <w:rFonts w:ascii="Arial" w:hAnsi="Arial" w:cs="Arial"/>
          <w:b/>
          <w:bCs/>
          <w:sz w:val="22"/>
          <w:szCs w:val="22"/>
        </w:rPr>
        <w:t xml:space="preserve"> identification</w:t>
      </w:r>
    </w:p>
    <w:p w14:paraId="26B34875" w14:textId="59C9B595" w:rsidR="00CA4980" w:rsidRPr="00E632ED" w:rsidRDefault="003545FC" w:rsidP="00E632ED">
      <w:pPr>
        <w:spacing w:line="360" w:lineRule="auto"/>
        <w:jc w:val="both"/>
        <w:rPr>
          <w:rFonts w:ascii="Arial" w:hAnsi="Arial" w:cs="Arial"/>
          <w:sz w:val="22"/>
          <w:szCs w:val="22"/>
        </w:rPr>
      </w:pPr>
      <w:r w:rsidRPr="00E632ED">
        <w:rPr>
          <w:rFonts w:ascii="Arial" w:hAnsi="Arial" w:cs="Arial"/>
          <w:sz w:val="22"/>
          <w:szCs w:val="22"/>
        </w:rPr>
        <w:t xml:space="preserve">No biological or safety risks can be identified in the scope of the project given that the work is exclusively computational. However, results would be affected depending on the performance of the softwares employed in the workflow. </w:t>
      </w:r>
      <w:r w:rsidR="00D52980" w:rsidRPr="00E632ED">
        <w:rPr>
          <w:rFonts w:ascii="Arial" w:hAnsi="Arial" w:cs="Arial"/>
          <w:sz w:val="22"/>
          <w:szCs w:val="22"/>
        </w:rPr>
        <w:t>The following risks have been identified</w:t>
      </w:r>
      <w:r w:rsidRPr="00E632ED">
        <w:rPr>
          <w:rFonts w:ascii="Arial" w:hAnsi="Arial" w:cs="Arial"/>
          <w:sz w:val="22"/>
          <w:szCs w:val="22"/>
        </w:rPr>
        <w:t>:</w:t>
      </w:r>
    </w:p>
    <w:tbl>
      <w:tblPr>
        <w:tblStyle w:val="TableGrid"/>
        <w:tblW w:w="0" w:type="auto"/>
        <w:tblLook w:val="04A0" w:firstRow="1" w:lastRow="0" w:firstColumn="1" w:lastColumn="0" w:noHBand="0" w:noVBand="1"/>
      </w:tblPr>
      <w:tblGrid>
        <w:gridCol w:w="3005"/>
        <w:gridCol w:w="3005"/>
        <w:gridCol w:w="3006"/>
      </w:tblGrid>
      <w:tr w:rsidR="00AD4331" w:rsidRPr="00E632ED" w14:paraId="412B0EDA" w14:textId="77777777" w:rsidTr="00AD4331">
        <w:tc>
          <w:tcPr>
            <w:tcW w:w="3005" w:type="dxa"/>
          </w:tcPr>
          <w:p w14:paraId="7E4968BE" w14:textId="3A664850" w:rsidR="00AD4331" w:rsidRPr="00E632ED" w:rsidRDefault="00AD4331" w:rsidP="00E632ED">
            <w:pPr>
              <w:spacing w:line="360" w:lineRule="auto"/>
              <w:jc w:val="both"/>
              <w:rPr>
                <w:rFonts w:ascii="Arial" w:hAnsi="Arial" w:cs="Arial"/>
                <w:b/>
                <w:bCs/>
                <w:sz w:val="22"/>
                <w:szCs w:val="22"/>
              </w:rPr>
            </w:pPr>
            <w:r w:rsidRPr="00E632ED">
              <w:rPr>
                <w:rFonts w:ascii="Arial" w:hAnsi="Arial" w:cs="Arial"/>
                <w:b/>
                <w:bCs/>
                <w:sz w:val="22"/>
                <w:szCs w:val="22"/>
              </w:rPr>
              <w:t>Nature of the risk</w:t>
            </w:r>
          </w:p>
        </w:tc>
        <w:tc>
          <w:tcPr>
            <w:tcW w:w="3005" w:type="dxa"/>
          </w:tcPr>
          <w:p w14:paraId="61444B1D" w14:textId="5ED7FC2E" w:rsidR="00AD4331" w:rsidRPr="00E632ED" w:rsidRDefault="00AD4331" w:rsidP="00E632ED">
            <w:pPr>
              <w:spacing w:line="360" w:lineRule="auto"/>
              <w:jc w:val="both"/>
              <w:rPr>
                <w:rFonts w:ascii="Arial" w:hAnsi="Arial" w:cs="Arial"/>
                <w:b/>
                <w:bCs/>
                <w:sz w:val="22"/>
                <w:szCs w:val="22"/>
              </w:rPr>
            </w:pPr>
            <w:r w:rsidRPr="00E632ED">
              <w:rPr>
                <w:rFonts w:ascii="Arial" w:hAnsi="Arial" w:cs="Arial"/>
                <w:b/>
                <w:bCs/>
                <w:sz w:val="22"/>
                <w:szCs w:val="22"/>
              </w:rPr>
              <w:t>Likelihood and potential impact on the project</w:t>
            </w:r>
          </w:p>
        </w:tc>
        <w:tc>
          <w:tcPr>
            <w:tcW w:w="3006" w:type="dxa"/>
          </w:tcPr>
          <w:p w14:paraId="14028EC0" w14:textId="33DB7544" w:rsidR="00AD4331" w:rsidRPr="00E632ED" w:rsidRDefault="00AD4331" w:rsidP="00E632ED">
            <w:pPr>
              <w:spacing w:line="360" w:lineRule="auto"/>
              <w:jc w:val="both"/>
              <w:rPr>
                <w:rFonts w:ascii="Arial" w:hAnsi="Arial" w:cs="Arial"/>
                <w:b/>
                <w:bCs/>
                <w:sz w:val="22"/>
                <w:szCs w:val="22"/>
              </w:rPr>
            </w:pPr>
            <w:r w:rsidRPr="00E632ED">
              <w:rPr>
                <w:rFonts w:ascii="Arial" w:hAnsi="Arial" w:cs="Arial"/>
                <w:b/>
                <w:bCs/>
                <w:sz w:val="22"/>
                <w:szCs w:val="22"/>
              </w:rPr>
              <w:t>Mitigation strategy / contingency plan</w:t>
            </w:r>
          </w:p>
        </w:tc>
      </w:tr>
      <w:tr w:rsidR="00AD4331" w:rsidRPr="00E632ED" w14:paraId="7AB7DE33" w14:textId="77777777" w:rsidTr="00AD4331">
        <w:tc>
          <w:tcPr>
            <w:tcW w:w="3005" w:type="dxa"/>
          </w:tcPr>
          <w:p w14:paraId="2BE59664" w14:textId="17B77373" w:rsidR="00AD4331" w:rsidRPr="00E632ED" w:rsidRDefault="000F5242" w:rsidP="00E632ED">
            <w:pPr>
              <w:spacing w:line="360" w:lineRule="auto"/>
              <w:jc w:val="both"/>
              <w:rPr>
                <w:rFonts w:ascii="Arial" w:hAnsi="Arial" w:cs="Arial"/>
                <w:sz w:val="22"/>
                <w:szCs w:val="22"/>
              </w:rPr>
            </w:pPr>
            <w:r w:rsidRPr="00E632ED">
              <w:rPr>
                <w:rFonts w:ascii="Arial" w:hAnsi="Arial" w:cs="Arial"/>
                <w:sz w:val="22"/>
                <w:szCs w:val="22"/>
              </w:rPr>
              <w:t>Low AlphaFold metrics performance when large proteins are combined with small interfaces (such as ligands</w:t>
            </w:r>
            <w:r w:rsidR="004F437E" w:rsidRPr="00E632ED">
              <w:rPr>
                <w:rFonts w:ascii="Arial" w:hAnsi="Arial" w:cs="Arial"/>
                <w:sz w:val="22"/>
                <w:szCs w:val="22"/>
              </w:rPr>
              <w:t xml:space="preserve"> or peptides</w:t>
            </w:r>
            <w:r w:rsidRPr="00E632ED">
              <w:rPr>
                <w:rFonts w:ascii="Arial" w:hAnsi="Arial" w:cs="Arial"/>
                <w:sz w:val="22"/>
                <w:szCs w:val="22"/>
              </w:rPr>
              <w:t>)</w:t>
            </w:r>
            <w:r w:rsidR="003545FC" w:rsidRPr="00E632ED">
              <w:rPr>
                <w:rFonts w:ascii="Arial" w:hAnsi="Arial" w:cs="Arial"/>
                <w:sz w:val="22"/>
                <w:szCs w:val="22"/>
              </w:rPr>
              <w:t xml:space="preserve"> </w:t>
            </w:r>
            <w:r w:rsidR="006952E5" w:rsidRPr="00E632ED">
              <w:rPr>
                <w:rFonts w:ascii="Arial" w:hAnsi="Arial" w:cs="Arial"/>
                <w:sz w:val="22"/>
                <w:szCs w:val="22"/>
              </w:rPr>
              <w:t xml:space="preserve">(Danneskiold-Samsøe </w:t>
            </w:r>
            <w:r w:rsidR="006952E5" w:rsidRPr="00E632ED">
              <w:rPr>
                <w:rFonts w:ascii="Arial" w:hAnsi="Arial" w:cs="Arial"/>
                <w:i/>
                <w:iCs/>
                <w:sz w:val="22"/>
                <w:szCs w:val="22"/>
              </w:rPr>
              <w:t>et al</w:t>
            </w:r>
            <w:r w:rsidR="006952E5" w:rsidRPr="00E632ED">
              <w:rPr>
                <w:rFonts w:ascii="Arial" w:hAnsi="Arial" w:cs="Arial"/>
                <w:sz w:val="22"/>
                <w:szCs w:val="22"/>
              </w:rPr>
              <w:t>, 2024).</w:t>
            </w:r>
          </w:p>
        </w:tc>
        <w:tc>
          <w:tcPr>
            <w:tcW w:w="3005" w:type="dxa"/>
          </w:tcPr>
          <w:p w14:paraId="581BEC5F" w14:textId="77777777" w:rsidR="00AD4331" w:rsidRPr="00E632ED" w:rsidRDefault="000F5242" w:rsidP="00E632ED">
            <w:pPr>
              <w:spacing w:line="360" w:lineRule="auto"/>
              <w:jc w:val="both"/>
              <w:rPr>
                <w:rFonts w:ascii="Arial" w:hAnsi="Arial" w:cs="Arial"/>
                <w:b/>
                <w:bCs/>
                <w:sz w:val="22"/>
                <w:szCs w:val="22"/>
              </w:rPr>
            </w:pPr>
            <w:r w:rsidRPr="00E632ED">
              <w:rPr>
                <w:rFonts w:ascii="Arial" w:hAnsi="Arial" w:cs="Arial"/>
                <w:b/>
                <w:bCs/>
                <w:sz w:val="22"/>
                <w:szCs w:val="22"/>
              </w:rPr>
              <w:t>Moderate likelihood</w:t>
            </w:r>
          </w:p>
          <w:p w14:paraId="21C741F6" w14:textId="7C4E4D76" w:rsidR="000F5242" w:rsidRPr="00E632ED" w:rsidRDefault="000F5242" w:rsidP="00E632ED">
            <w:pPr>
              <w:spacing w:line="360" w:lineRule="auto"/>
              <w:jc w:val="both"/>
              <w:rPr>
                <w:rFonts w:ascii="Arial" w:hAnsi="Arial" w:cs="Arial"/>
                <w:sz w:val="22"/>
                <w:szCs w:val="22"/>
              </w:rPr>
            </w:pPr>
            <w:r w:rsidRPr="00E632ED">
              <w:rPr>
                <w:rFonts w:ascii="Arial" w:hAnsi="Arial" w:cs="Arial"/>
                <w:sz w:val="22"/>
                <w:szCs w:val="22"/>
              </w:rPr>
              <w:t>Could limit the reliability of AF to characterize the receptor-peptide complexes</w:t>
            </w:r>
            <w:r w:rsidR="004F437E" w:rsidRPr="00E632ED">
              <w:rPr>
                <w:rFonts w:ascii="Arial" w:hAnsi="Arial" w:cs="Arial"/>
                <w:sz w:val="22"/>
                <w:szCs w:val="22"/>
              </w:rPr>
              <w:t xml:space="preserve"> and determine plausibility in nature</w:t>
            </w:r>
          </w:p>
        </w:tc>
        <w:tc>
          <w:tcPr>
            <w:tcW w:w="3006" w:type="dxa"/>
          </w:tcPr>
          <w:p w14:paraId="743A46B7" w14:textId="74199D55" w:rsidR="00AD4331" w:rsidRPr="00E632ED" w:rsidRDefault="004F437E" w:rsidP="00E632ED">
            <w:pPr>
              <w:spacing w:line="360" w:lineRule="auto"/>
              <w:jc w:val="both"/>
              <w:rPr>
                <w:rFonts w:ascii="Arial" w:hAnsi="Arial" w:cs="Arial"/>
                <w:sz w:val="22"/>
                <w:szCs w:val="22"/>
              </w:rPr>
            </w:pPr>
            <w:r w:rsidRPr="00E632ED">
              <w:rPr>
                <w:rFonts w:ascii="Arial" w:hAnsi="Arial" w:cs="Arial"/>
                <w:sz w:val="22"/>
                <w:szCs w:val="22"/>
              </w:rPr>
              <w:t xml:space="preserve">In case that Alphafold </w:t>
            </w:r>
            <w:r w:rsidR="00AE4EE7" w:rsidRPr="00E632ED">
              <w:rPr>
                <w:rFonts w:ascii="Arial" w:hAnsi="Arial" w:cs="Arial"/>
                <w:sz w:val="22"/>
                <w:szCs w:val="22"/>
              </w:rPr>
              <w:t>cannot</w:t>
            </w:r>
            <w:r w:rsidRPr="00E632ED">
              <w:rPr>
                <w:rFonts w:ascii="Arial" w:hAnsi="Arial" w:cs="Arial"/>
                <w:sz w:val="22"/>
                <w:szCs w:val="22"/>
              </w:rPr>
              <w:t xml:space="preserve"> generate a quality complex due to its low metrics, the workflow suggests using alternative softwares like Pepfold, HADDOCK and others mentioned in methods to characterize the neuropeptides and receptor interactions</w:t>
            </w:r>
          </w:p>
        </w:tc>
      </w:tr>
      <w:tr w:rsidR="00AD4331" w:rsidRPr="00E632ED" w14:paraId="0B33B515" w14:textId="77777777" w:rsidTr="00AD4331">
        <w:tc>
          <w:tcPr>
            <w:tcW w:w="3005" w:type="dxa"/>
          </w:tcPr>
          <w:p w14:paraId="7AD45750" w14:textId="6748DF6E" w:rsidR="00AD4331" w:rsidRPr="00E632ED" w:rsidRDefault="000F5242" w:rsidP="00E632ED">
            <w:pPr>
              <w:spacing w:line="360" w:lineRule="auto"/>
              <w:jc w:val="both"/>
              <w:rPr>
                <w:rFonts w:ascii="Arial" w:hAnsi="Arial" w:cs="Arial"/>
                <w:sz w:val="22"/>
                <w:szCs w:val="22"/>
              </w:rPr>
            </w:pPr>
            <w:r w:rsidRPr="00E632ED">
              <w:rPr>
                <w:rFonts w:ascii="Arial" w:hAnsi="Arial" w:cs="Arial"/>
                <w:sz w:val="22"/>
                <w:szCs w:val="22"/>
              </w:rPr>
              <w:t xml:space="preserve">Ligand </w:t>
            </w:r>
            <w:r w:rsidR="004F437E" w:rsidRPr="00E632ED">
              <w:rPr>
                <w:rFonts w:ascii="Arial" w:hAnsi="Arial" w:cs="Arial"/>
                <w:sz w:val="22"/>
                <w:szCs w:val="22"/>
              </w:rPr>
              <w:t xml:space="preserve">binding </w:t>
            </w:r>
            <w:r w:rsidRPr="00E632ED">
              <w:rPr>
                <w:rFonts w:ascii="Arial" w:hAnsi="Arial" w:cs="Arial"/>
                <w:sz w:val="22"/>
                <w:szCs w:val="22"/>
              </w:rPr>
              <w:t xml:space="preserve">positioning inaccurate and variable due to lack of support data for </w:t>
            </w:r>
            <w:r w:rsidR="004F437E" w:rsidRPr="00E632ED">
              <w:rPr>
                <w:rFonts w:ascii="Arial" w:hAnsi="Arial" w:cs="Arial"/>
                <w:sz w:val="22"/>
                <w:szCs w:val="22"/>
              </w:rPr>
              <w:t xml:space="preserve">M. </w:t>
            </w:r>
            <w:r w:rsidR="004F437E" w:rsidRPr="00E632ED">
              <w:rPr>
                <w:rFonts w:ascii="Arial" w:hAnsi="Arial" w:cs="Arial"/>
                <w:sz w:val="22"/>
                <w:szCs w:val="22"/>
              </w:rPr>
              <w:lastRenderedPageBreak/>
              <w:t>leidyi as this organism is not well characterized for Alphafold to be trained on the proteins and structures from this organism. Failure in binding positioning has already been observed in GPCR-ligand interactions</w:t>
            </w:r>
            <w:r w:rsidR="006952E5" w:rsidRPr="00E632ED">
              <w:rPr>
                <w:rFonts w:ascii="Arial" w:hAnsi="Arial" w:cs="Arial"/>
                <w:sz w:val="22"/>
                <w:szCs w:val="22"/>
              </w:rPr>
              <w:t xml:space="preserve"> </w:t>
            </w:r>
            <w:r w:rsidR="004F437E" w:rsidRPr="00E632ED">
              <w:rPr>
                <w:rFonts w:ascii="Arial" w:hAnsi="Arial" w:cs="Arial"/>
                <w:sz w:val="22"/>
                <w:szCs w:val="22"/>
              </w:rPr>
              <w:t>(</w:t>
            </w:r>
            <w:r w:rsidR="006952E5" w:rsidRPr="00E632ED">
              <w:rPr>
                <w:rFonts w:ascii="Arial" w:hAnsi="Arial" w:cs="Arial"/>
                <w:sz w:val="22"/>
                <w:szCs w:val="22"/>
              </w:rPr>
              <w:t xml:space="preserve">Shen </w:t>
            </w:r>
            <w:r w:rsidR="006952E5" w:rsidRPr="00E632ED">
              <w:rPr>
                <w:rFonts w:ascii="Arial" w:hAnsi="Arial" w:cs="Arial"/>
                <w:i/>
                <w:iCs/>
                <w:sz w:val="22"/>
                <w:szCs w:val="22"/>
              </w:rPr>
              <w:t>et al.</w:t>
            </w:r>
            <w:r w:rsidR="006952E5" w:rsidRPr="00E632ED">
              <w:rPr>
                <w:rFonts w:ascii="Arial" w:hAnsi="Arial" w:cs="Arial"/>
                <w:sz w:val="22"/>
                <w:szCs w:val="22"/>
              </w:rPr>
              <w:t>, 2025)</w:t>
            </w:r>
          </w:p>
        </w:tc>
        <w:tc>
          <w:tcPr>
            <w:tcW w:w="3005" w:type="dxa"/>
          </w:tcPr>
          <w:p w14:paraId="5CCAC025" w14:textId="77777777" w:rsidR="00AD4331" w:rsidRPr="00E632ED" w:rsidRDefault="000F5242" w:rsidP="00E632ED">
            <w:pPr>
              <w:spacing w:line="360" w:lineRule="auto"/>
              <w:jc w:val="both"/>
              <w:rPr>
                <w:rFonts w:ascii="Arial" w:hAnsi="Arial" w:cs="Arial"/>
                <w:b/>
                <w:bCs/>
                <w:sz w:val="22"/>
                <w:szCs w:val="22"/>
              </w:rPr>
            </w:pPr>
            <w:r w:rsidRPr="00E632ED">
              <w:rPr>
                <w:rFonts w:ascii="Arial" w:hAnsi="Arial" w:cs="Arial"/>
                <w:b/>
                <w:bCs/>
                <w:sz w:val="22"/>
                <w:szCs w:val="22"/>
              </w:rPr>
              <w:lastRenderedPageBreak/>
              <w:t>Moderate likelihood</w:t>
            </w:r>
          </w:p>
          <w:p w14:paraId="3F26A3F4" w14:textId="02ED4503" w:rsidR="004F437E" w:rsidRPr="00E632ED" w:rsidRDefault="004F437E" w:rsidP="00E632ED">
            <w:pPr>
              <w:spacing w:line="360" w:lineRule="auto"/>
              <w:jc w:val="both"/>
              <w:rPr>
                <w:rFonts w:ascii="Arial" w:hAnsi="Arial" w:cs="Arial"/>
                <w:sz w:val="22"/>
                <w:szCs w:val="22"/>
              </w:rPr>
            </w:pPr>
            <w:r w:rsidRPr="00E632ED">
              <w:rPr>
                <w:rFonts w:ascii="Arial" w:hAnsi="Arial" w:cs="Arial"/>
                <w:sz w:val="22"/>
                <w:szCs w:val="22"/>
              </w:rPr>
              <w:t xml:space="preserve">Could limit the ability to assess if neuropeptides are </w:t>
            </w:r>
            <w:r w:rsidR="00AE4EE7" w:rsidRPr="00E632ED">
              <w:rPr>
                <w:rFonts w:ascii="Arial" w:hAnsi="Arial" w:cs="Arial"/>
                <w:sz w:val="22"/>
                <w:szCs w:val="22"/>
              </w:rPr>
              <w:lastRenderedPageBreak/>
              <w:t>binding</w:t>
            </w:r>
            <w:r w:rsidRPr="00E632ED">
              <w:rPr>
                <w:rFonts w:ascii="Arial" w:hAnsi="Arial" w:cs="Arial"/>
                <w:sz w:val="22"/>
                <w:szCs w:val="22"/>
              </w:rPr>
              <w:t xml:space="preserve"> to a receptor in M. leidyi, </w:t>
            </w:r>
          </w:p>
        </w:tc>
        <w:tc>
          <w:tcPr>
            <w:tcW w:w="3006" w:type="dxa"/>
          </w:tcPr>
          <w:p w14:paraId="486CA646" w14:textId="791B29C5" w:rsidR="00AD4331" w:rsidRPr="00E632ED" w:rsidRDefault="004F437E" w:rsidP="00E632ED">
            <w:pPr>
              <w:spacing w:line="360" w:lineRule="auto"/>
              <w:jc w:val="both"/>
              <w:rPr>
                <w:rFonts w:ascii="Arial" w:hAnsi="Arial" w:cs="Arial"/>
                <w:sz w:val="22"/>
                <w:szCs w:val="22"/>
              </w:rPr>
            </w:pPr>
            <w:r w:rsidRPr="00E632ED">
              <w:rPr>
                <w:rFonts w:ascii="Arial" w:hAnsi="Arial" w:cs="Arial"/>
                <w:sz w:val="22"/>
                <w:szCs w:val="22"/>
              </w:rPr>
              <w:lastRenderedPageBreak/>
              <w:t xml:space="preserve">In case Alphafold </w:t>
            </w:r>
            <w:r w:rsidR="00AE4EE7" w:rsidRPr="00E632ED">
              <w:rPr>
                <w:rFonts w:ascii="Arial" w:hAnsi="Arial" w:cs="Arial"/>
                <w:sz w:val="22"/>
                <w:szCs w:val="22"/>
              </w:rPr>
              <w:t>cannot</w:t>
            </w:r>
            <w:r w:rsidRPr="00E632ED">
              <w:rPr>
                <w:rFonts w:ascii="Arial" w:hAnsi="Arial" w:cs="Arial"/>
                <w:sz w:val="22"/>
                <w:szCs w:val="22"/>
              </w:rPr>
              <w:t xml:space="preserve"> tell where the peptide is binding in the receptor, pocket </w:t>
            </w:r>
            <w:r w:rsidRPr="00E632ED">
              <w:rPr>
                <w:rFonts w:ascii="Arial" w:hAnsi="Arial" w:cs="Arial"/>
                <w:sz w:val="22"/>
                <w:szCs w:val="22"/>
              </w:rPr>
              <w:lastRenderedPageBreak/>
              <w:t>finding softwares like Deeppocket, Fpocket, Pseq2Sites, and SeqinSites will be used to determine where the ligand binds, and Molecular docking and dynamics will be employed how these interactions evolve through time to assess stability of the interactions</w:t>
            </w:r>
          </w:p>
        </w:tc>
      </w:tr>
    </w:tbl>
    <w:p w14:paraId="4167E6B1" w14:textId="77777777" w:rsidR="005B39DC" w:rsidRPr="00E632ED" w:rsidRDefault="005B39DC" w:rsidP="00E632ED">
      <w:pPr>
        <w:spacing w:line="360" w:lineRule="auto"/>
        <w:jc w:val="both"/>
        <w:rPr>
          <w:rFonts w:ascii="Arial" w:hAnsi="Arial" w:cs="Arial"/>
          <w:sz w:val="22"/>
          <w:szCs w:val="22"/>
        </w:rPr>
      </w:pPr>
    </w:p>
    <w:p w14:paraId="25486A86" w14:textId="77777777" w:rsidR="00D67A76" w:rsidRPr="00E632ED" w:rsidRDefault="00D67A76" w:rsidP="00E632ED">
      <w:pPr>
        <w:spacing w:line="360" w:lineRule="auto"/>
        <w:jc w:val="both"/>
        <w:rPr>
          <w:rFonts w:ascii="Arial" w:hAnsi="Arial" w:cs="Arial"/>
          <w:sz w:val="22"/>
          <w:szCs w:val="22"/>
        </w:rPr>
      </w:pPr>
    </w:p>
    <w:p w14:paraId="546DB6FF" w14:textId="26695CD4" w:rsidR="00AE4EE7" w:rsidRPr="00E632ED" w:rsidRDefault="00AE4EE7" w:rsidP="00E632ED">
      <w:pPr>
        <w:spacing w:line="360" w:lineRule="auto"/>
        <w:jc w:val="center"/>
        <w:rPr>
          <w:rFonts w:ascii="Arial" w:hAnsi="Arial" w:cs="Arial"/>
          <w:b/>
          <w:bCs/>
          <w:sz w:val="22"/>
          <w:szCs w:val="22"/>
        </w:rPr>
      </w:pPr>
      <w:r w:rsidRPr="00E632ED">
        <w:rPr>
          <w:rFonts w:ascii="Arial" w:hAnsi="Arial" w:cs="Arial"/>
          <w:b/>
          <w:bCs/>
          <w:sz w:val="22"/>
          <w:szCs w:val="22"/>
        </w:rPr>
        <w:t>Reference list</w:t>
      </w:r>
    </w:p>
    <w:p w14:paraId="5B44B449" w14:textId="40987D83" w:rsidR="002126AD" w:rsidRPr="00E632ED" w:rsidRDefault="002126AD" w:rsidP="00E632ED">
      <w:pPr>
        <w:spacing w:line="360" w:lineRule="auto"/>
        <w:jc w:val="both"/>
        <w:rPr>
          <w:rFonts w:ascii="Arial" w:hAnsi="Arial" w:cs="Arial"/>
          <w:sz w:val="22"/>
          <w:szCs w:val="22"/>
        </w:rPr>
      </w:pPr>
      <w:r w:rsidRPr="00E632ED">
        <w:rPr>
          <w:rFonts w:ascii="Arial" w:hAnsi="Arial" w:cs="Arial"/>
          <w:sz w:val="22"/>
          <w:szCs w:val="22"/>
        </w:rPr>
        <w:t xml:space="preserve">Bicak, B., Kokcu, Y., Kecel-Gunduz, S., Ozel, A.E. and Akyuz, S. (2020) </w:t>
      </w:r>
      <w:r w:rsidRPr="00E632ED">
        <w:rPr>
          <w:rFonts w:ascii="Arial" w:hAnsi="Arial" w:cs="Arial"/>
          <w:i/>
          <w:iCs/>
          <w:sz w:val="22"/>
          <w:szCs w:val="22"/>
        </w:rPr>
        <w:t>The interaction of Ile-Phe dipeptide with phosphatidylinositide 3-kinase (PI3K): Molecular dynamics and molecular docking studies</w:t>
      </w:r>
      <w:r w:rsidRPr="00E632ED">
        <w:rPr>
          <w:rFonts w:ascii="Arial" w:hAnsi="Arial" w:cs="Arial"/>
          <w:sz w:val="22"/>
          <w:szCs w:val="22"/>
        </w:rPr>
        <w:t xml:space="preserve">. </w:t>
      </w:r>
      <w:r w:rsidRPr="00E632ED">
        <w:rPr>
          <w:rFonts w:ascii="Arial" w:hAnsi="Arial" w:cs="Arial"/>
          <w:b/>
          <w:bCs/>
          <w:sz w:val="22"/>
          <w:szCs w:val="22"/>
        </w:rPr>
        <w:t>NESciences</w:t>
      </w:r>
      <w:r w:rsidRPr="00E632ED">
        <w:rPr>
          <w:rFonts w:ascii="Arial" w:hAnsi="Arial" w:cs="Arial"/>
          <w:sz w:val="22"/>
          <w:szCs w:val="22"/>
        </w:rPr>
        <w:t xml:space="preserve">, 5(1), pp. 18–29. Available at: </w:t>
      </w:r>
      <w:hyperlink r:id="rId6" w:history="1">
        <w:r w:rsidRPr="00E632ED">
          <w:rPr>
            <w:rStyle w:val="Hyperlink"/>
            <w:rFonts w:ascii="Arial" w:hAnsi="Arial" w:cs="Arial"/>
            <w:sz w:val="22"/>
            <w:szCs w:val="22"/>
          </w:rPr>
          <w:t>https://doi.org/10.28978/nesciences.691673</w:t>
        </w:r>
      </w:hyperlink>
    </w:p>
    <w:p w14:paraId="70711F8F" w14:textId="7F3CD1AC" w:rsidR="006B6C6E" w:rsidRPr="00E632ED" w:rsidRDefault="006B6C6E" w:rsidP="00E632ED">
      <w:pPr>
        <w:spacing w:line="360" w:lineRule="auto"/>
        <w:jc w:val="both"/>
        <w:rPr>
          <w:rFonts w:ascii="Arial" w:hAnsi="Arial" w:cs="Arial"/>
          <w:sz w:val="22"/>
          <w:szCs w:val="22"/>
        </w:rPr>
      </w:pPr>
      <w:r w:rsidRPr="00E632ED">
        <w:rPr>
          <w:rFonts w:ascii="Arial" w:hAnsi="Arial" w:cs="Arial"/>
          <w:sz w:val="22"/>
          <w:szCs w:val="22"/>
        </w:rPr>
        <w:t xml:space="preserve">Bilous, M., Hérault, L., Gabriel, A.A. </w:t>
      </w:r>
      <w:r w:rsidRPr="00E632ED">
        <w:rPr>
          <w:rFonts w:ascii="Arial" w:hAnsi="Arial" w:cs="Arial"/>
          <w:i/>
          <w:iCs/>
          <w:sz w:val="22"/>
          <w:szCs w:val="22"/>
        </w:rPr>
        <w:t>et al.</w:t>
      </w:r>
      <w:r w:rsidRPr="00E632ED">
        <w:rPr>
          <w:rFonts w:ascii="Arial" w:hAnsi="Arial" w:cs="Arial"/>
          <w:sz w:val="22"/>
          <w:szCs w:val="22"/>
        </w:rPr>
        <w:t xml:space="preserve"> (2024) ‘Building and analyzing metacells in single-cell genomics data’, </w:t>
      </w:r>
      <w:r w:rsidRPr="00E632ED">
        <w:rPr>
          <w:rFonts w:ascii="Arial" w:hAnsi="Arial" w:cs="Arial"/>
          <w:i/>
          <w:iCs/>
          <w:sz w:val="22"/>
          <w:szCs w:val="22"/>
        </w:rPr>
        <w:t>Molecular Systems Biology</w:t>
      </w:r>
      <w:r w:rsidRPr="00E632ED">
        <w:rPr>
          <w:rFonts w:ascii="Arial" w:hAnsi="Arial" w:cs="Arial"/>
          <w:sz w:val="22"/>
          <w:szCs w:val="22"/>
        </w:rPr>
        <w:t xml:space="preserve">, 20, pp. 744–766. Available at: </w:t>
      </w:r>
      <w:hyperlink r:id="rId7" w:history="1">
        <w:r w:rsidRPr="00E632ED">
          <w:rPr>
            <w:rStyle w:val="Hyperlink"/>
            <w:rFonts w:ascii="Arial" w:hAnsi="Arial" w:cs="Arial"/>
            <w:sz w:val="22"/>
            <w:szCs w:val="22"/>
          </w:rPr>
          <w:t>https://doi.org/10.1038/s44320-024-00045-6</w:t>
        </w:r>
      </w:hyperlink>
      <w:r w:rsidRPr="00E632ED">
        <w:rPr>
          <w:rFonts w:ascii="Arial" w:hAnsi="Arial" w:cs="Arial"/>
          <w:sz w:val="22"/>
          <w:szCs w:val="22"/>
        </w:rPr>
        <w:t>.</w:t>
      </w:r>
    </w:p>
    <w:p w14:paraId="6FBA0A91" w14:textId="3513E627" w:rsidR="002126AD" w:rsidRPr="00E632ED" w:rsidRDefault="006B6C6E" w:rsidP="00E632ED">
      <w:pPr>
        <w:spacing w:line="360" w:lineRule="auto"/>
        <w:jc w:val="both"/>
        <w:rPr>
          <w:rFonts w:ascii="Arial" w:hAnsi="Arial" w:cs="Arial"/>
          <w:sz w:val="22"/>
          <w:szCs w:val="22"/>
        </w:rPr>
      </w:pPr>
      <w:r w:rsidRPr="00E632ED">
        <w:rPr>
          <w:rFonts w:ascii="Arial" w:hAnsi="Arial" w:cs="Arial"/>
          <w:sz w:val="22"/>
          <w:szCs w:val="22"/>
        </w:rPr>
        <w:t xml:space="preserve">Bukalo, O. and Dityatev, A. (2012) </w:t>
      </w:r>
      <w:r w:rsidRPr="00E632ED">
        <w:rPr>
          <w:rFonts w:ascii="Arial" w:hAnsi="Arial" w:cs="Arial"/>
          <w:i/>
          <w:iCs/>
          <w:sz w:val="22"/>
          <w:szCs w:val="22"/>
        </w:rPr>
        <w:t>Synaptic cell adhesion molecules</w:t>
      </w:r>
      <w:r w:rsidRPr="00E632ED">
        <w:rPr>
          <w:rFonts w:ascii="Arial" w:hAnsi="Arial" w:cs="Arial"/>
          <w:sz w:val="22"/>
          <w:szCs w:val="22"/>
        </w:rPr>
        <w:t xml:space="preserve">. In: Kreutz, M. and Sala, C. (eds.) </w:t>
      </w:r>
      <w:r w:rsidRPr="00E632ED">
        <w:rPr>
          <w:rFonts w:ascii="Arial" w:hAnsi="Arial" w:cs="Arial"/>
          <w:i/>
          <w:iCs/>
          <w:sz w:val="22"/>
          <w:szCs w:val="22"/>
        </w:rPr>
        <w:t>Synaptic plasticity</w:t>
      </w:r>
      <w:r w:rsidRPr="00E632ED">
        <w:rPr>
          <w:rFonts w:ascii="Arial" w:hAnsi="Arial" w:cs="Arial"/>
          <w:sz w:val="22"/>
          <w:szCs w:val="22"/>
        </w:rPr>
        <w:t xml:space="preserve">. Advances in Experimental Medicine and Biology, vol. 970. Vienna: Springer. Available at: </w:t>
      </w:r>
      <w:hyperlink r:id="rId8" w:history="1">
        <w:r w:rsidRPr="00E632ED">
          <w:rPr>
            <w:rStyle w:val="Hyperlink"/>
            <w:rFonts w:ascii="Arial" w:hAnsi="Arial" w:cs="Arial"/>
            <w:sz w:val="22"/>
            <w:szCs w:val="22"/>
          </w:rPr>
          <w:t>https://doi.org/10.1007/978-3-7091-0932-8_5</w:t>
        </w:r>
      </w:hyperlink>
    </w:p>
    <w:p w14:paraId="154CEFFA" w14:textId="082B01C5" w:rsidR="006B6C6E" w:rsidRPr="00E632ED" w:rsidRDefault="006B6C6E" w:rsidP="00E632ED">
      <w:pPr>
        <w:spacing w:line="360" w:lineRule="auto"/>
        <w:jc w:val="both"/>
        <w:rPr>
          <w:rFonts w:ascii="Arial" w:hAnsi="Arial" w:cs="Arial"/>
          <w:sz w:val="22"/>
          <w:szCs w:val="22"/>
        </w:rPr>
      </w:pPr>
      <w:r w:rsidRPr="00E632ED">
        <w:rPr>
          <w:rFonts w:ascii="Arial" w:hAnsi="Arial" w:cs="Arial"/>
          <w:sz w:val="22"/>
          <w:szCs w:val="22"/>
        </w:rPr>
        <w:t xml:space="preserve">Bullock, T.H. and Horridge, G.A. (1965) </w:t>
      </w:r>
      <w:r w:rsidRPr="00E632ED">
        <w:rPr>
          <w:rFonts w:ascii="Arial" w:hAnsi="Arial" w:cs="Arial"/>
          <w:i/>
          <w:iCs/>
          <w:sz w:val="22"/>
          <w:szCs w:val="22"/>
        </w:rPr>
        <w:t>Structure and function in the nervous systems of invertebrates</w:t>
      </w:r>
      <w:r w:rsidRPr="00E632ED">
        <w:rPr>
          <w:rFonts w:ascii="Arial" w:hAnsi="Arial" w:cs="Arial"/>
          <w:sz w:val="22"/>
          <w:szCs w:val="22"/>
        </w:rPr>
        <w:t>. San Francisco: W.H. Freeman. Available at: https://archive.org/details/structurefunctio0001theo (Accessed: 10 May 2026).</w:t>
      </w:r>
    </w:p>
    <w:p w14:paraId="0AA36FE6" w14:textId="6C21DD73" w:rsidR="002126AD" w:rsidRPr="00E632ED" w:rsidRDefault="002126AD" w:rsidP="00E632ED">
      <w:pPr>
        <w:spacing w:line="360" w:lineRule="auto"/>
        <w:jc w:val="both"/>
        <w:rPr>
          <w:rFonts w:ascii="Arial" w:hAnsi="Arial" w:cs="Arial"/>
          <w:sz w:val="22"/>
          <w:szCs w:val="22"/>
        </w:rPr>
      </w:pPr>
      <w:r w:rsidRPr="00E632ED">
        <w:rPr>
          <w:rFonts w:ascii="Arial" w:hAnsi="Arial" w:cs="Arial"/>
          <w:sz w:val="22"/>
          <w:szCs w:val="22"/>
        </w:rPr>
        <w:t>Burkhardt, P., Colgren, J., Medhus, A., Digel, L., Naumann, B., Soto</w:t>
      </w:r>
      <w:r w:rsidRPr="00E632ED">
        <w:rPr>
          <w:rFonts w:ascii="Arial" w:hAnsi="Arial" w:cs="Arial"/>
          <w:sz w:val="22"/>
          <w:szCs w:val="22"/>
        </w:rPr>
        <w:noBreakHyphen/>
        <w:t xml:space="preserve">Angel, J.J., Nordmann, E.-L., Sachkova, M.Y. and Kittelmann, M. (2023) </w:t>
      </w:r>
      <w:r w:rsidRPr="00E632ED">
        <w:rPr>
          <w:rFonts w:ascii="Arial" w:hAnsi="Arial" w:cs="Arial"/>
          <w:i/>
          <w:iCs/>
          <w:sz w:val="22"/>
          <w:szCs w:val="22"/>
        </w:rPr>
        <w:t>Syncytial nerve net in a ctenophore adds insights on the evolution of nervous systems</w:t>
      </w:r>
      <w:r w:rsidRPr="00E632ED">
        <w:rPr>
          <w:rFonts w:ascii="Arial" w:hAnsi="Arial" w:cs="Arial"/>
          <w:sz w:val="22"/>
          <w:szCs w:val="22"/>
        </w:rPr>
        <w:t xml:space="preserve">. </w:t>
      </w:r>
      <w:r w:rsidRPr="00E632ED">
        <w:rPr>
          <w:rFonts w:ascii="Arial" w:hAnsi="Arial" w:cs="Arial"/>
          <w:b/>
          <w:bCs/>
          <w:sz w:val="22"/>
          <w:szCs w:val="22"/>
        </w:rPr>
        <w:t>Science</w:t>
      </w:r>
      <w:r w:rsidRPr="00E632ED">
        <w:rPr>
          <w:rFonts w:ascii="Arial" w:hAnsi="Arial" w:cs="Arial"/>
          <w:sz w:val="22"/>
          <w:szCs w:val="22"/>
        </w:rPr>
        <w:t xml:space="preserve">, 380(6642), pp. 293–297. Available at: </w:t>
      </w:r>
      <w:hyperlink r:id="rId9" w:history="1">
        <w:r w:rsidRPr="00E632ED">
          <w:rPr>
            <w:rStyle w:val="Hyperlink"/>
            <w:rFonts w:ascii="Arial" w:hAnsi="Arial" w:cs="Arial"/>
            <w:sz w:val="22"/>
            <w:szCs w:val="22"/>
          </w:rPr>
          <w:t>https://doi.org/10.1126/science.ade5645</w:t>
        </w:r>
      </w:hyperlink>
    </w:p>
    <w:p w14:paraId="6989ADCB" w14:textId="389A76B6" w:rsidR="006B6C6E" w:rsidRPr="00E632ED" w:rsidRDefault="006B6C6E" w:rsidP="00E632ED">
      <w:pPr>
        <w:spacing w:line="360" w:lineRule="auto"/>
        <w:jc w:val="both"/>
        <w:rPr>
          <w:rFonts w:ascii="Arial" w:hAnsi="Arial" w:cs="Arial"/>
          <w:sz w:val="22"/>
          <w:szCs w:val="22"/>
        </w:rPr>
      </w:pPr>
      <w:r w:rsidRPr="00E632ED">
        <w:rPr>
          <w:rFonts w:ascii="Arial" w:hAnsi="Arial" w:cs="Arial"/>
          <w:sz w:val="22"/>
          <w:szCs w:val="22"/>
        </w:rPr>
        <w:t>Danneskjold-Samsøe, N.B., Kavi, D., Jude, K.M., Nissen, S.B., Wat, L.W., Coassolo, L., Zhao, M., Santana</w:t>
      </w:r>
      <w:r w:rsidRPr="00E632ED">
        <w:rPr>
          <w:rFonts w:ascii="Arial" w:hAnsi="Arial" w:cs="Arial"/>
          <w:sz w:val="22"/>
          <w:szCs w:val="22"/>
        </w:rPr>
        <w:noBreakHyphen/>
        <w:t xml:space="preserve">Oikawa, G.A., Broido, B.B., Garcia, K.C. and Svensson, K.J. (2024) </w:t>
      </w:r>
      <w:r w:rsidRPr="00E632ED">
        <w:rPr>
          <w:rFonts w:ascii="Arial" w:hAnsi="Arial" w:cs="Arial"/>
          <w:i/>
          <w:iCs/>
          <w:sz w:val="22"/>
          <w:szCs w:val="22"/>
        </w:rPr>
        <w:t xml:space="preserve">AlphaFold2 </w:t>
      </w:r>
      <w:r w:rsidRPr="00E632ED">
        <w:rPr>
          <w:rFonts w:ascii="Arial" w:hAnsi="Arial" w:cs="Arial"/>
          <w:i/>
          <w:iCs/>
          <w:sz w:val="22"/>
          <w:szCs w:val="22"/>
        </w:rPr>
        <w:lastRenderedPageBreak/>
        <w:t>enables accurate deorphanization of ligands to single-pass receptors</w:t>
      </w:r>
      <w:r w:rsidRPr="00E632ED">
        <w:rPr>
          <w:rFonts w:ascii="Arial" w:hAnsi="Arial" w:cs="Arial"/>
          <w:sz w:val="22"/>
          <w:szCs w:val="22"/>
        </w:rPr>
        <w:t xml:space="preserve">. </w:t>
      </w:r>
      <w:r w:rsidRPr="00E632ED">
        <w:rPr>
          <w:rFonts w:ascii="Arial" w:hAnsi="Arial" w:cs="Arial"/>
          <w:b/>
          <w:bCs/>
          <w:sz w:val="22"/>
          <w:szCs w:val="22"/>
        </w:rPr>
        <w:t>Current Biology</w:t>
      </w:r>
      <w:r w:rsidRPr="00E632ED">
        <w:rPr>
          <w:rFonts w:ascii="Arial" w:hAnsi="Arial" w:cs="Arial"/>
          <w:sz w:val="22"/>
          <w:szCs w:val="22"/>
        </w:rPr>
        <w:t>, 15(11), pp. 1046–1060.e3.</w:t>
      </w:r>
    </w:p>
    <w:p w14:paraId="4F09BA08" w14:textId="3515FE2C" w:rsidR="002126AD" w:rsidRPr="00E632ED" w:rsidRDefault="002126AD" w:rsidP="00E632ED">
      <w:pPr>
        <w:spacing w:line="360" w:lineRule="auto"/>
        <w:jc w:val="both"/>
        <w:rPr>
          <w:rFonts w:ascii="Arial" w:hAnsi="Arial" w:cs="Arial"/>
          <w:sz w:val="22"/>
          <w:szCs w:val="22"/>
        </w:rPr>
      </w:pPr>
      <w:r w:rsidRPr="00E632ED">
        <w:rPr>
          <w:rFonts w:ascii="Arial" w:hAnsi="Arial" w:cs="Arial"/>
          <w:sz w:val="22"/>
          <w:szCs w:val="22"/>
        </w:rPr>
        <w:t>Hernandez</w:t>
      </w:r>
      <w:r w:rsidRPr="00E632ED">
        <w:rPr>
          <w:rFonts w:ascii="Arial" w:hAnsi="Arial" w:cs="Arial"/>
          <w:sz w:val="22"/>
          <w:szCs w:val="22"/>
        </w:rPr>
        <w:noBreakHyphen/>
        <w:t xml:space="preserve">Nicaise, M.L. (1991) </w:t>
      </w:r>
      <w:r w:rsidRPr="00E632ED">
        <w:rPr>
          <w:rFonts w:ascii="Arial" w:hAnsi="Arial" w:cs="Arial"/>
          <w:i/>
          <w:iCs/>
          <w:sz w:val="22"/>
          <w:szCs w:val="22"/>
        </w:rPr>
        <w:t>Ctenophora</w:t>
      </w:r>
      <w:r w:rsidRPr="00E632ED">
        <w:rPr>
          <w:rFonts w:ascii="Arial" w:hAnsi="Arial" w:cs="Arial"/>
          <w:sz w:val="22"/>
          <w:szCs w:val="22"/>
        </w:rPr>
        <w:t xml:space="preserve">. In: Harrison, F.W. and Westfall, J.A. (eds.) </w:t>
      </w:r>
      <w:r w:rsidRPr="00E632ED">
        <w:rPr>
          <w:rFonts w:ascii="Arial" w:hAnsi="Arial" w:cs="Arial"/>
          <w:i/>
          <w:iCs/>
          <w:sz w:val="22"/>
          <w:szCs w:val="22"/>
        </w:rPr>
        <w:t>Microscopic anatomy of invertebrates. Vol. II: Placozoa, Porifera, Cnidaria, and Ctenophora</w:t>
      </w:r>
      <w:r w:rsidRPr="00E632ED">
        <w:rPr>
          <w:rFonts w:ascii="Arial" w:hAnsi="Arial" w:cs="Arial"/>
          <w:sz w:val="22"/>
          <w:szCs w:val="22"/>
        </w:rPr>
        <w:t>. New York: Wiley, pp. 359–418.</w:t>
      </w:r>
    </w:p>
    <w:p w14:paraId="0DFFB733" w14:textId="687197E1" w:rsidR="006B6C6E" w:rsidRPr="00E632ED" w:rsidRDefault="006B6C6E" w:rsidP="00E632ED">
      <w:pPr>
        <w:spacing w:line="360" w:lineRule="auto"/>
        <w:jc w:val="both"/>
        <w:rPr>
          <w:rFonts w:ascii="Arial" w:hAnsi="Arial" w:cs="Arial"/>
          <w:sz w:val="22"/>
          <w:szCs w:val="22"/>
        </w:rPr>
      </w:pPr>
      <w:r w:rsidRPr="00E632ED">
        <w:rPr>
          <w:rFonts w:ascii="Arial" w:hAnsi="Arial" w:cs="Arial"/>
          <w:sz w:val="22"/>
          <w:szCs w:val="22"/>
        </w:rPr>
        <w:t xml:space="preserve">Jager, M., Chiori, R., Alié, A., Dayraud, C., Quéinnec, E. and Manuel, M. (2010) </w:t>
      </w:r>
      <w:r w:rsidRPr="00E632ED">
        <w:rPr>
          <w:rFonts w:ascii="Arial" w:hAnsi="Arial" w:cs="Arial"/>
          <w:i/>
          <w:iCs/>
          <w:sz w:val="22"/>
          <w:szCs w:val="22"/>
        </w:rPr>
        <w:t>New insights on ctenophore neural anatomy: Immunofluorescence study in</w:t>
      </w:r>
      <w:r w:rsidRPr="00E632ED">
        <w:rPr>
          <w:rFonts w:ascii="Arial" w:hAnsi="Arial" w:cs="Arial"/>
          <w:sz w:val="22"/>
          <w:szCs w:val="22"/>
        </w:rPr>
        <w:t xml:space="preserve"> </w:t>
      </w:r>
      <w:r w:rsidRPr="00E632ED">
        <w:rPr>
          <w:rFonts w:ascii="Arial" w:hAnsi="Arial" w:cs="Arial"/>
          <w:i/>
          <w:iCs/>
          <w:sz w:val="22"/>
          <w:szCs w:val="22"/>
        </w:rPr>
        <w:t>Pleurobrachia pileus</w:t>
      </w:r>
      <w:r w:rsidRPr="00E632ED">
        <w:rPr>
          <w:rFonts w:ascii="Arial" w:hAnsi="Arial" w:cs="Arial"/>
          <w:sz w:val="22"/>
          <w:szCs w:val="22"/>
        </w:rPr>
        <w:t xml:space="preserve"> </w:t>
      </w:r>
      <w:r w:rsidRPr="00E632ED">
        <w:rPr>
          <w:rFonts w:ascii="Arial" w:hAnsi="Arial" w:cs="Arial"/>
          <w:i/>
          <w:iCs/>
          <w:sz w:val="22"/>
          <w:szCs w:val="22"/>
        </w:rPr>
        <w:t>(Müller, 1776)</w:t>
      </w:r>
      <w:r w:rsidRPr="00E632ED">
        <w:rPr>
          <w:rFonts w:ascii="Arial" w:hAnsi="Arial" w:cs="Arial"/>
          <w:sz w:val="22"/>
          <w:szCs w:val="22"/>
        </w:rPr>
        <w:t xml:space="preserve">. </w:t>
      </w:r>
      <w:r w:rsidRPr="00E632ED">
        <w:rPr>
          <w:rFonts w:ascii="Arial" w:hAnsi="Arial" w:cs="Arial"/>
          <w:b/>
          <w:bCs/>
          <w:sz w:val="22"/>
          <w:szCs w:val="22"/>
        </w:rPr>
        <w:t>Journal of Experimental Zoology Part B: Molecular and Developmental Evolution</w:t>
      </w:r>
      <w:r w:rsidRPr="00E632ED">
        <w:rPr>
          <w:rFonts w:ascii="Arial" w:hAnsi="Arial" w:cs="Arial"/>
          <w:sz w:val="22"/>
          <w:szCs w:val="22"/>
        </w:rPr>
        <w:t xml:space="preserve">, 316B(3), pp. 171–187. Available at: </w:t>
      </w:r>
      <w:hyperlink r:id="rId10" w:history="1">
        <w:r w:rsidRPr="00E632ED">
          <w:rPr>
            <w:rStyle w:val="Hyperlink"/>
            <w:rFonts w:ascii="Arial" w:hAnsi="Arial" w:cs="Arial"/>
            <w:sz w:val="22"/>
            <w:szCs w:val="22"/>
          </w:rPr>
          <w:t>https://doi.org/10.1002/jez.b.21386</w:t>
        </w:r>
      </w:hyperlink>
    </w:p>
    <w:p w14:paraId="755CDB17" w14:textId="28A6B896" w:rsidR="006B6C6E" w:rsidRPr="00E632ED" w:rsidRDefault="006B6C6E" w:rsidP="00E632ED">
      <w:pPr>
        <w:spacing w:line="360" w:lineRule="auto"/>
        <w:jc w:val="both"/>
        <w:rPr>
          <w:rFonts w:ascii="Arial" w:hAnsi="Arial" w:cs="Arial"/>
          <w:sz w:val="22"/>
          <w:szCs w:val="22"/>
        </w:rPr>
      </w:pPr>
      <w:r w:rsidRPr="00E632ED">
        <w:rPr>
          <w:rFonts w:ascii="Arial" w:hAnsi="Arial" w:cs="Arial"/>
          <w:sz w:val="22"/>
          <w:szCs w:val="22"/>
        </w:rPr>
        <w:t xml:space="preserve">Jékely, G. (2021) </w:t>
      </w:r>
      <w:r w:rsidRPr="00E632ED">
        <w:rPr>
          <w:rFonts w:ascii="Arial" w:hAnsi="Arial" w:cs="Arial"/>
          <w:i/>
          <w:iCs/>
          <w:sz w:val="22"/>
          <w:szCs w:val="22"/>
        </w:rPr>
        <w:t>The chemical brain hypothesis for the origin of nervous systems</w:t>
      </w:r>
      <w:r w:rsidRPr="00E632ED">
        <w:rPr>
          <w:rFonts w:ascii="Arial" w:hAnsi="Arial" w:cs="Arial"/>
          <w:sz w:val="22"/>
          <w:szCs w:val="22"/>
        </w:rPr>
        <w:t xml:space="preserve">. </w:t>
      </w:r>
      <w:r w:rsidRPr="00E632ED">
        <w:rPr>
          <w:rFonts w:ascii="Arial" w:hAnsi="Arial" w:cs="Arial"/>
          <w:b/>
          <w:bCs/>
          <w:sz w:val="22"/>
          <w:szCs w:val="22"/>
        </w:rPr>
        <w:t>Philosophical Transactions of the Royal Society B: Biological Sciences</w:t>
      </w:r>
      <w:r w:rsidRPr="00E632ED">
        <w:rPr>
          <w:rFonts w:ascii="Arial" w:hAnsi="Arial" w:cs="Arial"/>
          <w:sz w:val="22"/>
          <w:szCs w:val="22"/>
        </w:rPr>
        <w:t>, 376(1821), p. 20190761. Available at: https://doi.org/10.1098/rstb.2019.0761</w:t>
      </w:r>
    </w:p>
    <w:p w14:paraId="31313F4E" w14:textId="483B8EA4" w:rsidR="006B6C6E" w:rsidRPr="00E632ED" w:rsidRDefault="006B6C6E" w:rsidP="00E632ED">
      <w:pPr>
        <w:spacing w:line="360" w:lineRule="auto"/>
        <w:jc w:val="both"/>
        <w:rPr>
          <w:rFonts w:ascii="Arial" w:hAnsi="Arial" w:cs="Arial"/>
          <w:sz w:val="22"/>
          <w:szCs w:val="22"/>
        </w:rPr>
      </w:pPr>
      <w:r w:rsidRPr="00E632ED">
        <w:rPr>
          <w:rFonts w:ascii="Arial" w:hAnsi="Arial" w:cs="Arial"/>
          <w:sz w:val="22"/>
          <w:szCs w:val="22"/>
        </w:rPr>
        <w:t xml:space="preserve">Krishnan, A. and Schiöth, H.B. (2015) </w:t>
      </w:r>
      <w:r w:rsidRPr="00E632ED">
        <w:rPr>
          <w:rFonts w:ascii="Arial" w:hAnsi="Arial" w:cs="Arial"/>
          <w:i/>
          <w:iCs/>
          <w:sz w:val="22"/>
          <w:szCs w:val="22"/>
        </w:rPr>
        <w:t>The role of G protein-coupled receptors in the early evolution of neurotransmission and the nervous system</w:t>
      </w:r>
      <w:r w:rsidRPr="00E632ED">
        <w:rPr>
          <w:rFonts w:ascii="Arial" w:hAnsi="Arial" w:cs="Arial"/>
          <w:sz w:val="22"/>
          <w:szCs w:val="22"/>
        </w:rPr>
        <w:t xml:space="preserve">. </w:t>
      </w:r>
      <w:r w:rsidRPr="00E632ED">
        <w:rPr>
          <w:rFonts w:ascii="Arial" w:hAnsi="Arial" w:cs="Arial"/>
          <w:b/>
          <w:bCs/>
          <w:sz w:val="22"/>
          <w:szCs w:val="22"/>
        </w:rPr>
        <w:t>Journal of Experimental Biology</w:t>
      </w:r>
      <w:r w:rsidRPr="00E632ED">
        <w:rPr>
          <w:rFonts w:ascii="Arial" w:hAnsi="Arial" w:cs="Arial"/>
          <w:sz w:val="22"/>
          <w:szCs w:val="22"/>
        </w:rPr>
        <w:t>, 218(4), pp. 562–571. Available at: https://doi.org/10.1242/jeb.110312</w:t>
      </w:r>
    </w:p>
    <w:p w14:paraId="493F9B99" w14:textId="1655C1C9" w:rsidR="003B00B6" w:rsidRPr="00E632ED" w:rsidRDefault="003B00B6" w:rsidP="00E632ED">
      <w:pPr>
        <w:spacing w:line="360" w:lineRule="auto"/>
        <w:jc w:val="both"/>
        <w:rPr>
          <w:rFonts w:ascii="Arial" w:hAnsi="Arial" w:cs="Arial"/>
          <w:sz w:val="22"/>
          <w:szCs w:val="22"/>
        </w:rPr>
      </w:pPr>
      <w:r w:rsidRPr="00E632ED">
        <w:rPr>
          <w:rFonts w:ascii="Arial" w:hAnsi="Arial" w:cs="Arial"/>
          <w:sz w:val="22"/>
          <w:szCs w:val="22"/>
        </w:rPr>
        <w:t xml:space="preserve">Leys, S.P. (2015) </w:t>
      </w:r>
      <w:r w:rsidRPr="00E632ED">
        <w:rPr>
          <w:rFonts w:ascii="Arial" w:hAnsi="Arial" w:cs="Arial"/>
          <w:i/>
          <w:iCs/>
          <w:sz w:val="22"/>
          <w:szCs w:val="22"/>
        </w:rPr>
        <w:t>Elements of a ‘nervous system’ in sponges</w:t>
      </w:r>
      <w:r w:rsidRPr="00E632ED">
        <w:rPr>
          <w:rFonts w:ascii="Arial" w:hAnsi="Arial" w:cs="Arial"/>
          <w:sz w:val="22"/>
          <w:szCs w:val="22"/>
        </w:rPr>
        <w:t xml:space="preserve">. </w:t>
      </w:r>
      <w:r w:rsidRPr="00E632ED">
        <w:rPr>
          <w:rFonts w:ascii="Arial" w:hAnsi="Arial" w:cs="Arial"/>
          <w:b/>
          <w:bCs/>
          <w:sz w:val="22"/>
          <w:szCs w:val="22"/>
        </w:rPr>
        <w:t>Journal of Experimental Biology</w:t>
      </w:r>
      <w:r w:rsidRPr="00E632ED">
        <w:rPr>
          <w:rFonts w:ascii="Arial" w:hAnsi="Arial" w:cs="Arial"/>
          <w:sz w:val="22"/>
          <w:szCs w:val="22"/>
        </w:rPr>
        <w:t xml:space="preserve">, 218(4), pp. 581–591. Available at: </w:t>
      </w:r>
      <w:hyperlink r:id="rId11" w:history="1">
        <w:r w:rsidR="006B6C6E" w:rsidRPr="00E632ED">
          <w:rPr>
            <w:rStyle w:val="Hyperlink"/>
            <w:rFonts w:ascii="Arial" w:hAnsi="Arial" w:cs="Arial"/>
            <w:sz w:val="22"/>
            <w:szCs w:val="22"/>
          </w:rPr>
          <w:t>https://doi.org/10.1242/jeb.110817</w:t>
        </w:r>
      </w:hyperlink>
    </w:p>
    <w:p w14:paraId="248BD66A" w14:textId="70876B39" w:rsidR="002126AD" w:rsidRPr="00E632ED" w:rsidRDefault="002126AD" w:rsidP="00E632ED">
      <w:pPr>
        <w:spacing w:line="360" w:lineRule="auto"/>
        <w:jc w:val="both"/>
        <w:rPr>
          <w:rFonts w:ascii="Arial" w:hAnsi="Arial" w:cs="Arial"/>
          <w:sz w:val="22"/>
          <w:szCs w:val="22"/>
        </w:rPr>
      </w:pPr>
      <w:r w:rsidRPr="00E632ED">
        <w:rPr>
          <w:rFonts w:ascii="Arial" w:hAnsi="Arial" w:cs="Arial"/>
          <w:sz w:val="22"/>
          <w:szCs w:val="22"/>
        </w:rPr>
        <w:t xml:space="preserve">Najle, S.R., Grau-Bové, X., Elek, A., Schierwater, B., Serrano, L. and Sebé-Pedrós, A. (2023) </w:t>
      </w:r>
      <w:r w:rsidRPr="00E632ED">
        <w:rPr>
          <w:rFonts w:ascii="Arial" w:hAnsi="Arial" w:cs="Arial"/>
          <w:i/>
          <w:iCs/>
          <w:sz w:val="22"/>
          <w:szCs w:val="22"/>
        </w:rPr>
        <w:t>Stepwise emergence of the neuronal gene expression program in early animal evolution</w:t>
      </w:r>
      <w:r w:rsidRPr="00E632ED">
        <w:rPr>
          <w:rFonts w:ascii="Arial" w:hAnsi="Arial" w:cs="Arial"/>
          <w:sz w:val="22"/>
          <w:szCs w:val="22"/>
        </w:rPr>
        <w:t xml:space="preserve">. </w:t>
      </w:r>
      <w:r w:rsidRPr="00E632ED">
        <w:rPr>
          <w:rFonts w:ascii="Arial" w:hAnsi="Arial" w:cs="Arial"/>
          <w:b/>
          <w:bCs/>
          <w:sz w:val="22"/>
          <w:szCs w:val="22"/>
        </w:rPr>
        <w:t>Cell</w:t>
      </w:r>
      <w:r w:rsidRPr="00E632ED">
        <w:rPr>
          <w:rFonts w:ascii="Arial" w:hAnsi="Arial" w:cs="Arial"/>
          <w:sz w:val="22"/>
          <w:szCs w:val="22"/>
        </w:rPr>
        <w:t>, 186(21), pp. 4676–4693.e29. Available at: https://doi.org/10.1016/j.cell.2023.09.012</w:t>
      </w:r>
    </w:p>
    <w:p w14:paraId="266A9B4F" w14:textId="292B9EFE" w:rsidR="002126AD" w:rsidRPr="00E632ED" w:rsidRDefault="002126AD" w:rsidP="00E632ED">
      <w:pPr>
        <w:spacing w:line="360" w:lineRule="auto"/>
        <w:jc w:val="both"/>
        <w:rPr>
          <w:rFonts w:ascii="Arial" w:hAnsi="Arial" w:cs="Arial"/>
          <w:sz w:val="22"/>
          <w:szCs w:val="22"/>
        </w:rPr>
      </w:pPr>
      <w:r w:rsidRPr="00E632ED">
        <w:rPr>
          <w:rFonts w:ascii="Arial" w:hAnsi="Arial" w:cs="Arial"/>
          <w:sz w:val="22"/>
          <w:szCs w:val="22"/>
        </w:rPr>
        <w:t xml:space="preserve">National Human Genome Research Institute (NHGRI) (no date) </w:t>
      </w:r>
      <w:r w:rsidRPr="00E632ED">
        <w:rPr>
          <w:rFonts w:ascii="Arial" w:hAnsi="Arial" w:cs="Arial"/>
          <w:i/>
          <w:iCs/>
          <w:sz w:val="22"/>
          <w:szCs w:val="22"/>
        </w:rPr>
        <w:t>Genome Browser: Mnemiopsis genome viewer</w:t>
      </w:r>
      <w:r w:rsidRPr="00E632ED">
        <w:rPr>
          <w:rFonts w:ascii="Arial" w:hAnsi="Arial" w:cs="Arial"/>
          <w:sz w:val="22"/>
          <w:szCs w:val="22"/>
        </w:rPr>
        <w:t>. Available at: https://research.nhgri.nih.gov/mnemiopsis/jbrowse/jbrowse.cgi (Accessed: 10 May 2026).</w:t>
      </w:r>
    </w:p>
    <w:p w14:paraId="53B39C12" w14:textId="25849E5A" w:rsidR="002126AD" w:rsidRPr="00E632ED" w:rsidRDefault="002126AD" w:rsidP="00E632ED">
      <w:pPr>
        <w:spacing w:line="360" w:lineRule="auto"/>
        <w:jc w:val="both"/>
        <w:rPr>
          <w:rFonts w:ascii="Arial" w:hAnsi="Arial" w:cs="Arial"/>
          <w:sz w:val="22"/>
          <w:szCs w:val="22"/>
        </w:rPr>
      </w:pPr>
      <w:r w:rsidRPr="00E632ED">
        <w:rPr>
          <w:rFonts w:ascii="Arial" w:hAnsi="Arial" w:cs="Arial"/>
          <w:sz w:val="22"/>
          <w:szCs w:val="22"/>
        </w:rPr>
        <w:t xml:space="preserve">Rey, J., Murail, S., de Vries, S., Derreumaux, P. and Tuffery, P. (2023) </w:t>
      </w:r>
      <w:r w:rsidRPr="00E632ED">
        <w:rPr>
          <w:rFonts w:ascii="Arial" w:hAnsi="Arial" w:cs="Arial"/>
          <w:i/>
          <w:iCs/>
          <w:sz w:val="22"/>
          <w:szCs w:val="22"/>
        </w:rPr>
        <w:t>PEP-FOLD4: a pH-dependent force field for peptide structure prediction in aqueous solution</w:t>
      </w:r>
      <w:r w:rsidRPr="00E632ED">
        <w:rPr>
          <w:rFonts w:ascii="Arial" w:hAnsi="Arial" w:cs="Arial"/>
          <w:sz w:val="22"/>
          <w:szCs w:val="22"/>
        </w:rPr>
        <w:t xml:space="preserve">. </w:t>
      </w:r>
      <w:r w:rsidRPr="00E632ED">
        <w:rPr>
          <w:rFonts w:ascii="Arial" w:hAnsi="Arial" w:cs="Arial"/>
          <w:b/>
          <w:bCs/>
          <w:sz w:val="22"/>
          <w:szCs w:val="22"/>
        </w:rPr>
        <w:t>Nucleic Acids Research</w:t>
      </w:r>
      <w:r w:rsidRPr="00E632ED">
        <w:rPr>
          <w:rFonts w:ascii="Arial" w:hAnsi="Arial" w:cs="Arial"/>
          <w:sz w:val="22"/>
          <w:szCs w:val="22"/>
        </w:rPr>
        <w:t>, 51(W1), pp. W432–W437. Available at: https://doi.org/10.1093/nar/gkad376</w:t>
      </w:r>
    </w:p>
    <w:p w14:paraId="069B0D9A" w14:textId="6BBBB9AF" w:rsidR="002126AD" w:rsidRPr="00E632ED" w:rsidRDefault="006B6C6E" w:rsidP="00E632ED">
      <w:pPr>
        <w:spacing w:line="360" w:lineRule="auto"/>
        <w:jc w:val="both"/>
        <w:rPr>
          <w:rFonts w:ascii="Arial" w:hAnsi="Arial" w:cs="Arial"/>
          <w:sz w:val="22"/>
          <w:szCs w:val="22"/>
        </w:rPr>
      </w:pPr>
      <w:r w:rsidRPr="00E632ED">
        <w:rPr>
          <w:rFonts w:ascii="Arial" w:hAnsi="Arial" w:cs="Arial"/>
          <w:sz w:val="22"/>
          <w:szCs w:val="22"/>
        </w:rPr>
        <w:t xml:space="preserve">Ryan, J.F., Pang, K., Schnitzler, C.E., Nguyen, A.-D., Moreland, R.T., Simmons, D.K., Koch, B.J., Francis, W.R., Havlak, P. </w:t>
      </w:r>
      <w:r w:rsidRPr="00E632ED">
        <w:rPr>
          <w:rFonts w:ascii="Arial" w:hAnsi="Arial" w:cs="Arial"/>
          <w:i/>
          <w:iCs/>
          <w:sz w:val="22"/>
          <w:szCs w:val="22"/>
        </w:rPr>
        <w:t>et al.</w:t>
      </w:r>
      <w:r w:rsidRPr="00E632ED">
        <w:rPr>
          <w:rFonts w:ascii="Arial" w:hAnsi="Arial" w:cs="Arial"/>
          <w:sz w:val="22"/>
          <w:szCs w:val="22"/>
        </w:rPr>
        <w:t xml:space="preserve"> (2013) </w:t>
      </w:r>
      <w:r w:rsidRPr="00E632ED">
        <w:rPr>
          <w:rFonts w:ascii="Arial" w:hAnsi="Arial" w:cs="Arial"/>
          <w:i/>
          <w:iCs/>
          <w:sz w:val="22"/>
          <w:szCs w:val="22"/>
        </w:rPr>
        <w:t>The genome of the ctenophore</w:t>
      </w:r>
      <w:r w:rsidRPr="00E632ED">
        <w:rPr>
          <w:rFonts w:ascii="Arial" w:hAnsi="Arial" w:cs="Arial"/>
          <w:sz w:val="22"/>
          <w:szCs w:val="22"/>
        </w:rPr>
        <w:t xml:space="preserve"> </w:t>
      </w:r>
      <w:r w:rsidRPr="00E632ED">
        <w:rPr>
          <w:rFonts w:ascii="Arial" w:hAnsi="Arial" w:cs="Arial"/>
          <w:i/>
          <w:iCs/>
          <w:sz w:val="22"/>
          <w:szCs w:val="22"/>
        </w:rPr>
        <w:t>Mnemiopsis leidyi</w:t>
      </w:r>
      <w:r w:rsidRPr="00E632ED">
        <w:rPr>
          <w:rFonts w:ascii="Arial" w:hAnsi="Arial" w:cs="Arial"/>
          <w:sz w:val="22"/>
          <w:szCs w:val="22"/>
        </w:rPr>
        <w:t xml:space="preserve"> </w:t>
      </w:r>
      <w:r w:rsidRPr="00E632ED">
        <w:rPr>
          <w:rFonts w:ascii="Arial" w:hAnsi="Arial" w:cs="Arial"/>
          <w:i/>
          <w:iCs/>
          <w:sz w:val="22"/>
          <w:szCs w:val="22"/>
        </w:rPr>
        <w:t>and its implications for cell type evolution</w:t>
      </w:r>
      <w:r w:rsidRPr="00E632ED">
        <w:rPr>
          <w:rFonts w:ascii="Arial" w:hAnsi="Arial" w:cs="Arial"/>
          <w:sz w:val="22"/>
          <w:szCs w:val="22"/>
        </w:rPr>
        <w:t xml:space="preserve">. </w:t>
      </w:r>
      <w:r w:rsidRPr="00E632ED">
        <w:rPr>
          <w:rFonts w:ascii="Arial" w:hAnsi="Arial" w:cs="Arial"/>
          <w:b/>
          <w:bCs/>
          <w:sz w:val="22"/>
          <w:szCs w:val="22"/>
        </w:rPr>
        <w:t>Science</w:t>
      </w:r>
      <w:r w:rsidRPr="00E632ED">
        <w:rPr>
          <w:rFonts w:ascii="Arial" w:hAnsi="Arial" w:cs="Arial"/>
          <w:sz w:val="22"/>
          <w:szCs w:val="22"/>
        </w:rPr>
        <w:t xml:space="preserve">, 342(6164), pp. 1242592. Available at: </w:t>
      </w:r>
      <w:hyperlink r:id="rId12" w:history="1">
        <w:r w:rsidR="002126AD" w:rsidRPr="00E632ED">
          <w:rPr>
            <w:rStyle w:val="Hyperlink"/>
            <w:rFonts w:ascii="Arial" w:hAnsi="Arial" w:cs="Arial"/>
            <w:sz w:val="22"/>
            <w:szCs w:val="22"/>
          </w:rPr>
          <w:t>https://doi.org/10.1126/science.1242592</w:t>
        </w:r>
      </w:hyperlink>
    </w:p>
    <w:p w14:paraId="4F2120BB" w14:textId="1176E291" w:rsidR="003B00B6" w:rsidRPr="00E632ED" w:rsidRDefault="003B00B6" w:rsidP="00E632ED">
      <w:pPr>
        <w:spacing w:line="360" w:lineRule="auto"/>
        <w:jc w:val="both"/>
        <w:rPr>
          <w:rFonts w:ascii="Arial" w:hAnsi="Arial" w:cs="Arial"/>
          <w:sz w:val="22"/>
          <w:szCs w:val="22"/>
        </w:rPr>
      </w:pPr>
      <w:r w:rsidRPr="00E632ED">
        <w:rPr>
          <w:rFonts w:ascii="Arial" w:hAnsi="Arial" w:cs="Arial"/>
          <w:sz w:val="22"/>
          <w:szCs w:val="22"/>
        </w:rPr>
        <w:lastRenderedPageBreak/>
        <w:t xml:space="preserve">Sachkova, M., Modepalli, V. and Kittelmann, M. (2025) </w:t>
      </w:r>
      <w:r w:rsidRPr="00E632ED">
        <w:rPr>
          <w:rFonts w:ascii="Arial" w:hAnsi="Arial" w:cs="Arial"/>
          <w:i/>
          <w:iCs/>
          <w:sz w:val="22"/>
          <w:szCs w:val="22"/>
        </w:rPr>
        <w:t>The deep evolutionary roots of the nervous system</w:t>
      </w:r>
      <w:r w:rsidRPr="00E632ED">
        <w:rPr>
          <w:rFonts w:ascii="Arial" w:hAnsi="Arial" w:cs="Arial"/>
          <w:sz w:val="22"/>
          <w:szCs w:val="22"/>
        </w:rPr>
        <w:t xml:space="preserve">. </w:t>
      </w:r>
      <w:r w:rsidRPr="00E632ED">
        <w:rPr>
          <w:rFonts w:ascii="Arial" w:hAnsi="Arial" w:cs="Arial"/>
          <w:b/>
          <w:bCs/>
          <w:sz w:val="22"/>
          <w:szCs w:val="22"/>
        </w:rPr>
        <w:t>Annual Review of Neuroscience</w:t>
      </w:r>
      <w:r w:rsidRPr="00E632ED">
        <w:rPr>
          <w:rFonts w:ascii="Arial" w:hAnsi="Arial" w:cs="Arial"/>
          <w:sz w:val="22"/>
          <w:szCs w:val="22"/>
        </w:rPr>
        <w:t xml:space="preserve">, 48, pp. 311–329. Available at: </w:t>
      </w:r>
      <w:hyperlink r:id="rId13" w:history="1">
        <w:r w:rsidRPr="00E632ED">
          <w:rPr>
            <w:rStyle w:val="Hyperlink"/>
            <w:rFonts w:ascii="Arial" w:hAnsi="Arial" w:cs="Arial"/>
            <w:sz w:val="22"/>
            <w:szCs w:val="22"/>
          </w:rPr>
          <w:t>https://doi.org/10.1146/annurev-neuro-112723-040945</w:t>
        </w:r>
      </w:hyperlink>
    </w:p>
    <w:p w14:paraId="79AA33A7" w14:textId="77777777" w:rsidR="003B00B6" w:rsidRPr="00E632ED" w:rsidRDefault="003B00B6" w:rsidP="00E632ED">
      <w:pPr>
        <w:spacing w:line="360" w:lineRule="auto"/>
        <w:jc w:val="both"/>
        <w:rPr>
          <w:rFonts w:ascii="Arial" w:hAnsi="Arial" w:cs="Arial"/>
          <w:sz w:val="22"/>
          <w:szCs w:val="22"/>
        </w:rPr>
      </w:pPr>
      <w:r w:rsidRPr="00E632ED">
        <w:rPr>
          <w:rFonts w:ascii="Arial" w:hAnsi="Arial" w:cs="Arial"/>
          <w:sz w:val="22"/>
          <w:szCs w:val="22"/>
        </w:rPr>
        <w:t xml:space="preserve">Sachkova, M.Y., Nordmann, E.-L., Soto-Àngel, J.J., Meeda, Y., Górski, B., Naumann, B., Dondorp, D., Chatzigeorgiou, M., Kittelmann, M. and Burkhardt, P. (2021) </w:t>
      </w:r>
      <w:r w:rsidRPr="00E632ED">
        <w:rPr>
          <w:rFonts w:ascii="Arial" w:hAnsi="Arial" w:cs="Arial"/>
          <w:i/>
          <w:iCs/>
          <w:sz w:val="22"/>
          <w:szCs w:val="22"/>
        </w:rPr>
        <w:t>Neuropeptide repertoire and 3D anatomy of the ctenophore nervous system</w:t>
      </w:r>
      <w:r w:rsidRPr="00E632ED">
        <w:rPr>
          <w:rFonts w:ascii="Arial" w:hAnsi="Arial" w:cs="Arial"/>
          <w:sz w:val="22"/>
          <w:szCs w:val="22"/>
        </w:rPr>
        <w:t xml:space="preserve">. </w:t>
      </w:r>
      <w:r w:rsidRPr="00E632ED">
        <w:rPr>
          <w:rFonts w:ascii="Arial" w:hAnsi="Arial" w:cs="Arial"/>
          <w:b/>
          <w:bCs/>
          <w:sz w:val="22"/>
          <w:szCs w:val="22"/>
        </w:rPr>
        <w:t>Current Biology</w:t>
      </w:r>
      <w:r w:rsidRPr="00E632ED">
        <w:rPr>
          <w:rFonts w:ascii="Arial" w:hAnsi="Arial" w:cs="Arial"/>
          <w:sz w:val="22"/>
          <w:szCs w:val="22"/>
        </w:rPr>
        <w:t>, 31(23), pp. 5274–5285.e6.</w:t>
      </w:r>
    </w:p>
    <w:p w14:paraId="3D005048" w14:textId="77777777" w:rsidR="00F4704A" w:rsidRPr="00E632ED" w:rsidRDefault="00F4704A" w:rsidP="00E632ED">
      <w:pPr>
        <w:spacing w:line="360" w:lineRule="auto"/>
        <w:jc w:val="both"/>
        <w:rPr>
          <w:rFonts w:ascii="Arial" w:hAnsi="Arial" w:cs="Arial"/>
          <w:sz w:val="22"/>
          <w:szCs w:val="22"/>
        </w:rPr>
      </w:pPr>
      <w:r w:rsidRPr="00E632ED">
        <w:rPr>
          <w:rFonts w:ascii="Arial" w:hAnsi="Arial" w:cs="Arial"/>
          <w:sz w:val="22"/>
          <w:szCs w:val="22"/>
        </w:rPr>
        <w:t xml:space="preserve">Sachkova, M.Y. (2024) </w:t>
      </w:r>
      <w:r w:rsidRPr="00E632ED">
        <w:rPr>
          <w:rFonts w:ascii="Arial" w:hAnsi="Arial" w:cs="Arial"/>
          <w:i/>
          <w:iCs/>
          <w:sz w:val="22"/>
          <w:szCs w:val="22"/>
        </w:rPr>
        <w:t>Evolutionary origin of the nervous system from Ctenophora perspective</w:t>
      </w:r>
      <w:r w:rsidRPr="00E632ED">
        <w:rPr>
          <w:rFonts w:ascii="Arial" w:hAnsi="Arial" w:cs="Arial"/>
          <w:sz w:val="22"/>
          <w:szCs w:val="22"/>
        </w:rPr>
        <w:t xml:space="preserve">. </w:t>
      </w:r>
      <w:r w:rsidRPr="00E632ED">
        <w:rPr>
          <w:rFonts w:ascii="Arial" w:hAnsi="Arial" w:cs="Arial"/>
          <w:b/>
          <w:bCs/>
          <w:sz w:val="22"/>
          <w:szCs w:val="22"/>
        </w:rPr>
        <w:t>Evolution &amp; Development</w:t>
      </w:r>
      <w:r w:rsidRPr="00E632ED">
        <w:rPr>
          <w:rFonts w:ascii="Arial" w:hAnsi="Arial" w:cs="Arial"/>
          <w:sz w:val="22"/>
          <w:szCs w:val="22"/>
        </w:rPr>
        <w:t>, 26(4), p. e12472. Available at: https://doi.org/10.1111/ede.12472</w:t>
      </w:r>
    </w:p>
    <w:p w14:paraId="5BE7B890" w14:textId="66129399" w:rsidR="003B00B6" w:rsidRPr="00E632ED" w:rsidRDefault="00B160F6" w:rsidP="00E632ED">
      <w:pPr>
        <w:spacing w:line="360" w:lineRule="auto"/>
        <w:jc w:val="both"/>
        <w:rPr>
          <w:rFonts w:ascii="Arial" w:hAnsi="Arial" w:cs="Arial"/>
          <w:sz w:val="22"/>
          <w:szCs w:val="22"/>
        </w:rPr>
      </w:pPr>
      <w:r w:rsidRPr="00E632ED">
        <w:rPr>
          <w:rFonts w:ascii="Arial" w:hAnsi="Arial" w:cs="Arial"/>
          <w:sz w:val="22"/>
          <w:szCs w:val="22"/>
        </w:rPr>
        <w:t xml:space="preserve">Sachkova, M.Y., Nordmann, E.-L., Soto-Àngel, J.J., Meeda, Y., Górski, B., Naumann, B., Dondorp, D., Chatzigeorgiou, M., Kittelmann, M. and Burkhardt, P. (2021) </w:t>
      </w:r>
      <w:r w:rsidRPr="00E632ED">
        <w:rPr>
          <w:rFonts w:ascii="Arial" w:hAnsi="Arial" w:cs="Arial"/>
          <w:i/>
          <w:iCs/>
          <w:sz w:val="22"/>
          <w:szCs w:val="22"/>
        </w:rPr>
        <w:t>Neuropeptide repertoire and 3D anatomy of the ctenophore nervous system</w:t>
      </w:r>
      <w:r w:rsidRPr="00E632ED">
        <w:rPr>
          <w:rFonts w:ascii="Arial" w:hAnsi="Arial" w:cs="Arial"/>
          <w:sz w:val="22"/>
          <w:szCs w:val="22"/>
        </w:rPr>
        <w:t xml:space="preserve">. </w:t>
      </w:r>
      <w:r w:rsidRPr="00E632ED">
        <w:rPr>
          <w:rFonts w:ascii="Arial" w:hAnsi="Arial" w:cs="Arial"/>
          <w:b/>
          <w:bCs/>
          <w:sz w:val="22"/>
          <w:szCs w:val="22"/>
        </w:rPr>
        <w:t>Current Biology</w:t>
      </w:r>
      <w:r w:rsidRPr="00E632ED">
        <w:rPr>
          <w:rFonts w:ascii="Arial" w:hAnsi="Arial" w:cs="Arial"/>
          <w:sz w:val="22"/>
          <w:szCs w:val="22"/>
        </w:rPr>
        <w:t xml:space="preserve">, 31(23), pp. 5274–5285.e6. Available at: </w:t>
      </w:r>
      <w:hyperlink r:id="rId14" w:history="1">
        <w:r w:rsidR="002126AD" w:rsidRPr="00E632ED">
          <w:rPr>
            <w:rStyle w:val="Hyperlink"/>
            <w:rFonts w:ascii="Arial" w:hAnsi="Arial" w:cs="Arial"/>
            <w:sz w:val="22"/>
            <w:szCs w:val="22"/>
          </w:rPr>
          <w:t>https://doi.org/10.1016/j.cub.2021.09.005</w:t>
        </w:r>
      </w:hyperlink>
    </w:p>
    <w:p w14:paraId="4D3AED0E" w14:textId="27442DB8" w:rsidR="002126AD" w:rsidRPr="00E632ED" w:rsidRDefault="002126AD" w:rsidP="00E632ED">
      <w:pPr>
        <w:spacing w:line="360" w:lineRule="auto"/>
        <w:jc w:val="both"/>
        <w:rPr>
          <w:rFonts w:ascii="Arial" w:hAnsi="Arial" w:cs="Arial"/>
          <w:sz w:val="22"/>
          <w:szCs w:val="22"/>
        </w:rPr>
      </w:pPr>
      <w:r w:rsidRPr="00E632ED">
        <w:rPr>
          <w:rFonts w:ascii="Arial" w:hAnsi="Arial" w:cs="Arial"/>
          <w:sz w:val="22"/>
          <w:szCs w:val="22"/>
        </w:rPr>
        <w:t xml:space="preserve">Senatore, A., Reese, T.S. and Smith, C.L. (2017) </w:t>
      </w:r>
      <w:r w:rsidRPr="00E632ED">
        <w:rPr>
          <w:rFonts w:ascii="Arial" w:hAnsi="Arial" w:cs="Arial"/>
          <w:i/>
          <w:iCs/>
          <w:sz w:val="22"/>
          <w:szCs w:val="22"/>
        </w:rPr>
        <w:t>Neuropeptidergic integration of behavior in</w:t>
      </w:r>
      <w:r w:rsidRPr="00E632ED">
        <w:rPr>
          <w:rFonts w:ascii="Arial" w:hAnsi="Arial" w:cs="Arial"/>
          <w:sz w:val="22"/>
          <w:szCs w:val="22"/>
        </w:rPr>
        <w:t xml:space="preserve"> </w:t>
      </w:r>
      <w:r w:rsidRPr="00E632ED">
        <w:rPr>
          <w:rFonts w:ascii="Arial" w:hAnsi="Arial" w:cs="Arial"/>
          <w:i/>
          <w:iCs/>
          <w:sz w:val="22"/>
          <w:szCs w:val="22"/>
        </w:rPr>
        <w:t>Trichoplax adhaerens</w:t>
      </w:r>
      <w:r w:rsidRPr="00E632ED">
        <w:rPr>
          <w:rFonts w:ascii="Arial" w:hAnsi="Arial" w:cs="Arial"/>
          <w:sz w:val="22"/>
          <w:szCs w:val="22"/>
        </w:rPr>
        <w:t xml:space="preserve">, </w:t>
      </w:r>
      <w:r w:rsidRPr="00E632ED">
        <w:rPr>
          <w:rFonts w:ascii="Arial" w:hAnsi="Arial" w:cs="Arial"/>
          <w:i/>
          <w:iCs/>
          <w:sz w:val="22"/>
          <w:szCs w:val="22"/>
        </w:rPr>
        <w:t>an animal without synapses</w:t>
      </w:r>
      <w:r w:rsidRPr="00E632ED">
        <w:rPr>
          <w:rFonts w:ascii="Arial" w:hAnsi="Arial" w:cs="Arial"/>
          <w:sz w:val="22"/>
          <w:szCs w:val="22"/>
        </w:rPr>
        <w:t xml:space="preserve">. </w:t>
      </w:r>
      <w:r w:rsidRPr="00E632ED">
        <w:rPr>
          <w:rFonts w:ascii="Arial" w:hAnsi="Arial" w:cs="Arial"/>
          <w:b/>
          <w:bCs/>
          <w:sz w:val="22"/>
          <w:szCs w:val="22"/>
        </w:rPr>
        <w:t>Journal of Experimental Biology</w:t>
      </w:r>
      <w:r w:rsidRPr="00E632ED">
        <w:rPr>
          <w:rFonts w:ascii="Arial" w:hAnsi="Arial" w:cs="Arial"/>
          <w:sz w:val="22"/>
          <w:szCs w:val="22"/>
        </w:rPr>
        <w:t xml:space="preserve">, 220(18), pp. 3381–3390. Available at: </w:t>
      </w:r>
      <w:hyperlink r:id="rId15" w:history="1">
        <w:r w:rsidRPr="00E632ED">
          <w:rPr>
            <w:rStyle w:val="Hyperlink"/>
            <w:rFonts w:ascii="Arial" w:hAnsi="Arial" w:cs="Arial"/>
            <w:sz w:val="22"/>
            <w:szCs w:val="22"/>
          </w:rPr>
          <w:t>https://doi.org/10.1242/jeb.162396</w:t>
        </w:r>
      </w:hyperlink>
    </w:p>
    <w:p w14:paraId="5D1B743B" w14:textId="14D165B4" w:rsidR="002126AD" w:rsidRPr="00E632ED" w:rsidRDefault="002126AD" w:rsidP="00E632ED">
      <w:pPr>
        <w:spacing w:line="360" w:lineRule="auto"/>
        <w:jc w:val="both"/>
        <w:rPr>
          <w:rFonts w:ascii="Arial" w:hAnsi="Arial" w:cs="Arial"/>
          <w:sz w:val="22"/>
          <w:szCs w:val="22"/>
        </w:rPr>
      </w:pPr>
      <w:r w:rsidRPr="00E632ED">
        <w:rPr>
          <w:rFonts w:ascii="Arial" w:hAnsi="Arial" w:cs="Arial"/>
          <w:sz w:val="22"/>
          <w:szCs w:val="22"/>
        </w:rPr>
        <w:t xml:space="preserve">Seo, S., Choi, J., Choi, S., Lee, J., Park, C., Park, S. and Park, S. (2024) </w:t>
      </w:r>
      <w:r w:rsidRPr="00E632ED">
        <w:rPr>
          <w:rFonts w:ascii="Arial" w:hAnsi="Arial" w:cs="Arial"/>
          <w:i/>
          <w:iCs/>
          <w:sz w:val="22"/>
          <w:szCs w:val="22"/>
        </w:rPr>
        <w:t>Pseq2Sites: Enhancing protein sequence-based ligand binding-site prediction accuracy via the deep convolutional network and attention mechanism</w:t>
      </w:r>
      <w:r w:rsidRPr="00E632ED">
        <w:rPr>
          <w:rFonts w:ascii="Arial" w:hAnsi="Arial" w:cs="Arial"/>
          <w:sz w:val="22"/>
          <w:szCs w:val="22"/>
        </w:rPr>
        <w:t xml:space="preserve">. </w:t>
      </w:r>
      <w:r w:rsidRPr="00E632ED">
        <w:rPr>
          <w:rFonts w:ascii="Arial" w:hAnsi="Arial" w:cs="Arial"/>
          <w:b/>
          <w:bCs/>
          <w:sz w:val="22"/>
          <w:szCs w:val="22"/>
        </w:rPr>
        <w:t>Engineering Applications of Artificial Intelligence</w:t>
      </w:r>
      <w:r w:rsidRPr="00E632ED">
        <w:rPr>
          <w:rFonts w:ascii="Arial" w:hAnsi="Arial" w:cs="Arial"/>
          <w:sz w:val="22"/>
          <w:szCs w:val="22"/>
        </w:rPr>
        <w:t xml:space="preserve">, 127(A), p. 107257. Available at: </w:t>
      </w:r>
      <w:hyperlink r:id="rId16" w:history="1">
        <w:r w:rsidRPr="00E632ED">
          <w:rPr>
            <w:rStyle w:val="Hyperlink"/>
            <w:rFonts w:ascii="Arial" w:hAnsi="Arial" w:cs="Arial"/>
            <w:sz w:val="22"/>
            <w:szCs w:val="22"/>
          </w:rPr>
          <w:t>https://doi.org/10.1016/j.engappai.2023.107257</w:t>
        </w:r>
      </w:hyperlink>
    </w:p>
    <w:p w14:paraId="72DE1D33" w14:textId="62A9F2F8" w:rsidR="002126AD" w:rsidRPr="00E632ED" w:rsidRDefault="002126AD" w:rsidP="00E632ED">
      <w:pPr>
        <w:spacing w:line="360" w:lineRule="auto"/>
        <w:jc w:val="both"/>
        <w:rPr>
          <w:rFonts w:ascii="Arial" w:hAnsi="Arial" w:cs="Arial"/>
          <w:sz w:val="22"/>
          <w:szCs w:val="22"/>
        </w:rPr>
      </w:pPr>
      <w:r w:rsidRPr="00E632ED">
        <w:rPr>
          <w:rFonts w:ascii="Arial" w:hAnsi="Arial" w:cs="Arial"/>
          <w:sz w:val="22"/>
          <w:szCs w:val="22"/>
        </w:rPr>
        <w:t xml:space="preserve">Shen, S., Li, J., Wang, Y. </w:t>
      </w:r>
      <w:r w:rsidRPr="00E632ED">
        <w:rPr>
          <w:rFonts w:ascii="Arial" w:hAnsi="Arial" w:cs="Arial"/>
          <w:i/>
          <w:iCs/>
          <w:sz w:val="22"/>
          <w:szCs w:val="22"/>
        </w:rPr>
        <w:t>et al.</w:t>
      </w:r>
      <w:r w:rsidRPr="00E632ED">
        <w:rPr>
          <w:rFonts w:ascii="Arial" w:hAnsi="Arial" w:cs="Arial"/>
          <w:sz w:val="22"/>
          <w:szCs w:val="22"/>
        </w:rPr>
        <w:t xml:space="preserve"> (2025) </w:t>
      </w:r>
      <w:r w:rsidRPr="00E632ED">
        <w:rPr>
          <w:rFonts w:ascii="Arial" w:hAnsi="Arial" w:cs="Arial"/>
          <w:i/>
          <w:iCs/>
          <w:sz w:val="22"/>
          <w:szCs w:val="22"/>
        </w:rPr>
        <w:t>An update for AlphaFold3 versus experimental structures: assessing the precision of small molecule binding in GPCRs</w:t>
      </w:r>
      <w:r w:rsidRPr="00E632ED">
        <w:rPr>
          <w:rFonts w:ascii="Arial" w:hAnsi="Arial" w:cs="Arial"/>
          <w:sz w:val="22"/>
          <w:szCs w:val="22"/>
        </w:rPr>
        <w:t xml:space="preserve">. </w:t>
      </w:r>
      <w:r w:rsidRPr="00E632ED">
        <w:rPr>
          <w:rFonts w:ascii="Arial" w:hAnsi="Arial" w:cs="Arial"/>
          <w:b/>
          <w:bCs/>
          <w:sz w:val="22"/>
          <w:szCs w:val="22"/>
        </w:rPr>
        <w:t>Acta Pharmacologica Sinica</w:t>
      </w:r>
      <w:r w:rsidRPr="00E632ED">
        <w:rPr>
          <w:rFonts w:ascii="Arial" w:hAnsi="Arial" w:cs="Arial"/>
          <w:sz w:val="22"/>
          <w:szCs w:val="22"/>
        </w:rPr>
        <w:t xml:space="preserve">, 46, pp. 3355–3364. Available at: </w:t>
      </w:r>
      <w:hyperlink r:id="rId17" w:history="1">
        <w:r w:rsidRPr="00E632ED">
          <w:rPr>
            <w:rStyle w:val="Hyperlink"/>
            <w:rFonts w:ascii="Arial" w:hAnsi="Arial" w:cs="Arial"/>
            <w:sz w:val="22"/>
            <w:szCs w:val="22"/>
          </w:rPr>
          <w:t>https://doi.org/10.1038/s41401-025-01617-4</w:t>
        </w:r>
      </w:hyperlink>
    </w:p>
    <w:p w14:paraId="5C14DA35" w14:textId="77777777" w:rsidR="00B160F6" w:rsidRPr="00E632ED" w:rsidRDefault="00B160F6" w:rsidP="00E632ED">
      <w:pPr>
        <w:spacing w:line="360" w:lineRule="auto"/>
        <w:jc w:val="both"/>
        <w:rPr>
          <w:rFonts w:ascii="Arial" w:hAnsi="Arial" w:cs="Arial"/>
          <w:sz w:val="22"/>
          <w:szCs w:val="22"/>
        </w:rPr>
      </w:pPr>
      <w:r w:rsidRPr="00E632ED">
        <w:rPr>
          <w:rFonts w:ascii="Arial" w:hAnsi="Arial" w:cs="Arial"/>
          <w:sz w:val="22"/>
          <w:szCs w:val="22"/>
        </w:rPr>
        <w:t xml:space="preserve">Tran-Nguyen, V.-K. and Camproux, A.-C. (2025) </w:t>
      </w:r>
      <w:r w:rsidRPr="00E632ED">
        <w:rPr>
          <w:rFonts w:ascii="Arial" w:hAnsi="Arial" w:cs="Arial"/>
          <w:i/>
          <w:iCs/>
          <w:sz w:val="22"/>
          <w:szCs w:val="22"/>
        </w:rPr>
        <w:t>Computational modeling of protein–ligand interactions: From binding site identification to pose prediction and beyond</w:t>
      </w:r>
      <w:r w:rsidRPr="00E632ED">
        <w:rPr>
          <w:rFonts w:ascii="Arial" w:hAnsi="Arial" w:cs="Arial"/>
          <w:sz w:val="22"/>
          <w:szCs w:val="22"/>
        </w:rPr>
        <w:t xml:space="preserve">. </w:t>
      </w:r>
      <w:r w:rsidRPr="00E632ED">
        <w:rPr>
          <w:rFonts w:ascii="Arial" w:hAnsi="Arial" w:cs="Arial"/>
          <w:b/>
          <w:bCs/>
          <w:sz w:val="22"/>
          <w:szCs w:val="22"/>
        </w:rPr>
        <w:t>Current Opinion in Structural Biology</w:t>
      </w:r>
      <w:r w:rsidRPr="00E632ED">
        <w:rPr>
          <w:rFonts w:ascii="Arial" w:hAnsi="Arial" w:cs="Arial"/>
          <w:sz w:val="22"/>
          <w:szCs w:val="22"/>
        </w:rPr>
        <w:t>, 95, p. 103152. Available at: https://doi.org/10.1016/j.sbi.2025.103152</w:t>
      </w:r>
    </w:p>
    <w:p w14:paraId="2239B053" w14:textId="0635DD9C" w:rsidR="006952E5" w:rsidRPr="00E632ED" w:rsidRDefault="006952E5" w:rsidP="00E632ED">
      <w:pPr>
        <w:spacing w:line="360" w:lineRule="auto"/>
        <w:jc w:val="both"/>
        <w:rPr>
          <w:rFonts w:ascii="Arial" w:hAnsi="Arial" w:cs="Arial"/>
          <w:sz w:val="22"/>
          <w:szCs w:val="22"/>
        </w:rPr>
      </w:pPr>
      <w:r w:rsidRPr="00E632ED">
        <w:rPr>
          <w:rFonts w:ascii="Arial" w:hAnsi="Arial" w:cs="Arial"/>
          <w:sz w:val="22"/>
          <w:szCs w:val="22"/>
        </w:rPr>
        <w:t xml:space="preserve">Vidal-Limon, A., Aguilar-Toalá, J.E. and Liceaga, A.M. (2022) </w:t>
      </w:r>
      <w:r w:rsidRPr="00E632ED">
        <w:rPr>
          <w:rFonts w:ascii="Arial" w:hAnsi="Arial" w:cs="Arial"/>
          <w:i/>
          <w:iCs/>
          <w:sz w:val="22"/>
          <w:szCs w:val="22"/>
        </w:rPr>
        <w:t>Integration of molecular docking analysis and molecular dynamics simulations for studying food proteins and bioactive peptides</w:t>
      </w:r>
      <w:r w:rsidRPr="00E632ED">
        <w:rPr>
          <w:rFonts w:ascii="Arial" w:hAnsi="Arial" w:cs="Arial"/>
          <w:sz w:val="22"/>
          <w:szCs w:val="22"/>
        </w:rPr>
        <w:t xml:space="preserve">. </w:t>
      </w:r>
      <w:r w:rsidRPr="00E632ED">
        <w:rPr>
          <w:rFonts w:ascii="Arial" w:hAnsi="Arial" w:cs="Arial"/>
          <w:b/>
          <w:bCs/>
          <w:sz w:val="22"/>
          <w:szCs w:val="22"/>
        </w:rPr>
        <w:t>Journal of Agricultural and Food Chemistry</w:t>
      </w:r>
      <w:r w:rsidRPr="00E632ED">
        <w:rPr>
          <w:rFonts w:ascii="Arial" w:hAnsi="Arial" w:cs="Arial"/>
          <w:sz w:val="22"/>
          <w:szCs w:val="22"/>
        </w:rPr>
        <w:t xml:space="preserve">, 70(4), pp. 934–943. Available at: </w:t>
      </w:r>
      <w:hyperlink r:id="rId18" w:history="1">
        <w:r w:rsidRPr="00E632ED">
          <w:rPr>
            <w:rStyle w:val="Hyperlink"/>
            <w:rFonts w:ascii="Arial" w:hAnsi="Arial" w:cs="Arial"/>
            <w:sz w:val="22"/>
            <w:szCs w:val="22"/>
          </w:rPr>
          <w:t>https://doi.org/10.1021/acs.jafc.1c06110</w:t>
        </w:r>
      </w:hyperlink>
    </w:p>
    <w:p w14:paraId="4D6A77E6" w14:textId="77777777" w:rsidR="00AA28D6" w:rsidRPr="00E632ED" w:rsidRDefault="00AA28D6" w:rsidP="00E632ED">
      <w:pPr>
        <w:spacing w:line="360" w:lineRule="auto"/>
        <w:jc w:val="both"/>
        <w:rPr>
          <w:rFonts w:ascii="Arial" w:hAnsi="Arial" w:cs="Arial"/>
          <w:sz w:val="22"/>
          <w:szCs w:val="22"/>
        </w:rPr>
      </w:pPr>
    </w:p>
    <w:p w14:paraId="31D963EE" w14:textId="77777777" w:rsidR="0018180D" w:rsidRPr="00E632ED" w:rsidRDefault="0018180D" w:rsidP="00E632ED">
      <w:pPr>
        <w:spacing w:line="360" w:lineRule="auto"/>
        <w:jc w:val="both"/>
        <w:rPr>
          <w:rFonts w:ascii="Arial" w:hAnsi="Arial" w:cs="Arial"/>
          <w:sz w:val="22"/>
          <w:szCs w:val="22"/>
        </w:rPr>
      </w:pPr>
    </w:p>
    <w:p w14:paraId="47D5DC1A" w14:textId="77777777" w:rsidR="00CA4999" w:rsidRPr="00E632ED" w:rsidRDefault="00CA4999" w:rsidP="00E632ED">
      <w:pPr>
        <w:spacing w:line="360" w:lineRule="auto"/>
        <w:jc w:val="both"/>
        <w:rPr>
          <w:rFonts w:ascii="Arial" w:hAnsi="Arial" w:cs="Arial"/>
          <w:sz w:val="22"/>
          <w:szCs w:val="22"/>
        </w:rPr>
      </w:pPr>
    </w:p>
    <w:p w14:paraId="08607CD6" w14:textId="77777777" w:rsidR="006952E5" w:rsidRPr="00E632ED" w:rsidRDefault="006952E5" w:rsidP="00E632ED">
      <w:pPr>
        <w:spacing w:line="360" w:lineRule="auto"/>
        <w:jc w:val="both"/>
        <w:rPr>
          <w:rFonts w:ascii="Arial" w:hAnsi="Arial" w:cs="Arial"/>
          <w:sz w:val="22"/>
          <w:szCs w:val="22"/>
        </w:rPr>
      </w:pPr>
    </w:p>
    <w:p w14:paraId="41F7DDE0" w14:textId="77777777" w:rsidR="002126AD" w:rsidRPr="00E632ED" w:rsidRDefault="002126AD" w:rsidP="00E632ED">
      <w:pPr>
        <w:spacing w:line="360" w:lineRule="auto"/>
        <w:jc w:val="both"/>
        <w:rPr>
          <w:rFonts w:ascii="Arial" w:hAnsi="Arial" w:cs="Arial"/>
          <w:sz w:val="22"/>
          <w:szCs w:val="22"/>
        </w:rPr>
      </w:pPr>
    </w:p>
    <w:p w14:paraId="0A8B3FD0" w14:textId="77777777" w:rsidR="002126AD" w:rsidRPr="00E632ED" w:rsidRDefault="002126AD" w:rsidP="00E632ED">
      <w:pPr>
        <w:spacing w:line="360" w:lineRule="auto"/>
        <w:jc w:val="both"/>
        <w:rPr>
          <w:rFonts w:ascii="Arial" w:hAnsi="Arial" w:cs="Arial"/>
          <w:sz w:val="22"/>
          <w:szCs w:val="22"/>
        </w:rPr>
      </w:pPr>
    </w:p>
    <w:p w14:paraId="136E459E" w14:textId="77777777" w:rsidR="002126AD" w:rsidRPr="00E632ED" w:rsidRDefault="002126AD" w:rsidP="00E632ED">
      <w:pPr>
        <w:spacing w:line="360" w:lineRule="auto"/>
        <w:jc w:val="both"/>
        <w:rPr>
          <w:rFonts w:ascii="Arial" w:hAnsi="Arial" w:cs="Arial"/>
          <w:sz w:val="22"/>
          <w:szCs w:val="22"/>
        </w:rPr>
      </w:pPr>
    </w:p>
    <w:p w14:paraId="04AB9EB9" w14:textId="77777777" w:rsidR="002126AD" w:rsidRPr="00E632ED" w:rsidRDefault="002126AD" w:rsidP="00E632ED">
      <w:pPr>
        <w:spacing w:line="360" w:lineRule="auto"/>
        <w:jc w:val="both"/>
        <w:rPr>
          <w:rFonts w:ascii="Arial" w:hAnsi="Arial" w:cs="Arial"/>
          <w:sz w:val="22"/>
          <w:szCs w:val="22"/>
        </w:rPr>
      </w:pPr>
    </w:p>
    <w:p w14:paraId="36ED7026" w14:textId="77777777" w:rsidR="002126AD" w:rsidRPr="00E632ED" w:rsidRDefault="002126AD" w:rsidP="00E632ED">
      <w:pPr>
        <w:spacing w:line="360" w:lineRule="auto"/>
        <w:jc w:val="both"/>
        <w:rPr>
          <w:rFonts w:ascii="Arial" w:hAnsi="Arial" w:cs="Arial"/>
          <w:sz w:val="22"/>
          <w:szCs w:val="22"/>
        </w:rPr>
      </w:pPr>
    </w:p>
    <w:p w14:paraId="29C9E6D8" w14:textId="77777777" w:rsidR="002126AD" w:rsidRPr="00E632ED" w:rsidRDefault="002126AD" w:rsidP="00E632ED">
      <w:pPr>
        <w:spacing w:line="360" w:lineRule="auto"/>
        <w:jc w:val="both"/>
        <w:rPr>
          <w:rFonts w:ascii="Arial" w:hAnsi="Arial" w:cs="Arial"/>
          <w:sz w:val="22"/>
          <w:szCs w:val="22"/>
        </w:rPr>
      </w:pPr>
    </w:p>
    <w:p w14:paraId="2797287A" w14:textId="77777777" w:rsidR="002126AD" w:rsidRPr="00E632ED" w:rsidRDefault="002126AD" w:rsidP="00E632ED">
      <w:pPr>
        <w:spacing w:line="360" w:lineRule="auto"/>
        <w:jc w:val="both"/>
        <w:rPr>
          <w:rFonts w:ascii="Arial" w:hAnsi="Arial" w:cs="Arial"/>
          <w:sz w:val="22"/>
          <w:szCs w:val="22"/>
        </w:rPr>
      </w:pPr>
    </w:p>
    <w:p w14:paraId="1ACCF6C2" w14:textId="77777777" w:rsidR="002126AD" w:rsidRPr="00E632ED" w:rsidRDefault="002126AD" w:rsidP="00E632ED">
      <w:pPr>
        <w:spacing w:line="360" w:lineRule="auto"/>
        <w:jc w:val="both"/>
        <w:rPr>
          <w:rFonts w:ascii="Arial" w:hAnsi="Arial" w:cs="Arial"/>
          <w:sz w:val="22"/>
          <w:szCs w:val="22"/>
        </w:rPr>
      </w:pPr>
    </w:p>
    <w:p w14:paraId="15EFF93E" w14:textId="77777777" w:rsidR="002126AD" w:rsidRPr="00E632ED" w:rsidRDefault="002126AD" w:rsidP="00E632ED">
      <w:pPr>
        <w:spacing w:line="360" w:lineRule="auto"/>
        <w:jc w:val="both"/>
        <w:rPr>
          <w:rFonts w:ascii="Arial" w:hAnsi="Arial" w:cs="Arial"/>
          <w:sz w:val="22"/>
          <w:szCs w:val="22"/>
        </w:rPr>
      </w:pPr>
    </w:p>
    <w:p w14:paraId="62FD41A6" w14:textId="77777777" w:rsidR="002126AD" w:rsidRPr="00E632ED" w:rsidRDefault="002126AD" w:rsidP="00E632ED">
      <w:pPr>
        <w:spacing w:line="360" w:lineRule="auto"/>
        <w:jc w:val="both"/>
        <w:rPr>
          <w:rFonts w:ascii="Arial" w:hAnsi="Arial" w:cs="Arial"/>
          <w:sz w:val="22"/>
          <w:szCs w:val="22"/>
        </w:rPr>
      </w:pPr>
    </w:p>
    <w:p w14:paraId="79F2DBDF" w14:textId="77777777" w:rsidR="00AF1ABE" w:rsidRPr="00E632ED" w:rsidRDefault="00AF1ABE" w:rsidP="00E632ED">
      <w:pPr>
        <w:spacing w:line="360" w:lineRule="auto"/>
        <w:jc w:val="both"/>
        <w:rPr>
          <w:rFonts w:ascii="Arial" w:hAnsi="Arial" w:cs="Arial"/>
          <w:sz w:val="22"/>
          <w:szCs w:val="22"/>
        </w:rPr>
      </w:pPr>
    </w:p>
    <w:p w14:paraId="032CBCF4" w14:textId="77777777" w:rsidR="00AF1ABE" w:rsidRPr="00E632ED" w:rsidRDefault="00AF1ABE" w:rsidP="00E632ED">
      <w:pPr>
        <w:spacing w:line="360" w:lineRule="auto"/>
        <w:rPr>
          <w:rFonts w:ascii="Arial" w:hAnsi="Arial" w:cs="Arial"/>
          <w:sz w:val="22"/>
          <w:szCs w:val="22"/>
        </w:rPr>
      </w:pPr>
    </w:p>
    <w:p w14:paraId="120F4233" w14:textId="7186BE3D" w:rsidR="00AF1ABE" w:rsidRPr="00E632ED" w:rsidRDefault="00AF1ABE" w:rsidP="00E632ED">
      <w:pPr>
        <w:spacing w:line="360" w:lineRule="auto"/>
        <w:jc w:val="center"/>
        <w:rPr>
          <w:rFonts w:ascii="Arial" w:hAnsi="Arial" w:cs="Arial"/>
          <w:b/>
          <w:bCs/>
          <w:sz w:val="22"/>
          <w:szCs w:val="22"/>
        </w:rPr>
      </w:pPr>
      <w:r w:rsidRPr="00E632ED">
        <w:rPr>
          <w:rFonts w:ascii="Arial" w:hAnsi="Arial" w:cs="Arial"/>
          <w:b/>
          <w:bCs/>
          <w:sz w:val="22"/>
          <w:szCs w:val="22"/>
        </w:rPr>
        <w:t>Additional figures and tables</w:t>
      </w:r>
    </w:p>
    <w:p w14:paraId="26224B8D" w14:textId="6D1887A8" w:rsidR="00AF1ABE" w:rsidRPr="00E632ED" w:rsidRDefault="00AF1ABE" w:rsidP="00E632ED">
      <w:pPr>
        <w:spacing w:line="360" w:lineRule="auto"/>
        <w:jc w:val="center"/>
        <w:rPr>
          <w:rFonts w:ascii="Arial" w:hAnsi="Arial" w:cs="Arial"/>
          <w:sz w:val="22"/>
          <w:szCs w:val="22"/>
        </w:rPr>
      </w:pPr>
      <w:r w:rsidRPr="00E632ED">
        <w:rPr>
          <w:rFonts w:ascii="Arial" w:hAnsi="Arial" w:cs="Arial"/>
          <w:noProof/>
          <w:sz w:val="22"/>
          <w:szCs w:val="22"/>
        </w:rPr>
        <w:drawing>
          <wp:inline distT="0" distB="0" distL="0" distR="0" wp14:anchorId="346BFDBC" wp14:editId="5BE55239">
            <wp:extent cx="4705817" cy="2766349"/>
            <wp:effectExtent l="0" t="0" r="0" b="0"/>
            <wp:docPr id="105490767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719551" cy="2774423"/>
                    </a:xfrm>
                    <a:prstGeom prst="rect">
                      <a:avLst/>
                    </a:prstGeom>
                    <a:noFill/>
                    <a:ln>
                      <a:noFill/>
                    </a:ln>
                  </pic:spPr>
                </pic:pic>
              </a:graphicData>
            </a:graphic>
          </wp:inline>
        </w:drawing>
      </w:r>
    </w:p>
    <w:p w14:paraId="0CB91BCB" w14:textId="77777777" w:rsidR="00AF1ABE" w:rsidRPr="00E632ED" w:rsidRDefault="00AF1ABE" w:rsidP="00E632ED">
      <w:pPr>
        <w:spacing w:line="360" w:lineRule="auto"/>
        <w:jc w:val="center"/>
        <w:rPr>
          <w:rFonts w:ascii="Arial" w:hAnsi="Arial" w:cs="Arial"/>
          <w:sz w:val="22"/>
          <w:szCs w:val="22"/>
        </w:rPr>
      </w:pPr>
      <w:r w:rsidRPr="00E632ED">
        <w:rPr>
          <w:rFonts w:ascii="Arial" w:hAnsi="Arial" w:cs="Arial"/>
          <w:sz w:val="22"/>
          <w:szCs w:val="22"/>
        </w:rPr>
        <w:t>Fig 1. Ratio of GPCR distribution across different groups of the animal kingdom. Retrieved from Krishnan and Schiöth (2015).</w:t>
      </w:r>
    </w:p>
    <w:p w14:paraId="08007981" w14:textId="77777777" w:rsidR="00AF1ABE" w:rsidRPr="00E632ED" w:rsidRDefault="00AF1ABE" w:rsidP="00E632ED">
      <w:pPr>
        <w:spacing w:line="360" w:lineRule="auto"/>
        <w:jc w:val="center"/>
        <w:rPr>
          <w:rFonts w:ascii="Arial" w:hAnsi="Arial" w:cs="Arial"/>
          <w:sz w:val="22"/>
          <w:szCs w:val="22"/>
        </w:rPr>
      </w:pPr>
      <w:r w:rsidRPr="00E632ED">
        <w:rPr>
          <w:rFonts w:ascii="Arial" w:hAnsi="Arial" w:cs="Arial"/>
          <w:noProof/>
          <w:sz w:val="22"/>
          <w:szCs w:val="22"/>
        </w:rPr>
        <w:lastRenderedPageBreak/>
        <w:drawing>
          <wp:inline distT="0" distB="0" distL="0" distR="0" wp14:anchorId="21E28A49" wp14:editId="0ADFD536">
            <wp:extent cx="3200400" cy="2093095"/>
            <wp:effectExtent l="0" t="0" r="0" b="2540"/>
            <wp:docPr id="489693128" name="Picture 4" descr="Details are in the caption following th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etails are in the caption following the image"/>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28979" b="36479"/>
                    <a:stretch>
                      <a:fillRect/>
                    </a:stretch>
                  </pic:blipFill>
                  <pic:spPr bwMode="auto">
                    <a:xfrm>
                      <a:off x="0" y="0"/>
                      <a:ext cx="3204815" cy="2095982"/>
                    </a:xfrm>
                    <a:prstGeom prst="rect">
                      <a:avLst/>
                    </a:prstGeom>
                    <a:noFill/>
                    <a:ln>
                      <a:noFill/>
                    </a:ln>
                    <a:extLst>
                      <a:ext uri="{53640926-AAD7-44D8-BBD7-CCE9431645EC}">
                        <a14:shadowObscured xmlns:a14="http://schemas.microsoft.com/office/drawing/2010/main"/>
                      </a:ext>
                    </a:extLst>
                  </pic:spPr>
                </pic:pic>
              </a:graphicData>
            </a:graphic>
          </wp:inline>
        </w:drawing>
      </w:r>
    </w:p>
    <w:p w14:paraId="15420C67" w14:textId="77777777" w:rsidR="00AF1ABE" w:rsidRPr="00E632ED" w:rsidRDefault="00AF1ABE" w:rsidP="00E632ED">
      <w:pPr>
        <w:spacing w:line="360" w:lineRule="auto"/>
        <w:jc w:val="center"/>
        <w:rPr>
          <w:rFonts w:ascii="Arial" w:hAnsi="Arial" w:cs="Arial"/>
          <w:sz w:val="22"/>
          <w:szCs w:val="22"/>
        </w:rPr>
      </w:pPr>
      <w:r w:rsidRPr="00E632ED">
        <w:rPr>
          <w:rFonts w:ascii="Arial" w:hAnsi="Arial" w:cs="Arial"/>
          <w:sz w:val="22"/>
          <w:szCs w:val="22"/>
        </w:rPr>
        <w:t xml:space="preserve">Fig 2. Schematic of ctenophore nervous system. Details of anastomosed SNN, mesogleal neurons, and sensory cells are shown for </w:t>
      </w:r>
      <w:r w:rsidRPr="00E632ED">
        <w:rPr>
          <w:rFonts w:ascii="Arial" w:hAnsi="Arial" w:cs="Arial"/>
          <w:i/>
          <w:iCs/>
          <w:sz w:val="22"/>
          <w:szCs w:val="22"/>
        </w:rPr>
        <w:t>M. leidyi</w:t>
      </w:r>
      <w:r w:rsidRPr="00E632ED">
        <w:rPr>
          <w:rFonts w:ascii="Arial" w:hAnsi="Arial" w:cs="Arial"/>
          <w:sz w:val="22"/>
          <w:szCs w:val="22"/>
        </w:rPr>
        <w:t xml:space="preserve"> larvae. The left side of the larva is shown as a cross-section through tentacular plane, while the right side is showing the body surface. Synapses are shown with low molecular weight (LMW) neurotransmitter vesicles and mitochondria inside. AO </w:t>
      </w:r>
      <w:r w:rsidRPr="00E632ED">
        <w:rPr>
          <w:rFonts w:ascii="Arial" w:hAnsi="Arial" w:cs="Arial"/>
          <w:sz w:val="22"/>
          <w:szCs w:val="22"/>
        </w:rPr>
        <w:sym w:font="Wingdings" w:char="F0E0"/>
      </w:r>
      <w:r w:rsidRPr="00E632ED">
        <w:rPr>
          <w:rFonts w:ascii="Arial" w:hAnsi="Arial" w:cs="Arial"/>
          <w:sz w:val="22"/>
          <w:szCs w:val="22"/>
        </w:rPr>
        <w:t xml:space="preserve"> aboral organ; M </w:t>
      </w:r>
      <w:r w:rsidRPr="00E632ED">
        <w:rPr>
          <w:rFonts w:ascii="Arial" w:hAnsi="Arial" w:cs="Arial"/>
          <w:sz w:val="22"/>
          <w:szCs w:val="22"/>
        </w:rPr>
        <w:sym w:font="Wingdings" w:char="F0E0"/>
      </w:r>
      <w:r w:rsidRPr="00E632ED">
        <w:rPr>
          <w:rFonts w:ascii="Arial" w:hAnsi="Arial" w:cs="Arial"/>
          <w:sz w:val="22"/>
          <w:szCs w:val="22"/>
        </w:rPr>
        <w:t xml:space="preserve"> mouth; C </w:t>
      </w:r>
      <w:r w:rsidRPr="00E632ED">
        <w:rPr>
          <w:rFonts w:ascii="Arial" w:hAnsi="Arial" w:cs="Arial"/>
          <w:sz w:val="22"/>
          <w:szCs w:val="22"/>
        </w:rPr>
        <w:sym w:font="Wingdings" w:char="F0E0"/>
      </w:r>
      <w:r w:rsidRPr="00E632ED">
        <w:rPr>
          <w:rFonts w:ascii="Arial" w:hAnsi="Arial" w:cs="Arial"/>
          <w:sz w:val="22"/>
          <w:szCs w:val="22"/>
        </w:rPr>
        <w:t xml:space="preserve"> combs; T </w:t>
      </w:r>
      <w:r w:rsidRPr="00E632ED">
        <w:rPr>
          <w:rFonts w:ascii="Arial" w:hAnsi="Arial" w:cs="Arial"/>
          <w:sz w:val="22"/>
          <w:szCs w:val="22"/>
        </w:rPr>
        <w:sym w:font="Wingdings" w:char="F0E0"/>
      </w:r>
      <w:r w:rsidRPr="00E632ED">
        <w:rPr>
          <w:rFonts w:ascii="Arial" w:hAnsi="Arial" w:cs="Arial"/>
          <w:sz w:val="22"/>
          <w:szCs w:val="22"/>
        </w:rPr>
        <w:t xml:space="preserve"> tentacles; L </w:t>
      </w:r>
      <w:r w:rsidRPr="00E632ED">
        <w:rPr>
          <w:rFonts w:ascii="Arial" w:hAnsi="Arial" w:cs="Arial"/>
          <w:sz w:val="22"/>
          <w:szCs w:val="22"/>
        </w:rPr>
        <w:sym w:font="Wingdings" w:char="F0E0"/>
      </w:r>
      <w:r w:rsidRPr="00E632ED">
        <w:rPr>
          <w:rFonts w:ascii="Arial" w:hAnsi="Arial" w:cs="Arial"/>
          <w:sz w:val="22"/>
          <w:szCs w:val="22"/>
        </w:rPr>
        <w:t xml:space="preserve"> lobe; and meso </w:t>
      </w:r>
      <w:r w:rsidRPr="00E632ED">
        <w:rPr>
          <w:rFonts w:ascii="Arial" w:hAnsi="Arial" w:cs="Arial"/>
          <w:sz w:val="22"/>
          <w:szCs w:val="22"/>
        </w:rPr>
        <w:sym w:font="Wingdings" w:char="F0E0"/>
      </w:r>
      <w:r w:rsidRPr="00E632ED">
        <w:rPr>
          <w:rFonts w:ascii="Arial" w:hAnsi="Arial" w:cs="Arial"/>
          <w:sz w:val="22"/>
          <w:szCs w:val="22"/>
        </w:rPr>
        <w:t xml:space="preserve"> mesoglea. Retrieved from Sachkova (2024)</w:t>
      </w:r>
    </w:p>
    <w:p w14:paraId="0C514DCC" w14:textId="77777777" w:rsidR="00AF1ABE" w:rsidRPr="00E632ED" w:rsidRDefault="00AF1ABE" w:rsidP="00E632ED">
      <w:pPr>
        <w:spacing w:line="360" w:lineRule="auto"/>
        <w:jc w:val="both"/>
        <w:rPr>
          <w:rFonts w:ascii="Arial" w:hAnsi="Arial" w:cs="Arial"/>
          <w:sz w:val="22"/>
          <w:szCs w:val="22"/>
        </w:rPr>
      </w:pPr>
    </w:p>
    <w:p w14:paraId="2451C1D8" w14:textId="77777777" w:rsidR="00AF1ABE" w:rsidRPr="00E632ED" w:rsidRDefault="00AF1ABE" w:rsidP="00E632ED">
      <w:pPr>
        <w:spacing w:line="360" w:lineRule="auto"/>
        <w:jc w:val="both"/>
        <w:rPr>
          <w:rFonts w:ascii="Arial" w:hAnsi="Arial" w:cs="Arial"/>
          <w:sz w:val="22"/>
          <w:szCs w:val="22"/>
        </w:rPr>
      </w:pPr>
      <w:r w:rsidRPr="00E632ED">
        <w:rPr>
          <w:rFonts w:ascii="Arial" w:hAnsi="Arial" w:cs="Arial"/>
          <w:noProof/>
          <w:sz w:val="22"/>
          <w:szCs w:val="22"/>
        </w:rPr>
        <w:drawing>
          <wp:inline distT="0" distB="0" distL="0" distR="0" wp14:anchorId="0D2AC467" wp14:editId="3CBD67D4">
            <wp:extent cx="6114878" cy="2451100"/>
            <wp:effectExtent l="0" t="0" r="635" b="6350"/>
            <wp:docPr id="1145203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203185" name="Picture 1145203185"/>
                    <pic:cNvPicPr/>
                  </pic:nvPicPr>
                  <pic:blipFill>
                    <a:blip r:embed="rId21" cstate="print">
                      <a:extLst>
                        <a:ext uri="{28A0092B-C50C-407E-A947-70E740481C1C}">
                          <a14:useLocalDpi xmlns:a14="http://schemas.microsoft.com/office/drawing/2010/main" val="0"/>
                        </a:ext>
                      </a:extLst>
                    </a:blip>
                    <a:stretch>
                      <a:fillRect/>
                    </a:stretch>
                  </pic:blipFill>
                  <pic:spPr>
                    <a:xfrm>
                      <a:off x="0" y="0"/>
                      <a:ext cx="6119629" cy="2453005"/>
                    </a:xfrm>
                    <a:prstGeom prst="rect">
                      <a:avLst/>
                    </a:prstGeom>
                  </pic:spPr>
                </pic:pic>
              </a:graphicData>
            </a:graphic>
          </wp:inline>
        </w:drawing>
      </w:r>
    </w:p>
    <w:p w14:paraId="6F8645A5" w14:textId="77777777" w:rsidR="00AF1ABE" w:rsidRPr="00E632ED" w:rsidRDefault="00AF1ABE" w:rsidP="00E632ED">
      <w:pPr>
        <w:spacing w:line="360" w:lineRule="auto"/>
        <w:jc w:val="center"/>
        <w:rPr>
          <w:rFonts w:ascii="Arial" w:hAnsi="Arial" w:cs="Arial"/>
          <w:sz w:val="22"/>
          <w:szCs w:val="22"/>
        </w:rPr>
      </w:pPr>
      <w:r w:rsidRPr="00E632ED">
        <w:rPr>
          <w:rFonts w:ascii="Arial" w:hAnsi="Arial" w:cs="Arial"/>
          <w:sz w:val="22"/>
          <w:szCs w:val="22"/>
        </w:rPr>
        <w:t xml:space="preserve">Fig 3. </w:t>
      </w:r>
      <w:r w:rsidRPr="00E632ED">
        <w:rPr>
          <w:rFonts w:ascii="Arial" w:hAnsi="Arial" w:cs="Arial"/>
          <w:i/>
          <w:iCs/>
          <w:sz w:val="22"/>
          <w:szCs w:val="22"/>
        </w:rPr>
        <w:t xml:space="preserve">M. leidyi </w:t>
      </w:r>
      <w:r w:rsidRPr="00E632ED">
        <w:rPr>
          <w:rFonts w:ascii="Arial" w:hAnsi="Arial" w:cs="Arial"/>
          <w:sz w:val="22"/>
          <w:szCs w:val="22"/>
        </w:rPr>
        <w:t>neuropeptide-receptor interactions workflow. It considers both scenarios where AF could output low and high quality results.</w:t>
      </w:r>
    </w:p>
    <w:p w14:paraId="7778F783" w14:textId="6F399049" w:rsidR="00AF1ABE" w:rsidRPr="00E632ED" w:rsidRDefault="00AF1ABE" w:rsidP="00E632ED">
      <w:pPr>
        <w:spacing w:line="360" w:lineRule="auto"/>
        <w:jc w:val="both"/>
        <w:rPr>
          <w:rFonts w:ascii="Arial" w:hAnsi="Arial" w:cs="Arial"/>
          <w:sz w:val="22"/>
          <w:szCs w:val="22"/>
        </w:rPr>
      </w:pPr>
      <w:r w:rsidRPr="00E632ED">
        <w:rPr>
          <w:rFonts w:ascii="Arial" w:hAnsi="Arial" w:cs="Arial"/>
          <w:noProof/>
          <w:sz w:val="22"/>
          <w:szCs w:val="22"/>
        </w:rPr>
        <w:lastRenderedPageBreak/>
        <w:drawing>
          <wp:inline distT="0" distB="0" distL="0" distR="0" wp14:anchorId="48C7402F" wp14:editId="1EF63733">
            <wp:extent cx="4791075" cy="2743200"/>
            <wp:effectExtent l="0" t="0" r="9525" b="0"/>
            <wp:docPr id="91371299" name="Chart 1">
              <a:extLst xmlns:a="http://schemas.openxmlformats.org/drawingml/2006/main">
                <a:ext uri="{FF2B5EF4-FFF2-40B4-BE49-F238E27FC236}">
                  <a16:creationId xmlns:a16="http://schemas.microsoft.com/office/drawing/2014/main" id="{5A5D9DD8-0F69-5FE6-291C-4CFBA1A0EAA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p>
    <w:p w14:paraId="76BC4FE7" w14:textId="77777777" w:rsidR="00AF1ABE" w:rsidRPr="00E632ED" w:rsidRDefault="00AF1ABE" w:rsidP="00E632ED">
      <w:pPr>
        <w:spacing w:line="360" w:lineRule="auto"/>
        <w:jc w:val="center"/>
        <w:rPr>
          <w:rFonts w:ascii="Arial" w:hAnsi="Arial" w:cs="Arial"/>
          <w:sz w:val="22"/>
          <w:szCs w:val="22"/>
        </w:rPr>
      </w:pPr>
      <w:r w:rsidRPr="00E632ED">
        <w:rPr>
          <w:rFonts w:ascii="Arial" w:hAnsi="Arial" w:cs="Arial"/>
          <w:sz w:val="22"/>
          <w:szCs w:val="22"/>
        </w:rPr>
        <w:t>Fig 4. Gantt chart describing each of the tasks in the neuropeptide-receptor prediction workflow.</w:t>
      </w:r>
    </w:p>
    <w:tbl>
      <w:tblPr>
        <w:tblW w:w="8089" w:type="dxa"/>
        <w:tblLook w:val="04A0" w:firstRow="1" w:lastRow="0" w:firstColumn="1" w:lastColumn="0" w:noHBand="0" w:noVBand="1"/>
      </w:tblPr>
      <w:tblGrid>
        <w:gridCol w:w="4318"/>
        <w:gridCol w:w="1318"/>
        <w:gridCol w:w="1275"/>
        <w:gridCol w:w="1329"/>
      </w:tblGrid>
      <w:tr w:rsidR="00AF1ABE" w:rsidRPr="00E632ED" w14:paraId="3B640203" w14:textId="77777777" w:rsidTr="00F84D12">
        <w:trPr>
          <w:trHeight w:val="290"/>
        </w:trPr>
        <w:tc>
          <w:tcPr>
            <w:tcW w:w="8089" w:type="dxa"/>
            <w:gridSpan w:val="4"/>
            <w:tcBorders>
              <w:top w:val="single" w:sz="4" w:space="0" w:color="auto"/>
              <w:left w:val="single" w:sz="4" w:space="0" w:color="auto"/>
              <w:bottom w:val="single" w:sz="4" w:space="0" w:color="auto"/>
              <w:right w:val="single" w:sz="4" w:space="0" w:color="auto"/>
            </w:tcBorders>
            <w:shd w:val="clear" w:color="000000" w:fill="99FF66"/>
            <w:noWrap/>
            <w:vAlign w:val="bottom"/>
            <w:hideMark/>
          </w:tcPr>
          <w:p w14:paraId="31523FBD" w14:textId="77777777" w:rsidR="00AF1ABE" w:rsidRPr="00E632ED" w:rsidRDefault="00AF1ABE" w:rsidP="00E632ED">
            <w:pPr>
              <w:spacing w:after="0" w:line="360" w:lineRule="auto"/>
              <w:jc w:val="both"/>
              <w:rPr>
                <w:rFonts w:ascii="Arial" w:eastAsia="Times New Roman" w:hAnsi="Arial" w:cs="Arial"/>
                <w:b/>
                <w:bCs/>
                <w:color w:val="000000"/>
                <w:kern w:val="0"/>
                <w:sz w:val="22"/>
                <w:szCs w:val="22"/>
                <w:lang w:eastAsia="en-GB"/>
                <w14:ligatures w14:val="none"/>
              </w:rPr>
            </w:pPr>
            <w:r w:rsidRPr="00E632ED">
              <w:rPr>
                <w:rFonts w:ascii="Arial" w:eastAsia="Times New Roman" w:hAnsi="Arial" w:cs="Arial"/>
                <w:b/>
                <w:bCs/>
                <w:color w:val="000000"/>
                <w:kern w:val="0"/>
                <w:sz w:val="22"/>
                <w:szCs w:val="22"/>
                <w:lang w:eastAsia="en-GB"/>
                <w14:ligatures w14:val="none"/>
              </w:rPr>
              <w:t>Prediction of neuropeptide-receptor pairs in ancient Ctenophora</w:t>
            </w:r>
          </w:p>
        </w:tc>
      </w:tr>
      <w:tr w:rsidR="00AF1ABE" w:rsidRPr="00E632ED" w14:paraId="75794358" w14:textId="77777777" w:rsidTr="00F84D12">
        <w:trPr>
          <w:trHeight w:val="290"/>
        </w:trPr>
        <w:tc>
          <w:tcPr>
            <w:tcW w:w="4318" w:type="dxa"/>
            <w:tcBorders>
              <w:top w:val="nil"/>
              <w:left w:val="single" w:sz="4" w:space="0" w:color="auto"/>
              <w:bottom w:val="single" w:sz="4" w:space="0" w:color="auto"/>
              <w:right w:val="single" w:sz="4" w:space="0" w:color="auto"/>
            </w:tcBorders>
            <w:shd w:val="clear" w:color="000000" w:fill="E8E8E8"/>
            <w:noWrap/>
            <w:vAlign w:val="bottom"/>
            <w:hideMark/>
          </w:tcPr>
          <w:p w14:paraId="06AE0A74" w14:textId="77777777" w:rsidR="00AF1ABE" w:rsidRPr="00E632ED" w:rsidRDefault="00AF1ABE" w:rsidP="00E632ED">
            <w:pPr>
              <w:spacing w:after="0" w:line="360" w:lineRule="auto"/>
              <w:jc w:val="both"/>
              <w:rPr>
                <w:rFonts w:ascii="Arial" w:eastAsia="Times New Roman" w:hAnsi="Arial" w:cs="Arial"/>
                <w:color w:val="000000"/>
                <w:kern w:val="0"/>
                <w:sz w:val="22"/>
                <w:szCs w:val="22"/>
                <w:lang w:eastAsia="en-GB"/>
                <w14:ligatures w14:val="none"/>
              </w:rPr>
            </w:pPr>
            <w:r w:rsidRPr="00E632ED">
              <w:rPr>
                <w:rFonts w:ascii="Arial" w:eastAsia="Times New Roman" w:hAnsi="Arial" w:cs="Arial"/>
                <w:color w:val="000000"/>
                <w:kern w:val="0"/>
                <w:sz w:val="22"/>
                <w:szCs w:val="22"/>
                <w:lang w:eastAsia="en-GB"/>
                <w14:ligatures w14:val="none"/>
              </w:rPr>
              <w:t>Task</w:t>
            </w:r>
          </w:p>
        </w:tc>
        <w:tc>
          <w:tcPr>
            <w:tcW w:w="1246" w:type="dxa"/>
            <w:tcBorders>
              <w:top w:val="nil"/>
              <w:left w:val="nil"/>
              <w:bottom w:val="single" w:sz="4" w:space="0" w:color="auto"/>
              <w:right w:val="single" w:sz="4" w:space="0" w:color="auto"/>
            </w:tcBorders>
            <w:shd w:val="clear" w:color="000000" w:fill="E8E8E8"/>
            <w:noWrap/>
            <w:vAlign w:val="bottom"/>
            <w:hideMark/>
          </w:tcPr>
          <w:p w14:paraId="5DD3C40E" w14:textId="77777777" w:rsidR="00AF1ABE" w:rsidRPr="00E632ED" w:rsidRDefault="00AF1ABE" w:rsidP="00E632ED">
            <w:pPr>
              <w:spacing w:after="0" w:line="360" w:lineRule="auto"/>
              <w:jc w:val="both"/>
              <w:rPr>
                <w:rFonts w:ascii="Arial" w:eastAsia="Times New Roman" w:hAnsi="Arial" w:cs="Arial"/>
                <w:color w:val="000000"/>
                <w:kern w:val="0"/>
                <w:sz w:val="22"/>
                <w:szCs w:val="22"/>
                <w:lang w:eastAsia="en-GB"/>
                <w14:ligatures w14:val="none"/>
              </w:rPr>
            </w:pPr>
            <w:r w:rsidRPr="00E632ED">
              <w:rPr>
                <w:rFonts w:ascii="Arial" w:eastAsia="Times New Roman" w:hAnsi="Arial" w:cs="Arial"/>
                <w:color w:val="000000"/>
                <w:kern w:val="0"/>
                <w:sz w:val="22"/>
                <w:szCs w:val="22"/>
                <w:lang w:eastAsia="en-GB"/>
                <w14:ligatures w14:val="none"/>
              </w:rPr>
              <w:t>Start date</w:t>
            </w:r>
          </w:p>
        </w:tc>
        <w:tc>
          <w:tcPr>
            <w:tcW w:w="1275" w:type="dxa"/>
            <w:tcBorders>
              <w:top w:val="nil"/>
              <w:left w:val="nil"/>
              <w:bottom w:val="single" w:sz="4" w:space="0" w:color="auto"/>
              <w:right w:val="single" w:sz="4" w:space="0" w:color="auto"/>
            </w:tcBorders>
            <w:shd w:val="clear" w:color="000000" w:fill="E8E8E8"/>
            <w:noWrap/>
            <w:vAlign w:val="bottom"/>
            <w:hideMark/>
          </w:tcPr>
          <w:p w14:paraId="2015249B" w14:textId="77777777" w:rsidR="00AF1ABE" w:rsidRPr="00E632ED" w:rsidRDefault="00AF1ABE" w:rsidP="00E632ED">
            <w:pPr>
              <w:spacing w:after="0" w:line="360" w:lineRule="auto"/>
              <w:jc w:val="both"/>
              <w:rPr>
                <w:rFonts w:ascii="Arial" w:eastAsia="Times New Roman" w:hAnsi="Arial" w:cs="Arial"/>
                <w:color w:val="000000"/>
                <w:kern w:val="0"/>
                <w:sz w:val="22"/>
                <w:szCs w:val="22"/>
                <w:lang w:eastAsia="en-GB"/>
                <w14:ligatures w14:val="none"/>
              </w:rPr>
            </w:pPr>
            <w:r w:rsidRPr="00E632ED">
              <w:rPr>
                <w:rFonts w:ascii="Arial" w:eastAsia="Times New Roman" w:hAnsi="Arial" w:cs="Arial"/>
                <w:color w:val="000000"/>
                <w:kern w:val="0"/>
                <w:sz w:val="22"/>
                <w:szCs w:val="22"/>
                <w:lang w:eastAsia="en-GB"/>
                <w14:ligatures w14:val="none"/>
              </w:rPr>
              <w:t>Days needed</w:t>
            </w:r>
          </w:p>
        </w:tc>
        <w:tc>
          <w:tcPr>
            <w:tcW w:w="1250" w:type="dxa"/>
            <w:tcBorders>
              <w:top w:val="nil"/>
              <w:left w:val="nil"/>
              <w:bottom w:val="single" w:sz="4" w:space="0" w:color="auto"/>
              <w:right w:val="single" w:sz="4" w:space="0" w:color="auto"/>
            </w:tcBorders>
            <w:shd w:val="clear" w:color="000000" w:fill="E8E8E8"/>
            <w:noWrap/>
            <w:vAlign w:val="bottom"/>
            <w:hideMark/>
          </w:tcPr>
          <w:p w14:paraId="662A07C7" w14:textId="77777777" w:rsidR="00AF1ABE" w:rsidRPr="00E632ED" w:rsidRDefault="00AF1ABE" w:rsidP="00E632ED">
            <w:pPr>
              <w:spacing w:after="0" w:line="360" w:lineRule="auto"/>
              <w:jc w:val="both"/>
              <w:rPr>
                <w:rFonts w:ascii="Arial" w:eastAsia="Times New Roman" w:hAnsi="Arial" w:cs="Arial"/>
                <w:color w:val="000000"/>
                <w:kern w:val="0"/>
                <w:sz w:val="22"/>
                <w:szCs w:val="22"/>
                <w:lang w:eastAsia="en-GB"/>
                <w14:ligatures w14:val="none"/>
              </w:rPr>
            </w:pPr>
            <w:r w:rsidRPr="00E632ED">
              <w:rPr>
                <w:rFonts w:ascii="Arial" w:eastAsia="Times New Roman" w:hAnsi="Arial" w:cs="Arial"/>
                <w:color w:val="000000"/>
                <w:kern w:val="0"/>
                <w:sz w:val="22"/>
                <w:szCs w:val="22"/>
                <w:lang w:eastAsia="en-GB"/>
                <w14:ligatures w14:val="none"/>
              </w:rPr>
              <w:t>Completion</w:t>
            </w:r>
          </w:p>
        </w:tc>
      </w:tr>
      <w:tr w:rsidR="00AF1ABE" w:rsidRPr="00E632ED" w14:paraId="5A95E182" w14:textId="77777777" w:rsidTr="00F84D12">
        <w:trPr>
          <w:trHeight w:val="290"/>
        </w:trPr>
        <w:tc>
          <w:tcPr>
            <w:tcW w:w="4318" w:type="dxa"/>
            <w:tcBorders>
              <w:top w:val="nil"/>
              <w:left w:val="single" w:sz="4" w:space="0" w:color="auto"/>
              <w:bottom w:val="single" w:sz="4" w:space="0" w:color="auto"/>
              <w:right w:val="single" w:sz="4" w:space="0" w:color="auto"/>
            </w:tcBorders>
            <w:shd w:val="clear" w:color="000000" w:fill="E8E8E8"/>
            <w:noWrap/>
            <w:vAlign w:val="bottom"/>
            <w:hideMark/>
          </w:tcPr>
          <w:p w14:paraId="48196FF1" w14:textId="77777777" w:rsidR="00AF1ABE" w:rsidRPr="00E632ED" w:rsidRDefault="00AF1ABE" w:rsidP="00E632ED">
            <w:pPr>
              <w:spacing w:after="0" w:line="360" w:lineRule="auto"/>
              <w:jc w:val="both"/>
              <w:rPr>
                <w:rFonts w:ascii="Arial" w:eastAsia="Times New Roman" w:hAnsi="Arial" w:cs="Arial"/>
                <w:color w:val="000000"/>
                <w:kern w:val="0"/>
                <w:sz w:val="22"/>
                <w:szCs w:val="22"/>
                <w:lang w:eastAsia="en-GB"/>
                <w14:ligatures w14:val="none"/>
              </w:rPr>
            </w:pPr>
            <w:r w:rsidRPr="00E632ED">
              <w:rPr>
                <w:rFonts w:ascii="Arial" w:eastAsia="Times New Roman" w:hAnsi="Arial" w:cs="Arial"/>
                <w:color w:val="000000"/>
                <w:kern w:val="0"/>
                <w:sz w:val="22"/>
                <w:szCs w:val="22"/>
                <w:lang w:eastAsia="en-GB"/>
                <w14:ligatures w14:val="none"/>
              </w:rPr>
              <w:t>Predict 3D structure of neuropeptides</w:t>
            </w:r>
          </w:p>
        </w:tc>
        <w:tc>
          <w:tcPr>
            <w:tcW w:w="1246" w:type="dxa"/>
            <w:tcBorders>
              <w:top w:val="nil"/>
              <w:left w:val="nil"/>
              <w:bottom w:val="single" w:sz="4" w:space="0" w:color="auto"/>
              <w:right w:val="single" w:sz="4" w:space="0" w:color="auto"/>
            </w:tcBorders>
            <w:shd w:val="clear" w:color="000000" w:fill="E8E8E8"/>
            <w:noWrap/>
            <w:vAlign w:val="bottom"/>
            <w:hideMark/>
          </w:tcPr>
          <w:p w14:paraId="12E85CD3" w14:textId="77777777" w:rsidR="00AF1ABE" w:rsidRPr="00E632ED" w:rsidRDefault="00AF1ABE" w:rsidP="00E632ED">
            <w:pPr>
              <w:spacing w:after="0" w:line="360" w:lineRule="auto"/>
              <w:jc w:val="both"/>
              <w:rPr>
                <w:rFonts w:ascii="Arial" w:eastAsia="Times New Roman" w:hAnsi="Arial" w:cs="Arial"/>
                <w:color w:val="000000"/>
                <w:kern w:val="0"/>
                <w:sz w:val="22"/>
                <w:szCs w:val="22"/>
                <w:lang w:eastAsia="en-GB"/>
                <w14:ligatures w14:val="none"/>
              </w:rPr>
            </w:pPr>
            <w:r w:rsidRPr="00E632ED">
              <w:rPr>
                <w:rFonts w:ascii="Arial" w:eastAsia="Times New Roman" w:hAnsi="Arial" w:cs="Arial"/>
                <w:color w:val="000000"/>
                <w:kern w:val="0"/>
                <w:sz w:val="22"/>
                <w:szCs w:val="22"/>
                <w:lang w:eastAsia="en-GB"/>
                <w14:ligatures w14:val="none"/>
              </w:rPr>
              <w:t>15/05/2026</w:t>
            </w:r>
          </w:p>
        </w:tc>
        <w:tc>
          <w:tcPr>
            <w:tcW w:w="1275" w:type="dxa"/>
            <w:tcBorders>
              <w:top w:val="nil"/>
              <w:left w:val="nil"/>
              <w:bottom w:val="single" w:sz="4" w:space="0" w:color="auto"/>
              <w:right w:val="single" w:sz="4" w:space="0" w:color="auto"/>
            </w:tcBorders>
            <w:shd w:val="clear" w:color="000000" w:fill="E8E8E8"/>
            <w:noWrap/>
            <w:vAlign w:val="bottom"/>
            <w:hideMark/>
          </w:tcPr>
          <w:p w14:paraId="773DD02F" w14:textId="77777777" w:rsidR="00AF1ABE" w:rsidRPr="00E632ED" w:rsidRDefault="00AF1ABE" w:rsidP="00E632ED">
            <w:pPr>
              <w:spacing w:after="0" w:line="360" w:lineRule="auto"/>
              <w:jc w:val="both"/>
              <w:rPr>
                <w:rFonts w:ascii="Arial" w:eastAsia="Times New Roman" w:hAnsi="Arial" w:cs="Arial"/>
                <w:color w:val="000000"/>
                <w:kern w:val="0"/>
                <w:sz w:val="22"/>
                <w:szCs w:val="22"/>
                <w:lang w:eastAsia="en-GB"/>
                <w14:ligatures w14:val="none"/>
              </w:rPr>
            </w:pPr>
            <w:r w:rsidRPr="00E632ED">
              <w:rPr>
                <w:rFonts w:ascii="Arial" w:eastAsia="Times New Roman" w:hAnsi="Arial" w:cs="Arial"/>
                <w:color w:val="000000"/>
                <w:kern w:val="0"/>
                <w:sz w:val="22"/>
                <w:szCs w:val="22"/>
                <w:lang w:eastAsia="en-GB"/>
                <w14:ligatures w14:val="none"/>
              </w:rPr>
              <w:t>5</w:t>
            </w:r>
          </w:p>
        </w:tc>
        <w:tc>
          <w:tcPr>
            <w:tcW w:w="1250" w:type="dxa"/>
            <w:tcBorders>
              <w:top w:val="nil"/>
              <w:left w:val="nil"/>
              <w:bottom w:val="single" w:sz="4" w:space="0" w:color="auto"/>
              <w:right w:val="single" w:sz="4" w:space="0" w:color="auto"/>
            </w:tcBorders>
            <w:shd w:val="clear" w:color="000000" w:fill="E8E8E8"/>
            <w:noWrap/>
            <w:vAlign w:val="bottom"/>
            <w:hideMark/>
          </w:tcPr>
          <w:p w14:paraId="19688A7F" w14:textId="77777777" w:rsidR="00AF1ABE" w:rsidRPr="00E632ED" w:rsidRDefault="00AF1ABE" w:rsidP="00E632ED">
            <w:pPr>
              <w:spacing w:after="0" w:line="360" w:lineRule="auto"/>
              <w:jc w:val="both"/>
              <w:rPr>
                <w:rFonts w:ascii="Arial" w:eastAsia="Times New Roman" w:hAnsi="Arial" w:cs="Arial"/>
                <w:color w:val="000000"/>
                <w:kern w:val="0"/>
                <w:sz w:val="22"/>
                <w:szCs w:val="22"/>
                <w:lang w:eastAsia="en-GB"/>
                <w14:ligatures w14:val="none"/>
              </w:rPr>
            </w:pPr>
            <w:r w:rsidRPr="00E632ED">
              <w:rPr>
                <w:rFonts w:ascii="Arial" w:eastAsia="Times New Roman" w:hAnsi="Arial" w:cs="Arial"/>
                <w:color w:val="000000"/>
                <w:kern w:val="0"/>
                <w:sz w:val="22"/>
                <w:szCs w:val="22"/>
                <w:lang w:eastAsia="en-GB"/>
                <w14:ligatures w14:val="none"/>
              </w:rPr>
              <w:t>22/05/2026</w:t>
            </w:r>
          </w:p>
        </w:tc>
      </w:tr>
      <w:tr w:rsidR="00AF1ABE" w:rsidRPr="00E632ED" w14:paraId="7B55027C" w14:textId="77777777" w:rsidTr="00F84D12">
        <w:trPr>
          <w:trHeight w:val="290"/>
        </w:trPr>
        <w:tc>
          <w:tcPr>
            <w:tcW w:w="4318" w:type="dxa"/>
            <w:tcBorders>
              <w:top w:val="nil"/>
              <w:left w:val="single" w:sz="4" w:space="0" w:color="auto"/>
              <w:bottom w:val="single" w:sz="4" w:space="0" w:color="auto"/>
              <w:right w:val="single" w:sz="4" w:space="0" w:color="auto"/>
            </w:tcBorders>
            <w:shd w:val="clear" w:color="000000" w:fill="E8E8E8"/>
            <w:noWrap/>
            <w:vAlign w:val="bottom"/>
            <w:hideMark/>
          </w:tcPr>
          <w:p w14:paraId="42F91AFB" w14:textId="77777777" w:rsidR="00AF1ABE" w:rsidRPr="00E632ED" w:rsidRDefault="00AF1ABE" w:rsidP="00E632ED">
            <w:pPr>
              <w:spacing w:after="0" w:line="360" w:lineRule="auto"/>
              <w:jc w:val="both"/>
              <w:rPr>
                <w:rFonts w:ascii="Arial" w:eastAsia="Times New Roman" w:hAnsi="Arial" w:cs="Arial"/>
                <w:color w:val="000000"/>
                <w:kern w:val="0"/>
                <w:sz w:val="22"/>
                <w:szCs w:val="22"/>
                <w:lang w:eastAsia="en-GB"/>
                <w14:ligatures w14:val="none"/>
              </w:rPr>
            </w:pPr>
            <w:r w:rsidRPr="00E632ED">
              <w:rPr>
                <w:rFonts w:ascii="Arial" w:eastAsia="Times New Roman" w:hAnsi="Arial" w:cs="Arial"/>
                <w:color w:val="000000"/>
                <w:kern w:val="0"/>
                <w:sz w:val="22"/>
                <w:szCs w:val="22"/>
                <w:lang w:eastAsia="en-GB"/>
                <w14:ligatures w14:val="none"/>
              </w:rPr>
              <w:t>Identify or predict 3D structure of receptors</w:t>
            </w:r>
          </w:p>
        </w:tc>
        <w:tc>
          <w:tcPr>
            <w:tcW w:w="1246" w:type="dxa"/>
            <w:tcBorders>
              <w:top w:val="nil"/>
              <w:left w:val="nil"/>
              <w:bottom w:val="single" w:sz="4" w:space="0" w:color="auto"/>
              <w:right w:val="single" w:sz="4" w:space="0" w:color="auto"/>
            </w:tcBorders>
            <w:shd w:val="clear" w:color="000000" w:fill="E8E8E8"/>
            <w:noWrap/>
            <w:vAlign w:val="bottom"/>
            <w:hideMark/>
          </w:tcPr>
          <w:p w14:paraId="698CF875" w14:textId="77777777" w:rsidR="00AF1ABE" w:rsidRPr="00E632ED" w:rsidRDefault="00AF1ABE" w:rsidP="00E632ED">
            <w:pPr>
              <w:spacing w:after="0" w:line="360" w:lineRule="auto"/>
              <w:jc w:val="both"/>
              <w:rPr>
                <w:rFonts w:ascii="Arial" w:eastAsia="Times New Roman" w:hAnsi="Arial" w:cs="Arial"/>
                <w:color w:val="000000"/>
                <w:kern w:val="0"/>
                <w:sz w:val="22"/>
                <w:szCs w:val="22"/>
                <w:lang w:eastAsia="en-GB"/>
                <w14:ligatures w14:val="none"/>
              </w:rPr>
            </w:pPr>
            <w:r w:rsidRPr="00E632ED">
              <w:rPr>
                <w:rFonts w:ascii="Arial" w:eastAsia="Times New Roman" w:hAnsi="Arial" w:cs="Arial"/>
                <w:color w:val="000000"/>
                <w:kern w:val="0"/>
                <w:sz w:val="22"/>
                <w:szCs w:val="22"/>
                <w:lang w:eastAsia="en-GB"/>
                <w14:ligatures w14:val="none"/>
              </w:rPr>
              <w:t>23/05/2026</w:t>
            </w:r>
          </w:p>
        </w:tc>
        <w:tc>
          <w:tcPr>
            <w:tcW w:w="1275" w:type="dxa"/>
            <w:tcBorders>
              <w:top w:val="nil"/>
              <w:left w:val="nil"/>
              <w:bottom w:val="single" w:sz="4" w:space="0" w:color="auto"/>
              <w:right w:val="single" w:sz="4" w:space="0" w:color="auto"/>
            </w:tcBorders>
            <w:shd w:val="clear" w:color="000000" w:fill="E8E8E8"/>
            <w:noWrap/>
            <w:vAlign w:val="bottom"/>
            <w:hideMark/>
          </w:tcPr>
          <w:p w14:paraId="60248235" w14:textId="77777777" w:rsidR="00AF1ABE" w:rsidRPr="00E632ED" w:rsidRDefault="00AF1ABE" w:rsidP="00E632ED">
            <w:pPr>
              <w:spacing w:after="0" w:line="360" w:lineRule="auto"/>
              <w:jc w:val="both"/>
              <w:rPr>
                <w:rFonts w:ascii="Arial" w:eastAsia="Times New Roman" w:hAnsi="Arial" w:cs="Arial"/>
                <w:color w:val="000000"/>
                <w:kern w:val="0"/>
                <w:sz w:val="22"/>
                <w:szCs w:val="22"/>
                <w:lang w:eastAsia="en-GB"/>
                <w14:ligatures w14:val="none"/>
              </w:rPr>
            </w:pPr>
            <w:r w:rsidRPr="00E632ED">
              <w:rPr>
                <w:rFonts w:ascii="Arial" w:eastAsia="Times New Roman" w:hAnsi="Arial" w:cs="Arial"/>
                <w:color w:val="000000"/>
                <w:kern w:val="0"/>
                <w:sz w:val="22"/>
                <w:szCs w:val="22"/>
                <w:lang w:eastAsia="en-GB"/>
                <w14:ligatures w14:val="none"/>
              </w:rPr>
              <w:t>10</w:t>
            </w:r>
          </w:p>
        </w:tc>
        <w:tc>
          <w:tcPr>
            <w:tcW w:w="1250" w:type="dxa"/>
            <w:tcBorders>
              <w:top w:val="nil"/>
              <w:left w:val="nil"/>
              <w:bottom w:val="single" w:sz="4" w:space="0" w:color="auto"/>
              <w:right w:val="single" w:sz="4" w:space="0" w:color="auto"/>
            </w:tcBorders>
            <w:shd w:val="clear" w:color="000000" w:fill="E8E8E8"/>
            <w:noWrap/>
            <w:vAlign w:val="bottom"/>
            <w:hideMark/>
          </w:tcPr>
          <w:p w14:paraId="73A4260F" w14:textId="77777777" w:rsidR="00AF1ABE" w:rsidRPr="00E632ED" w:rsidRDefault="00AF1ABE" w:rsidP="00E632ED">
            <w:pPr>
              <w:spacing w:after="0" w:line="360" w:lineRule="auto"/>
              <w:jc w:val="both"/>
              <w:rPr>
                <w:rFonts w:ascii="Arial" w:eastAsia="Times New Roman" w:hAnsi="Arial" w:cs="Arial"/>
                <w:color w:val="000000"/>
                <w:kern w:val="0"/>
                <w:sz w:val="22"/>
                <w:szCs w:val="22"/>
                <w:lang w:eastAsia="en-GB"/>
                <w14:ligatures w14:val="none"/>
              </w:rPr>
            </w:pPr>
            <w:r w:rsidRPr="00E632ED">
              <w:rPr>
                <w:rFonts w:ascii="Arial" w:eastAsia="Times New Roman" w:hAnsi="Arial" w:cs="Arial"/>
                <w:color w:val="000000"/>
                <w:kern w:val="0"/>
                <w:sz w:val="22"/>
                <w:szCs w:val="22"/>
                <w:lang w:eastAsia="en-GB"/>
                <w14:ligatures w14:val="none"/>
              </w:rPr>
              <w:t>05/06/2026</w:t>
            </w:r>
          </w:p>
        </w:tc>
      </w:tr>
      <w:tr w:rsidR="00AF1ABE" w:rsidRPr="00E632ED" w14:paraId="1CAB4A7E" w14:textId="77777777" w:rsidTr="00F84D12">
        <w:trPr>
          <w:trHeight w:val="290"/>
        </w:trPr>
        <w:tc>
          <w:tcPr>
            <w:tcW w:w="4318" w:type="dxa"/>
            <w:tcBorders>
              <w:top w:val="nil"/>
              <w:left w:val="single" w:sz="4" w:space="0" w:color="auto"/>
              <w:bottom w:val="single" w:sz="4" w:space="0" w:color="auto"/>
              <w:right w:val="single" w:sz="4" w:space="0" w:color="auto"/>
            </w:tcBorders>
            <w:shd w:val="clear" w:color="000000" w:fill="E8E8E8"/>
            <w:noWrap/>
            <w:vAlign w:val="bottom"/>
            <w:hideMark/>
          </w:tcPr>
          <w:p w14:paraId="074D44C3" w14:textId="77777777" w:rsidR="00AF1ABE" w:rsidRPr="00E632ED" w:rsidRDefault="00AF1ABE" w:rsidP="00E632ED">
            <w:pPr>
              <w:spacing w:after="0" w:line="360" w:lineRule="auto"/>
              <w:jc w:val="both"/>
              <w:rPr>
                <w:rFonts w:ascii="Arial" w:eastAsia="Times New Roman" w:hAnsi="Arial" w:cs="Arial"/>
                <w:color w:val="000000"/>
                <w:kern w:val="0"/>
                <w:sz w:val="22"/>
                <w:szCs w:val="22"/>
                <w:lang w:eastAsia="en-GB"/>
                <w14:ligatures w14:val="none"/>
              </w:rPr>
            </w:pPr>
            <w:r w:rsidRPr="00E632ED">
              <w:rPr>
                <w:rFonts w:ascii="Arial" w:eastAsia="Times New Roman" w:hAnsi="Arial" w:cs="Arial"/>
                <w:color w:val="000000"/>
                <w:kern w:val="0"/>
                <w:sz w:val="22"/>
                <w:szCs w:val="22"/>
                <w:lang w:eastAsia="en-GB"/>
                <w14:ligatures w14:val="none"/>
              </w:rPr>
              <w:t>Predict peptide-receptor interactions with AF</w:t>
            </w:r>
          </w:p>
        </w:tc>
        <w:tc>
          <w:tcPr>
            <w:tcW w:w="1246" w:type="dxa"/>
            <w:tcBorders>
              <w:top w:val="nil"/>
              <w:left w:val="nil"/>
              <w:bottom w:val="single" w:sz="4" w:space="0" w:color="auto"/>
              <w:right w:val="single" w:sz="4" w:space="0" w:color="auto"/>
            </w:tcBorders>
            <w:shd w:val="clear" w:color="000000" w:fill="E8E8E8"/>
            <w:noWrap/>
            <w:vAlign w:val="bottom"/>
            <w:hideMark/>
          </w:tcPr>
          <w:p w14:paraId="3A53AE1A" w14:textId="77777777" w:rsidR="00AF1ABE" w:rsidRPr="00E632ED" w:rsidRDefault="00AF1ABE" w:rsidP="00E632ED">
            <w:pPr>
              <w:spacing w:after="0" w:line="360" w:lineRule="auto"/>
              <w:jc w:val="both"/>
              <w:rPr>
                <w:rFonts w:ascii="Arial" w:eastAsia="Times New Roman" w:hAnsi="Arial" w:cs="Arial"/>
                <w:color w:val="000000"/>
                <w:kern w:val="0"/>
                <w:sz w:val="22"/>
                <w:szCs w:val="22"/>
                <w:lang w:eastAsia="en-GB"/>
                <w14:ligatures w14:val="none"/>
              </w:rPr>
            </w:pPr>
            <w:r w:rsidRPr="00E632ED">
              <w:rPr>
                <w:rFonts w:ascii="Arial" w:eastAsia="Times New Roman" w:hAnsi="Arial" w:cs="Arial"/>
                <w:color w:val="000000"/>
                <w:kern w:val="0"/>
                <w:sz w:val="22"/>
                <w:szCs w:val="22"/>
                <w:lang w:eastAsia="en-GB"/>
                <w14:ligatures w14:val="none"/>
              </w:rPr>
              <w:t>06/06/2026</w:t>
            </w:r>
          </w:p>
        </w:tc>
        <w:tc>
          <w:tcPr>
            <w:tcW w:w="1275" w:type="dxa"/>
            <w:tcBorders>
              <w:top w:val="nil"/>
              <w:left w:val="nil"/>
              <w:bottom w:val="single" w:sz="4" w:space="0" w:color="auto"/>
              <w:right w:val="single" w:sz="4" w:space="0" w:color="auto"/>
            </w:tcBorders>
            <w:shd w:val="clear" w:color="000000" w:fill="E8E8E8"/>
            <w:noWrap/>
            <w:vAlign w:val="bottom"/>
            <w:hideMark/>
          </w:tcPr>
          <w:p w14:paraId="374AFD4D" w14:textId="77777777" w:rsidR="00AF1ABE" w:rsidRPr="00E632ED" w:rsidRDefault="00AF1ABE" w:rsidP="00E632ED">
            <w:pPr>
              <w:spacing w:after="0" w:line="360" w:lineRule="auto"/>
              <w:jc w:val="both"/>
              <w:rPr>
                <w:rFonts w:ascii="Arial" w:eastAsia="Times New Roman" w:hAnsi="Arial" w:cs="Arial"/>
                <w:color w:val="000000"/>
                <w:kern w:val="0"/>
                <w:sz w:val="22"/>
                <w:szCs w:val="22"/>
                <w:lang w:eastAsia="en-GB"/>
                <w14:ligatures w14:val="none"/>
              </w:rPr>
            </w:pPr>
            <w:r w:rsidRPr="00E632ED">
              <w:rPr>
                <w:rFonts w:ascii="Arial" w:eastAsia="Times New Roman" w:hAnsi="Arial" w:cs="Arial"/>
                <w:color w:val="000000"/>
                <w:kern w:val="0"/>
                <w:sz w:val="22"/>
                <w:szCs w:val="22"/>
                <w:lang w:eastAsia="en-GB"/>
                <w14:ligatures w14:val="none"/>
              </w:rPr>
              <w:t>15</w:t>
            </w:r>
          </w:p>
        </w:tc>
        <w:tc>
          <w:tcPr>
            <w:tcW w:w="1250" w:type="dxa"/>
            <w:tcBorders>
              <w:top w:val="nil"/>
              <w:left w:val="nil"/>
              <w:bottom w:val="single" w:sz="4" w:space="0" w:color="auto"/>
              <w:right w:val="single" w:sz="4" w:space="0" w:color="auto"/>
            </w:tcBorders>
            <w:shd w:val="clear" w:color="000000" w:fill="E8E8E8"/>
            <w:noWrap/>
            <w:vAlign w:val="bottom"/>
            <w:hideMark/>
          </w:tcPr>
          <w:p w14:paraId="52E4555A" w14:textId="77777777" w:rsidR="00AF1ABE" w:rsidRPr="00E632ED" w:rsidRDefault="00AF1ABE" w:rsidP="00E632ED">
            <w:pPr>
              <w:spacing w:after="0" w:line="360" w:lineRule="auto"/>
              <w:jc w:val="both"/>
              <w:rPr>
                <w:rFonts w:ascii="Arial" w:eastAsia="Times New Roman" w:hAnsi="Arial" w:cs="Arial"/>
                <w:color w:val="000000"/>
                <w:kern w:val="0"/>
                <w:sz w:val="22"/>
                <w:szCs w:val="22"/>
                <w:lang w:eastAsia="en-GB"/>
                <w14:ligatures w14:val="none"/>
              </w:rPr>
            </w:pPr>
            <w:r w:rsidRPr="00E632ED">
              <w:rPr>
                <w:rFonts w:ascii="Arial" w:eastAsia="Times New Roman" w:hAnsi="Arial" w:cs="Arial"/>
                <w:color w:val="000000"/>
                <w:kern w:val="0"/>
                <w:sz w:val="22"/>
                <w:szCs w:val="22"/>
                <w:lang w:eastAsia="en-GB"/>
                <w14:ligatures w14:val="none"/>
              </w:rPr>
              <w:t>26/06/2026</w:t>
            </w:r>
          </w:p>
        </w:tc>
      </w:tr>
      <w:tr w:rsidR="00AF1ABE" w:rsidRPr="00E632ED" w14:paraId="1661EDF3" w14:textId="77777777" w:rsidTr="00F84D12">
        <w:trPr>
          <w:trHeight w:val="290"/>
        </w:trPr>
        <w:tc>
          <w:tcPr>
            <w:tcW w:w="4318" w:type="dxa"/>
            <w:tcBorders>
              <w:top w:val="nil"/>
              <w:left w:val="single" w:sz="4" w:space="0" w:color="auto"/>
              <w:bottom w:val="single" w:sz="4" w:space="0" w:color="auto"/>
              <w:right w:val="single" w:sz="4" w:space="0" w:color="auto"/>
            </w:tcBorders>
            <w:shd w:val="clear" w:color="000000" w:fill="E8E8E8"/>
            <w:noWrap/>
            <w:vAlign w:val="bottom"/>
            <w:hideMark/>
          </w:tcPr>
          <w:p w14:paraId="725593B8" w14:textId="77777777" w:rsidR="00AF1ABE" w:rsidRPr="00E632ED" w:rsidRDefault="00AF1ABE" w:rsidP="00E632ED">
            <w:pPr>
              <w:spacing w:after="0" w:line="360" w:lineRule="auto"/>
              <w:jc w:val="both"/>
              <w:rPr>
                <w:rFonts w:ascii="Arial" w:eastAsia="Times New Roman" w:hAnsi="Arial" w:cs="Arial"/>
                <w:color w:val="000000"/>
                <w:kern w:val="0"/>
                <w:sz w:val="22"/>
                <w:szCs w:val="22"/>
                <w:lang w:eastAsia="en-GB"/>
                <w14:ligatures w14:val="none"/>
              </w:rPr>
            </w:pPr>
            <w:r w:rsidRPr="00E632ED">
              <w:rPr>
                <w:rFonts w:ascii="Arial" w:eastAsia="Times New Roman" w:hAnsi="Arial" w:cs="Arial"/>
                <w:color w:val="000000"/>
                <w:kern w:val="0"/>
                <w:sz w:val="22"/>
                <w:szCs w:val="22"/>
                <w:lang w:eastAsia="en-GB"/>
                <w14:ligatures w14:val="none"/>
              </w:rPr>
              <w:t>Predict interactions with docking and MD</w:t>
            </w:r>
          </w:p>
        </w:tc>
        <w:tc>
          <w:tcPr>
            <w:tcW w:w="1246" w:type="dxa"/>
            <w:tcBorders>
              <w:top w:val="nil"/>
              <w:left w:val="nil"/>
              <w:bottom w:val="single" w:sz="4" w:space="0" w:color="auto"/>
              <w:right w:val="single" w:sz="4" w:space="0" w:color="auto"/>
            </w:tcBorders>
            <w:shd w:val="clear" w:color="000000" w:fill="E8E8E8"/>
            <w:noWrap/>
            <w:vAlign w:val="bottom"/>
            <w:hideMark/>
          </w:tcPr>
          <w:p w14:paraId="5810F2C7" w14:textId="77777777" w:rsidR="00AF1ABE" w:rsidRPr="00E632ED" w:rsidRDefault="00AF1ABE" w:rsidP="00E632ED">
            <w:pPr>
              <w:spacing w:after="0" w:line="360" w:lineRule="auto"/>
              <w:jc w:val="both"/>
              <w:rPr>
                <w:rFonts w:ascii="Arial" w:eastAsia="Times New Roman" w:hAnsi="Arial" w:cs="Arial"/>
                <w:color w:val="000000"/>
                <w:kern w:val="0"/>
                <w:sz w:val="22"/>
                <w:szCs w:val="22"/>
                <w:lang w:eastAsia="en-GB"/>
                <w14:ligatures w14:val="none"/>
              </w:rPr>
            </w:pPr>
            <w:r w:rsidRPr="00E632ED">
              <w:rPr>
                <w:rFonts w:ascii="Arial" w:eastAsia="Times New Roman" w:hAnsi="Arial" w:cs="Arial"/>
                <w:color w:val="000000"/>
                <w:kern w:val="0"/>
                <w:sz w:val="22"/>
                <w:szCs w:val="22"/>
                <w:lang w:eastAsia="en-GB"/>
                <w14:ligatures w14:val="none"/>
              </w:rPr>
              <w:t>27/06/2026</w:t>
            </w:r>
          </w:p>
        </w:tc>
        <w:tc>
          <w:tcPr>
            <w:tcW w:w="1275" w:type="dxa"/>
            <w:tcBorders>
              <w:top w:val="nil"/>
              <w:left w:val="nil"/>
              <w:bottom w:val="single" w:sz="4" w:space="0" w:color="auto"/>
              <w:right w:val="single" w:sz="4" w:space="0" w:color="auto"/>
            </w:tcBorders>
            <w:shd w:val="clear" w:color="000000" w:fill="E8E8E8"/>
            <w:noWrap/>
            <w:vAlign w:val="bottom"/>
            <w:hideMark/>
          </w:tcPr>
          <w:p w14:paraId="1D3E9CBA" w14:textId="77777777" w:rsidR="00AF1ABE" w:rsidRPr="00E632ED" w:rsidRDefault="00AF1ABE" w:rsidP="00E632ED">
            <w:pPr>
              <w:spacing w:after="0" w:line="360" w:lineRule="auto"/>
              <w:jc w:val="both"/>
              <w:rPr>
                <w:rFonts w:ascii="Arial" w:eastAsia="Times New Roman" w:hAnsi="Arial" w:cs="Arial"/>
                <w:color w:val="000000"/>
                <w:kern w:val="0"/>
                <w:sz w:val="22"/>
                <w:szCs w:val="22"/>
                <w:lang w:eastAsia="en-GB"/>
                <w14:ligatures w14:val="none"/>
              </w:rPr>
            </w:pPr>
            <w:r w:rsidRPr="00E632ED">
              <w:rPr>
                <w:rFonts w:ascii="Arial" w:eastAsia="Times New Roman" w:hAnsi="Arial" w:cs="Arial"/>
                <w:color w:val="000000"/>
                <w:kern w:val="0"/>
                <w:sz w:val="22"/>
                <w:szCs w:val="22"/>
                <w:lang w:eastAsia="en-GB"/>
                <w14:ligatures w14:val="none"/>
              </w:rPr>
              <w:t>15</w:t>
            </w:r>
          </w:p>
        </w:tc>
        <w:tc>
          <w:tcPr>
            <w:tcW w:w="1250" w:type="dxa"/>
            <w:tcBorders>
              <w:top w:val="nil"/>
              <w:left w:val="nil"/>
              <w:bottom w:val="single" w:sz="4" w:space="0" w:color="auto"/>
              <w:right w:val="single" w:sz="4" w:space="0" w:color="auto"/>
            </w:tcBorders>
            <w:shd w:val="clear" w:color="000000" w:fill="E8E8E8"/>
            <w:noWrap/>
            <w:vAlign w:val="bottom"/>
            <w:hideMark/>
          </w:tcPr>
          <w:p w14:paraId="060F5CA6" w14:textId="77777777" w:rsidR="00AF1ABE" w:rsidRPr="00E632ED" w:rsidRDefault="00AF1ABE" w:rsidP="00E632ED">
            <w:pPr>
              <w:spacing w:after="0" w:line="360" w:lineRule="auto"/>
              <w:jc w:val="both"/>
              <w:rPr>
                <w:rFonts w:ascii="Arial" w:eastAsia="Times New Roman" w:hAnsi="Arial" w:cs="Arial"/>
                <w:color w:val="000000"/>
                <w:kern w:val="0"/>
                <w:sz w:val="22"/>
                <w:szCs w:val="22"/>
                <w:lang w:eastAsia="en-GB"/>
                <w14:ligatures w14:val="none"/>
              </w:rPr>
            </w:pPr>
            <w:r w:rsidRPr="00E632ED">
              <w:rPr>
                <w:rFonts w:ascii="Arial" w:eastAsia="Times New Roman" w:hAnsi="Arial" w:cs="Arial"/>
                <w:color w:val="000000"/>
                <w:kern w:val="0"/>
                <w:sz w:val="22"/>
                <w:szCs w:val="22"/>
                <w:lang w:eastAsia="en-GB"/>
                <w14:ligatures w14:val="none"/>
              </w:rPr>
              <w:t>17/07/2026</w:t>
            </w:r>
          </w:p>
        </w:tc>
      </w:tr>
      <w:tr w:rsidR="00AF1ABE" w:rsidRPr="00E632ED" w14:paraId="60D02D3E" w14:textId="77777777" w:rsidTr="00F84D12">
        <w:trPr>
          <w:trHeight w:val="290"/>
        </w:trPr>
        <w:tc>
          <w:tcPr>
            <w:tcW w:w="4318" w:type="dxa"/>
            <w:tcBorders>
              <w:top w:val="nil"/>
              <w:left w:val="single" w:sz="4" w:space="0" w:color="auto"/>
              <w:bottom w:val="single" w:sz="4" w:space="0" w:color="auto"/>
              <w:right w:val="single" w:sz="4" w:space="0" w:color="auto"/>
            </w:tcBorders>
            <w:shd w:val="clear" w:color="000000" w:fill="E8E8E8"/>
            <w:noWrap/>
            <w:vAlign w:val="bottom"/>
            <w:hideMark/>
          </w:tcPr>
          <w:p w14:paraId="45F24C1C" w14:textId="77777777" w:rsidR="00AF1ABE" w:rsidRPr="00E632ED" w:rsidRDefault="00AF1ABE" w:rsidP="00E632ED">
            <w:pPr>
              <w:spacing w:after="0" w:line="360" w:lineRule="auto"/>
              <w:jc w:val="both"/>
              <w:rPr>
                <w:rFonts w:ascii="Arial" w:eastAsia="Times New Roman" w:hAnsi="Arial" w:cs="Arial"/>
                <w:color w:val="000000"/>
                <w:kern w:val="0"/>
                <w:sz w:val="22"/>
                <w:szCs w:val="22"/>
                <w:lang w:eastAsia="en-GB"/>
                <w14:ligatures w14:val="none"/>
              </w:rPr>
            </w:pPr>
            <w:r w:rsidRPr="00E632ED">
              <w:rPr>
                <w:rFonts w:ascii="Arial" w:eastAsia="Times New Roman" w:hAnsi="Arial" w:cs="Arial"/>
                <w:color w:val="000000"/>
                <w:kern w:val="0"/>
                <w:sz w:val="22"/>
                <w:szCs w:val="22"/>
                <w:lang w:eastAsia="en-GB"/>
                <w14:ligatures w14:val="none"/>
              </w:rPr>
              <w:t>RNA-seq analysis in biological context</w:t>
            </w:r>
          </w:p>
        </w:tc>
        <w:tc>
          <w:tcPr>
            <w:tcW w:w="1246" w:type="dxa"/>
            <w:tcBorders>
              <w:top w:val="nil"/>
              <w:left w:val="nil"/>
              <w:bottom w:val="single" w:sz="4" w:space="0" w:color="auto"/>
              <w:right w:val="single" w:sz="4" w:space="0" w:color="auto"/>
            </w:tcBorders>
            <w:shd w:val="clear" w:color="000000" w:fill="E8E8E8"/>
            <w:noWrap/>
            <w:vAlign w:val="bottom"/>
            <w:hideMark/>
          </w:tcPr>
          <w:p w14:paraId="7B5E96ED" w14:textId="77777777" w:rsidR="00AF1ABE" w:rsidRPr="00E632ED" w:rsidRDefault="00AF1ABE" w:rsidP="00E632ED">
            <w:pPr>
              <w:spacing w:after="0" w:line="360" w:lineRule="auto"/>
              <w:jc w:val="both"/>
              <w:rPr>
                <w:rFonts w:ascii="Arial" w:eastAsia="Times New Roman" w:hAnsi="Arial" w:cs="Arial"/>
                <w:color w:val="000000"/>
                <w:kern w:val="0"/>
                <w:sz w:val="22"/>
                <w:szCs w:val="22"/>
                <w:lang w:eastAsia="en-GB"/>
                <w14:ligatures w14:val="none"/>
              </w:rPr>
            </w:pPr>
            <w:r w:rsidRPr="00E632ED">
              <w:rPr>
                <w:rFonts w:ascii="Arial" w:eastAsia="Times New Roman" w:hAnsi="Arial" w:cs="Arial"/>
                <w:color w:val="000000"/>
                <w:kern w:val="0"/>
                <w:sz w:val="22"/>
                <w:szCs w:val="22"/>
                <w:lang w:eastAsia="en-GB"/>
                <w14:ligatures w14:val="none"/>
              </w:rPr>
              <w:t>18/07/2026</w:t>
            </w:r>
          </w:p>
        </w:tc>
        <w:tc>
          <w:tcPr>
            <w:tcW w:w="1275" w:type="dxa"/>
            <w:tcBorders>
              <w:top w:val="nil"/>
              <w:left w:val="nil"/>
              <w:bottom w:val="single" w:sz="4" w:space="0" w:color="auto"/>
              <w:right w:val="single" w:sz="4" w:space="0" w:color="auto"/>
            </w:tcBorders>
            <w:shd w:val="clear" w:color="000000" w:fill="E8E8E8"/>
            <w:noWrap/>
            <w:vAlign w:val="bottom"/>
            <w:hideMark/>
          </w:tcPr>
          <w:p w14:paraId="76D0EA3F" w14:textId="77777777" w:rsidR="00AF1ABE" w:rsidRPr="00E632ED" w:rsidRDefault="00AF1ABE" w:rsidP="00E632ED">
            <w:pPr>
              <w:spacing w:after="0" w:line="360" w:lineRule="auto"/>
              <w:jc w:val="both"/>
              <w:rPr>
                <w:rFonts w:ascii="Arial" w:eastAsia="Times New Roman" w:hAnsi="Arial" w:cs="Arial"/>
                <w:color w:val="000000"/>
                <w:kern w:val="0"/>
                <w:sz w:val="22"/>
                <w:szCs w:val="22"/>
                <w:lang w:eastAsia="en-GB"/>
                <w14:ligatures w14:val="none"/>
              </w:rPr>
            </w:pPr>
            <w:r w:rsidRPr="00E632ED">
              <w:rPr>
                <w:rFonts w:ascii="Arial" w:eastAsia="Times New Roman" w:hAnsi="Arial" w:cs="Arial"/>
                <w:color w:val="000000"/>
                <w:kern w:val="0"/>
                <w:sz w:val="22"/>
                <w:szCs w:val="22"/>
                <w:lang w:eastAsia="en-GB"/>
                <w14:ligatures w14:val="none"/>
              </w:rPr>
              <w:t>15</w:t>
            </w:r>
          </w:p>
        </w:tc>
        <w:tc>
          <w:tcPr>
            <w:tcW w:w="1250" w:type="dxa"/>
            <w:tcBorders>
              <w:top w:val="nil"/>
              <w:left w:val="nil"/>
              <w:bottom w:val="single" w:sz="4" w:space="0" w:color="auto"/>
              <w:right w:val="single" w:sz="4" w:space="0" w:color="auto"/>
            </w:tcBorders>
            <w:shd w:val="clear" w:color="000000" w:fill="E8E8E8"/>
            <w:noWrap/>
            <w:vAlign w:val="bottom"/>
            <w:hideMark/>
          </w:tcPr>
          <w:p w14:paraId="47B75F4F" w14:textId="77777777" w:rsidR="00AF1ABE" w:rsidRPr="00E632ED" w:rsidRDefault="00AF1ABE" w:rsidP="00E632ED">
            <w:pPr>
              <w:spacing w:after="0" w:line="360" w:lineRule="auto"/>
              <w:jc w:val="both"/>
              <w:rPr>
                <w:rFonts w:ascii="Arial" w:eastAsia="Times New Roman" w:hAnsi="Arial" w:cs="Arial"/>
                <w:color w:val="000000"/>
                <w:kern w:val="0"/>
                <w:sz w:val="22"/>
                <w:szCs w:val="22"/>
                <w:lang w:eastAsia="en-GB"/>
                <w14:ligatures w14:val="none"/>
              </w:rPr>
            </w:pPr>
            <w:r w:rsidRPr="00E632ED">
              <w:rPr>
                <w:rFonts w:ascii="Arial" w:eastAsia="Times New Roman" w:hAnsi="Arial" w:cs="Arial"/>
                <w:color w:val="000000"/>
                <w:kern w:val="0"/>
                <w:sz w:val="22"/>
                <w:szCs w:val="22"/>
                <w:lang w:eastAsia="en-GB"/>
                <w14:ligatures w14:val="none"/>
              </w:rPr>
              <w:t>07/08/2026</w:t>
            </w:r>
          </w:p>
        </w:tc>
      </w:tr>
      <w:tr w:rsidR="00AF1ABE" w:rsidRPr="00E632ED" w14:paraId="34330F9F" w14:textId="77777777" w:rsidTr="00F84D12">
        <w:trPr>
          <w:trHeight w:val="290"/>
        </w:trPr>
        <w:tc>
          <w:tcPr>
            <w:tcW w:w="4318" w:type="dxa"/>
            <w:tcBorders>
              <w:top w:val="nil"/>
              <w:left w:val="single" w:sz="4" w:space="0" w:color="auto"/>
              <w:bottom w:val="single" w:sz="4" w:space="0" w:color="auto"/>
              <w:right w:val="single" w:sz="4" w:space="0" w:color="auto"/>
            </w:tcBorders>
            <w:shd w:val="clear" w:color="000000" w:fill="E8E8E8"/>
            <w:noWrap/>
            <w:vAlign w:val="bottom"/>
            <w:hideMark/>
          </w:tcPr>
          <w:p w14:paraId="2D6491AB" w14:textId="77777777" w:rsidR="00AF1ABE" w:rsidRPr="00E632ED" w:rsidRDefault="00AF1ABE" w:rsidP="00E632ED">
            <w:pPr>
              <w:spacing w:after="0" w:line="360" w:lineRule="auto"/>
              <w:jc w:val="both"/>
              <w:rPr>
                <w:rFonts w:ascii="Arial" w:eastAsia="Times New Roman" w:hAnsi="Arial" w:cs="Arial"/>
                <w:color w:val="000000"/>
                <w:kern w:val="0"/>
                <w:sz w:val="22"/>
                <w:szCs w:val="22"/>
                <w:lang w:eastAsia="en-GB"/>
                <w14:ligatures w14:val="none"/>
              </w:rPr>
            </w:pPr>
            <w:r w:rsidRPr="00E632ED">
              <w:rPr>
                <w:rFonts w:ascii="Arial" w:eastAsia="Times New Roman" w:hAnsi="Arial" w:cs="Arial"/>
                <w:color w:val="000000"/>
                <w:kern w:val="0"/>
                <w:sz w:val="22"/>
                <w:szCs w:val="22"/>
                <w:lang w:eastAsia="en-GB"/>
                <w14:ligatures w14:val="none"/>
              </w:rPr>
              <w:t>Report writing</w:t>
            </w:r>
          </w:p>
        </w:tc>
        <w:tc>
          <w:tcPr>
            <w:tcW w:w="1246" w:type="dxa"/>
            <w:tcBorders>
              <w:top w:val="nil"/>
              <w:left w:val="nil"/>
              <w:bottom w:val="single" w:sz="4" w:space="0" w:color="auto"/>
              <w:right w:val="single" w:sz="4" w:space="0" w:color="auto"/>
            </w:tcBorders>
            <w:shd w:val="clear" w:color="000000" w:fill="E8E8E8"/>
            <w:noWrap/>
            <w:vAlign w:val="bottom"/>
            <w:hideMark/>
          </w:tcPr>
          <w:p w14:paraId="0635276A" w14:textId="77777777" w:rsidR="00AF1ABE" w:rsidRPr="00E632ED" w:rsidRDefault="00AF1ABE" w:rsidP="00E632ED">
            <w:pPr>
              <w:spacing w:after="0" w:line="360" w:lineRule="auto"/>
              <w:jc w:val="both"/>
              <w:rPr>
                <w:rFonts w:ascii="Arial" w:eastAsia="Times New Roman" w:hAnsi="Arial" w:cs="Arial"/>
                <w:color w:val="000000"/>
                <w:kern w:val="0"/>
                <w:sz w:val="22"/>
                <w:szCs w:val="22"/>
                <w:lang w:eastAsia="en-GB"/>
                <w14:ligatures w14:val="none"/>
              </w:rPr>
            </w:pPr>
            <w:r w:rsidRPr="00E632ED">
              <w:rPr>
                <w:rFonts w:ascii="Arial" w:eastAsia="Times New Roman" w:hAnsi="Arial" w:cs="Arial"/>
                <w:color w:val="000000"/>
                <w:kern w:val="0"/>
                <w:sz w:val="22"/>
                <w:szCs w:val="22"/>
                <w:lang w:eastAsia="en-GB"/>
                <w14:ligatures w14:val="none"/>
              </w:rPr>
              <w:t>08/08/2026</w:t>
            </w:r>
          </w:p>
        </w:tc>
        <w:tc>
          <w:tcPr>
            <w:tcW w:w="1275" w:type="dxa"/>
            <w:tcBorders>
              <w:top w:val="nil"/>
              <w:left w:val="nil"/>
              <w:bottom w:val="single" w:sz="4" w:space="0" w:color="auto"/>
              <w:right w:val="single" w:sz="4" w:space="0" w:color="auto"/>
            </w:tcBorders>
            <w:shd w:val="clear" w:color="000000" w:fill="E8E8E8"/>
            <w:noWrap/>
            <w:vAlign w:val="bottom"/>
            <w:hideMark/>
          </w:tcPr>
          <w:p w14:paraId="4035BC43" w14:textId="77777777" w:rsidR="00AF1ABE" w:rsidRPr="00E632ED" w:rsidRDefault="00AF1ABE" w:rsidP="00E632ED">
            <w:pPr>
              <w:spacing w:after="0" w:line="360" w:lineRule="auto"/>
              <w:jc w:val="both"/>
              <w:rPr>
                <w:rFonts w:ascii="Arial" w:eastAsia="Times New Roman" w:hAnsi="Arial" w:cs="Arial"/>
                <w:color w:val="000000"/>
                <w:kern w:val="0"/>
                <w:sz w:val="22"/>
                <w:szCs w:val="22"/>
                <w:lang w:eastAsia="en-GB"/>
                <w14:ligatures w14:val="none"/>
              </w:rPr>
            </w:pPr>
            <w:r w:rsidRPr="00E632ED">
              <w:rPr>
                <w:rFonts w:ascii="Arial" w:eastAsia="Times New Roman" w:hAnsi="Arial" w:cs="Arial"/>
                <w:color w:val="000000"/>
                <w:kern w:val="0"/>
                <w:sz w:val="22"/>
                <w:szCs w:val="22"/>
                <w:lang w:eastAsia="en-GB"/>
                <w14:ligatures w14:val="none"/>
              </w:rPr>
              <w:t>20</w:t>
            </w:r>
          </w:p>
        </w:tc>
        <w:tc>
          <w:tcPr>
            <w:tcW w:w="1250" w:type="dxa"/>
            <w:tcBorders>
              <w:top w:val="nil"/>
              <w:left w:val="nil"/>
              <w:bottom w:val="single" w:sz="4" w:space="0" w:color="auto"/>
              <w:right w:val="single" w:sz="4" w:space="0" w:color="auto"/>
            </w:tcBorders>
            <w:shd w:val="clear" w:color="000000" w:fill="E8E8E8"/>
            <w:noWrap/>
            <w:vAlign w:val="bottom"/>
            <w:hideMark/>
          </w:tcPr>
          <w:p w14:paraId="68843D5D" w14:textId="77777777" w:rsidR="00AF1ABE" w:rsidRPr="00E632ED" w:rsidRDefault="00AF1ABE" w:rsidP="00E632ED">
            <w:pPr>
              <w:spacing w:after="0" w:line="360" w:lineRule="auto"/>
              <w:jc w:val="both"/>
              <w:rPr>
                <w:rFonts w:ascii="Arial" w:eastAsia="Times New Roman" w:hAnsi="Arial" w:cs="Arial"/>
                <w:color w:val="000000"/>
                <w:kern w:val="0"/>
                <w:sz w:val="22"/>
                <w:szCs w:val="22"/>
                <w:lang w:eastAsia="en-GB"/>
                <w14:ligatures w14:val="none"/>
              </w:rPr>
            </w:pPr>
            <w:r w:rsidRPr="00E632ED">
              <w:rPr>
                <w:rFonts w:ascii="Arial" w:eastAsia="Times New Roman" w:hAnsi="Arial" w:cs="Arial"/>
                <w:color w:val="000000"/>
                <w:kern w:val="0"/>
                <w:sz w:val="22"/>
                <w:szCs w:val="22"/>
                <w:lang w:eastAsia="en-GB"/>
                <w14:ligatures w14:val="none"/>
              </w:rPr>
              <w:t>04/09/2026</w:t>
            </w:r>
          </w:p>
        </w:tc>
      </w:tr>
    </w:tbl>
    <w:p w14:paraId="5FF1185F" w14:textId="111A8813" w:rsidR="008E7836" w:rsidRDefault="00AF1ABE" w:rsidP="00E632ED">
      <w:pPr>
        <w:spacing w:line="360" w:lineRule="auto"/>
        <w:jc w:val="center"/>
        <w:rPr>
          <w:rFonts w:ascii="Arial" w:hAnsi="Arial" w:cs="Arial"/>
          <w:sz w:val="22"/>
          <w:szCs w:val="22"/>
        </w:rPr>
      </w:pPr>
      <w:r w:rsidRPr="00E632ED">
        <w:rPr>
          <w:rFonts w:ascii="Arial" w:hAnsi="Arial" w:cs="Arial"/>
          <w:sz w:val="22"/>
          <w:szCs w:val="22"/>
        </w:rPr>
        <w:t>Table 1. Neuropeptide-receptor pair prediction workflow. Start and end dates for each task are highlighted.</w:t>
      </w:r>
    </w:p>
    <w:p w14:paraId="0160BA69" w14:textId="77777777" w:rsidR="002044EE" w:rsidRDefault="002044EE" w:rsidP="00E632ED">
      <w:pPr>
        <w:spacing w:line="360" w:lineRule="auto"/>
        <w:jc w:val="center"/>
        <w:rPr>
          <w:rFonts w:ascii="Arial" w:hAnsi="Arial" w:cs="Arial"/>
          <w:sz w:val="22"/>
          <w:szCs w:val="22"/>
        </w:rPr>
      </w:pPr>
    </w:p>
    <w:p w14:paraId="6F683741" w14:textId="77777777" w:rsidR="002044EE" w:rsidRDefault="002044EE" w:rsidP="00E632ED">
      <w:pPr>
        <w:spacing w:line="360" w:lineRule="auto"/>
        <w:jc w:val="center"/>
        <w:rPr>
          <w:rFonts w:ascii="Arial" w:hAnsi="Arial" w:cs="Arial"/>
          <w:sz w:val="22"/>
          <w:szCs w:val="22"/>
        </w:rPr>
      </w:pPr>
    </w:p>
    <w:p w14:paraId="42899717" w14:textId="77777777" w:rsidR="002044EE" w:rsidRDefault="002044EE" w:rsidP="00E632ED">
      <w:pPr>
        <w:spacing w:line="360" w:lineRule="auto"/>
        <w:jc w:val="center"/>
        <w:rPr>
          <w:rFonts w:ascii="Arial" w:hAnsi="Arial" w:cs="Arial"/>
          <w:sz w:val="22"/>
          <w:szCs w:val="22"/>
        </w:rPr>
      </w:pPr>
    </w:p>
    <w:p w14:paraId="56771E96" w14:textId="31BFB13F" w:rsidR="002044EE" w:rsidRDefault="009B3CFE" w:rsidP="00E632ED">
      <w:pPr>
        <w:spacing w:line="360" w:lineRule="auto"/>
        <w:jc w:val="center"/>
        <w:rPr>
          <w:rFonts w:ascii="Arial" w:hAnsi="Arial" w:cs="Arial"/>
          <w:sz w:val="22"/>
          <w:szCs w:val="22"/>
        </w:rPr>
      </w:pPr>
      <w:r>
        <w:rPr>
          <w:rFonts w:ascii="Arial" w:hAnsi="Arial" w:cs="Arial"/>
          <w:sz w:val="22"/>
          <w:szCs w:val="22"/>
        </w:rPr>
        <w:t>For GPCRs, f</w:t>
      </w:r>
      <w:r w:rsidR="002044EE">
        <w:rPr>
          <w:rFonts w:ascii="Arial" w:hAnsi="Arial" w:cs="Arial"/>
          <w:sz w:val="22"/>
          <w:szCs w:val="22"/>
        </w:rPr>
        <w:t>ocus on: 7 domains in the GPCR</w:t>
      </w:r>
      <w:r>
        <w:rPr>
          <w:rFonts w:ascii="Arial" w:hAnsi="Arial" w:cs="Arial"/>
          <w:sz w:val="22"/>
          <w:szCs w:val="22"/>
        </w:rPr>
        <w:t xml:space="preserve"> present</w:t>
      </w:r>
      <w:r w:rsidR="002044EE">
        <w:rPr>
          <w:rFonts w:ascii="Arial" w:hAnsi="Arial" w:cs="Arial"/>
          <w:sz w:val="22"/>
          <w:szCs w:val="22"/>
        </w:rPr>
        <w:t xml:space="preserve">, </w:t>
      </w:r>
      <w:r>
        <w:rPr>
          <w:rFonts w:ascii="Arial" w:hAnsi="Arial" w:cs="Arial"/>
          <w:sz w:val="22"/>
          <w:szCs w:val="22"/>
        </w:rPr>
        <w:t xml:space="preserve">GPCRs should contain </w:t>
      </w:r>
      <w:r w:rsidR="002044EE">
        <w:rPr>
          <w:rFonts w:ascii="Arial" w:hAnsi="Arial" w:cs="Arial"/>
          <w:sz w:val="22"/>
          <w:szCs w:val="22"/>
        </w:rPr>
        <w:t xml:space="preserve">a few hundreds of AA, </w:t>
      </w:r>
      <w:r>
        <w:rPr>
          <w:rFonts w:ascii="Arial" w:hAnsi="Arial" w:cs="Arial"/>
          <w:sz w:val="22"/>
          <w:szCs w:val="22"/>
        </w:rPr>
        <w:t xml:space="preserve">and </w:t>
      </w:r>
      <w:r w:rsidR="002044EE">
        <w:rPr>
          <w:rFonts w:ascii="Arial" w:hAnsi="Arial" w:cs="Arial"/>
          <w:sz w:val="22"/>
          <w:szCs w:val="22"/>
        </w:rPr>
        <w:t>good quality predictions in the GPCRs</w:t>
      </w:r>
      <w:r>
        <w:rPr>
          <w:rFonts w:ascii="Arial" w:hAnsi="Arial" w:cs="Arial"/>
          <w:sz w:val="22"/>
          <w:szCs w:val="22"/>
        </w:rPr>
        <w:t xml:space="preserve"> (pLDDT scores if any available)</w:t>
      </w:r>
    </w:p>
    <w:p w14:paraId="3E3F72B1" w14:textId="6949F90B" w:rsidR="002044EE" w:rsidRDefault="002044EE" w:rsidP="00E632ED">
      <w:pPr>
        <w:spacing w:line="360" w:lineRule="auto"/>
        <w:jc w:val="center"/>
        <w:rPr>
          <w:rFonts w:ascii="Arial" w:hAnsi="Arial" w:cs="Arial"/>
          <w:sz w:val="22"/>
          <w:szCs w:val="22"/>
        </w:rPr>
      </w:pPr>
      <w:r>
        <w:rPr>
          <w:rFonts w:ascii="Arial" w:hAnsi="Arial" w:cs="Arial"/>
          <w:sz w:val="22"/>
          <w:szCs w:val="22"/>
        </w:rPr>
        <w:t>Class A Rhodopsin like GPCRs should be priority</w:t>
      </w:r>
      <w:r w:rsidR="009B3CFE">
        <w:rPr>
          <w:rFonts w:ascii="Arial" w:hAnsi="Arial" w:cs="Arial"/>
          <w:sz w:val="22"/>
          <w:szCs w:val="22"/>
        </w:rPr>
        <w:t xml:space="preserve"> for the study</w:t>
      </w:r>
    </w:p>
    <w:p w14:paraId="08E8A96A" w14:textId="77777777" w:rsidR="002044EE" w:rsidRDefault="002044EE" w:rsidP="00E632ED">
      <w:pPr>
        <w:spacing w:line="360" w:lineRule="auto"/>
        <w:jc w:val="center"/>
        <w:rPr>
          <w:rFonts w:ascii="Arial" w:hAnsi="Arial" w:cs="Arial"/>
          <w:sz w:val="22"/>
          <w:szCs w:val="22"/>
        </w:rPr>
      </w:pPr>
    </w:p>
    <w:p w14:paraId="0CD3EAD8" w14:textId="77777777" w:rsidR="002044EE" w:rsidRPr="00E632ED" w:rsidRDefault="002044EE" w:rsidP="00E632ED">
      <w:pPr>
        <w:spacing w:line="360" w:lineRule="auto"/>
        <w:jc w:val="center"/>
        <w:rPr>
          <w:rFonts w:ascii="Arial" w:hAnsi="Arial" w:cs="Arial"/>
          <w:sz w:val="22"/>
          <w:szCs w:val="22"/>
        </w:rPr>
      </w:pPr>
    </w:p>
    <w:sectPr w:rsidR="002044EE" w:rsidRPr="00E632E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7F7397"/>
    <w:multiLevelType w:val="hybridMultilevel"/>
    <w:tmpl w:val="88DE11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EB66CA4"/>
    <w:multiLevelType w:val="hybridMultilevel"/>
    <w:tmpl w:val="8988B9B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769206745">
    <w:abstractNumId w:val="0"/>
  </w:num>
  <w:num w:numId="2" w16cid:durableId="4378763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4922"/>
    <w:rsid w:val="00021D33"/>
    <w:rsid w:val="00032304"/>
    <w:rsid w:val="00034057"/>
    <w:rsid w:val="00044B13"/>
    <w:rsid w:val="00067F8D"/>
    <w:rsid w:val="00093DAE"/>
    <w:rsid w:val="0009781E"/>
    <w:rsid w:val="000F0D4E"/>
    <w:rsid w:val="000F5242"/>
    <w:rsid w:val="0015544D"/>
    <w:rsid w:val="001673A2"/>
    <w:rsid w:val="0018180D"/>
    <w:rsid w:val="001D2743"/>
    <w:rsid w:val="001F3A61"/>
    <w:rsid w:val="00201A64"/>
    <w:rsid w:val="002044EE"/>
    <w:rsid w:val="002126AD"/>
    <w:rsid w:val="00213D5B"/>
    <w:rsid w:val="00227805"/>
    <w:rsid w:val="002444E4"/>
    <w:rsid w:val="0025245D"/>
    <w:rsid w:val="002A2EDC"/>
    <w:rsid w:val="002A68D8"/>
    <w:rsid w:val="002C040A"/>
    <w:rsid w:val="002C2CF3"/>
    <w:rsid w:val="00353CBC"/>
    <w:rsid w:val="003545FC"/>
    <w:rsid w:val="0035770B"/>
    <w:rsid w:val="003839E4"/>
    <w:rsid w:val="003939AB"/>
    <w:rsid w:val="003A4091"/>
    <w:rsid w:val="003B00B6"/>
    <w:rsid w:val="003B2F37"/>
    <w:rsid w:val="003B46EC"/>
    <w:rsid w:val="00404E2F"/>
    <w:rsid w:val="0042680A"/>
    <w:rsid w:val="00435C7D"/>
    <w:rsid w:val="00463E32"/>
    <w:rsid w:val="004749D5"/>
    <w:rsid w:val="004B1E1A"/>
    <w:rsid w:val="004B6044"/>
    <w:rsid w:val="004D775F"/>
    <w:rsid w:val="004D7B76"/>
    <w:rsid w:val="004F114A"/>
    <w:rsid w:val="004F17C2"/>
    <w:rsid w:val="004F437E"/>
    <w:rsid w:val="00502E89"/>
    <w:rsid w:val="00567C04"/>
    <w:rsid w:val="005733B7"/>
    <w:rsid w:val="0058347F"/>
    <w:rsid w:val="005B370E"/>
    <w:rsid w:val="005B39DC"/>
    <w:rsid w:val="005C0DA0"/>
    <w:rsid w:val="005F50EE"/>
    <w:rsid w:val="006114C4"/>
    <w:rsid w:val="006228EE"/>
    <w:rsid w:val="006952E5"/>
    <w:rsid w:val="00695D81"/>
    <w:rsid w:val="006B1E57"/>
    <w:rsid w:val="006B6C6E"/>
    <w:rsid w:val="006D55D9"/>
    <w:rsid w:val="006E541C"/>
    <w:rsid w:val="00782606"/>
    <w:rsid w:val="007A790F"/>
    <w:rsid w:val="007B57D3"/>
    <w:rsid w:val="007B7054"/>
    <w:rsid w:val="00821ADE"/>
    <w:rsid w:val="00881401"/>
    <w:rsid w:val="008A3405"/>
    <w:rsid w:val="008E7836"/>
    <w:rsid w:val="00900AF3"/>
    <w:rsid w:val="009412B3"/>
    <w:rsid w:val="00952200"/>
    <w:rsid w:val="0096473F"/>
    <w:rsid w:val="009709B3"/>
    <w:rsid w:val="009A1934"/>
    <w:rsid w:val="009B3CFE"/>
    <w:rsid w:val="009C07B7"/>
    <w:rsid w:val="009C56D2"/>
    <w:rsid w:val="009C5F27"/>
    <w:rsid w:val="009D5BAD"/>
    <w:rsid w:val="00A27413"/>
    <w:rsid w:val="00A36DA7"/>
    <w:rsid w:val="00A47554"/>
    <w:rsid w:val="00A81A53"/>
    <w:rsid w:val="00A865BE"/>
    <w:rsid w:val="00AA28D6"/>
    <w:rsid w:val="00AC15CB"/>
    <w:rsid w:val="00AD4331"/>
    <w:rsid w:val="00AD550D"/>
    <w:rsid w:val="00AE4EE7"/>
    <w:rsid w:val="00AE588E"/>
    <w:rsid w:val="00AF1ABE"/>
    <w:rsid w:val="00B04AC5"/>
    <w:rsid w:val="00B06252"/>
    <w:rsid w:val="00B10465"/>
    <w:rsid w:val="00B160F6"/>
    <w:rsid w:val="00B55F8D"/>
    <w:rsid w:val="00BC2622"/>
    <w:rsid w:val="00BD7497"/>
    <w:rsid w:val="00BE0DD6"/>
    <w:rsid w:val="00C02117"/>
    <w:rsid w:val="00C040FE"/>
    <w:rsid w:val="00C276AD"/>
    <w:rsid w:val="00C50B59"/>
    <w:rsid w:val="00C74922"/>
    <w:rsid w:val="00CA4980"/>
    <w:rsid w:val="00CA4999"/>
    <w:rsid w:val="00CB0A57"/>
    <w:rsid w:val="00CD3B6C"/>
    <w:rsid w:val="00CD5B5C"/>
    <w:rsid w:val="00CE11B1"/>
    <w:rsid w:val="00CF32E9"/>
    <w:rsid w:val="00D13CC8"/>
    <w:rsid w:val="00D368C3"/>
    <w:rsid w:val="00D52980"/>
    <w:rsid w:val="00D6285C"/>
    <w:rsid w:val="00D67A76"/>
    <w:rsid w:val="00D830A2"/>
    <w:rsid w:val="00D944D7"/>
    <w:rsid w:val="00DD7346"/>
    <w:rsid w:val="00DE56F8"/>
    <w:rsid w:val="00DF4790"/>
    <w:rsid w:val="00E102BA"/>
    <w:rsid w:val="00E15B97"/>
    <w:rsid w:val="00E632ED"/>
    <w:rsid w:val="00E77CBD"/>
    <w:rsid w:val="00EE3065"/>
    <w:rsid w:val="00EF1CB7"/>
    <w:rsid w:val="00F411F4"/>
    <w:rsid w:val="00F4704A"/>
    <w:rsid w:val="00F66274"/>
    <w:rsid w:val="00F71892"/>
    <w:rsid w:val="00F764E2"/>
    <w:rsid w:val="00F83657"/>
    <w:rsid w:val="00FF329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4EA551"/>
  <w15:chartTrackingRefBased/>
  <w15:docId w15:val="{88541189-EB5D-4AB8-8483-9EEF7F7456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49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749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7492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7492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7492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749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49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49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49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492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7492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7492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749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7492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749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49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49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4922"/>
    <w:rPr>
      <w:rFonts w:eastAsiaTheme="majorEastAsia" w:cstheme="majorBidi"/>
      <w:color w:val="272727" w:themeColor="text1" w:themeTint="D8"/>
    </w:rPr>
  </w:style>
  <w:style w:type="paragraph" w:styleId="Title">
    <w:name w:val="Title"/>
    <w:basedOn w:val="Normal"/>
    <w:next w:val="Normal"/>
    <w:link w:val="TitleChar"/>
    <w:uiPriority w:val="10"/>
    <w:qFormat/>
    <w:rsid w:val="00C749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49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49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49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4922"/>
    <w:pPr>
      <w:spacing w:before="160"/>
      <w:jc w:val="center"/>
    </w:pPr>
    <w:rPr>
      <w:i/>
      <w:iCs/>
      <w:color w:val="404040" w:themeColor="text1" w:themeTint="BF"/>
    </w:rPr>
  </w:style>
  <w:style w:type="character" w:customStyle="1" w:styleId="QuoteChar">
    <w:name w:val="Quote Char"/>
    <w:basedOn w:val="DefaultParagraphFont"/>
    <w:link w:val="Quote"/>
    <w:uiPriority w:val="29"/>
    <w:rsid w:val="00C74922"/>
    <w:rPr>
      <w:i/>
      <w:iCs/>
      <w:color w:val="404040" w:themeColor="text1" w:themeTint="BF"/>
    </w:rPr>
  </w:style>
  <w:style w:type="paragraph" w:styleId="ListParagraph">
    <w:name w:val="List Paragraph"/>
    <w:basedOn w:val="Normal"/>
    <w:uiPriority w:val="34"/>
    <w:qFormat/>
    <w:rsid w:val="00C74922"/>
    <w:pPr>
      <w:ind w:left="720"/>
      <w:contextualSpacing/>
    </w:pPr>
  </w:style>
  <w:style w:type="character" w:styleId="IntenseEmphasis">
    <w:name w:val="Intense Emphasis"/>
    <w:basedOn w:val="DefaultParagraphFont"/>
    <w:uiPriority w:val="21"/>
    <w:qFormat/>
    <w:rsid w:val="00C74922"/>
    <w:rPr>
      <w:i/>
      <w:iCs/>
      <w:color w:val="0F4761" w:themeColor="accent1" w:themeShade="BF"/>
    </w:rPr>
  </w:style>
  <w:style w:type="paragraph" w:styleId="IntenseQuote">
    <w:name w:val="Intense Quote"/>
    <w:basedOn w:val="Normal"/>
    <w:next w:val="Normal"/>
    <w:link w:val="IntenseQuoteChar"/>
    <w:uiPriority w:val="30"/>
    <w:qFormat/>
    <w:rsid w:val="00C749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74922"/>
    <w:rPr>
      <w:i/>
      <w:iCs/>
      <w:color w:val="0F4761" w:themeColor="accent1" w:themeShade="BF"/>
    </w:rPr>
  </w:style>
  <w:style w:type="character" w:styleId="IntenseReference">
    <w:name w:val="Intense Reference"/>
    <w:basedOn w:val="DefaultParagraphFont"/>
    <w:uiPriority w:val="32"/>
    <w:qFormat/>
    <w:rsid w:val="00C74922"/>
    <w:rPr>
      <w:b/>
      <w:bCs/>
      <w:smallCaps/>
      <w:color w:val="0F4761" w:themeColor="accent1" w:themeShade="BF"/>
      <w:spacing w:val="5"/>
    </w:rPr>
  </w:style>
  <w:style w:type="character" w:styleId="CommentReference">
    <w:name w:val="annotation reference"/>
    <w:basedOn w:val="DefaultParagraphFont"/>
    <w:uiPriority w:val="99"/>
    <w:semiHidden/>
    <w:unhideWhenUsed/>
    <w:rsid w:val="008E7836"/>
    <w:rPr>
      <w:sz w:val="16"/>
      <w:szCs w:val="16"/>
    </w:rPr>
  </w:style>
  <w:style w:type="paragraph" w:styleId="CommentText">
    <w:name w:val="annotation text"/>
    <w:basedOn w:val="Normal"/>
    <w:link w:val="CommentTextChar"/>
    <w:uiPriority w:val="99"/>
    <w:unhideWhenUsed/>
    <w:rsid w:val="008E7836"/>
    <w:pPr>
      <w:spacing w:line="240" w:lineRule="auto"/>
    </w:pPr>
    <w:rPr>
      <w:sz w:val="20"/>
      <w:szCs w:val="20"/>
    </w:rPr>
  </w:style>
  <w:style w:type="character" w:customStyle="1" w:styleId="CommentTextChar">
    <w:name w:val="Comment Text Char"/>
    <w:basedOn w:val="DefaultParagraphFont"/>
    <w:link w:val="CommentText"/>
    <w:uiPriority w:val="99"/>
    <w:rsid w:val="008E7836"/>
    <w:rPr>
      <w:sz w:val="20"/>
      <w:szCs w:val="20"/>
    </w:rPr>
  </w:style>
  <w:style w:type="paragraph" w:styleId="CommentSubject">
    <w:name w:val="annotation subject"/>
    <w:basedOn w:val="CommentText"/>
    <w:next w:val="CommentText"/>
    <w:link w:val="CommentSubjectChar"/>
    <w:uiPriority w:val="99"/>
    <w:semiHidden/>
    <w:unhideWhenUsed/>
    <w:rsid w:val="008E7836"/>
    <w:rPr>
      <w:b/>
      <w:bCs/>
    </w:rPr>
  </w:style>
  <w:style w:type="character" w:customStyle="1" w:styleId="CommentSubjectChar">
    <w:name w:val="Comment Subject Char"/>
    <w:basedOn w:val="CommentTextChar"/>
    <w:link w:val="CommentSubject"/>
    <w:uiPriority w:val="99"/>
    <w:semiHidden/>
    <w:rsid w:val="008E7836"/>
    <w:rPr>
      <w:b/>
      <w:bCs/>
      <w:sz w:val="20"/>
      <w:szCs w:val="20"/>
    </w:rPr>
  </w:style>
  <w:style w:type="character" w:styleId="Hyperlink">
    <w:name w:val="Hyperlink"/>
    <w:basedOn w:val="DefaultParagraphFont"/>
    <w:uiPriority w:val="99"/>
    <w:unhideWhenUsed/>
    <w:rsid w:val="008E7836"/>
    <w:rPr>
      <w:color w:val="467886" w:themeColor="hyperlink"/>
      <w:u w:val="single"/>
    </w:rPr>
  </w:style>
  <w:style w:type="character" w:styleId="UnresolvedMention">
    <w:name w:val="Unresolved Mention"/>
    <w:basedOn w:val="DefaultParagraphFont"/>
    <w:uiPriority w:val="99"/>
    <w:semiHidden/>
    <w:unhideWhenUsed/>
    <w:rsid w:val="008E7836"/>
    <w:rPr>
      <w:color w:val="605E5C"/>
      <w:shd w:val="clear" w:color="auto" w:fill="E1DFDD"/>
    </w:rPr>
  </w:style>
  <w:style w:type="table" w:styleId="TableGrid">
    <w:name w:val="Table Grid"/>
    <w:basedOn w:val="TableNormal"/>
    <w:uiPriority w:val="39"/>
    <w:rsid w:val="00AD433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CA4999"/>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07/978-3-7091-0932-8_5" TargetMode="External"/><Relationship Id="rId13" Type="http://schemas.openxmlformats.org/officeDocument/2006/relationships/hyperlink" Target="https://doi.org/10.1146/annurev-neuro-112723-040945" TargetMode="External"/><Relationship Id="rId18" Type="http://schemas.openxmlformats.org/officeDocument/2006/relationships/hyperlink" Target="https://doi.org/10.1021/acs.jafc.1c06110" TargetMode="External"/><Relationship Id="rId3" Type="http://schemas.openxmlformats.org/officeDocument/2006/relationships/settings" Target="settings.xml"/><Relationship Id="rId21" Type="http://schemas.openxmlformats.org/officeDocument/2006/relationships/image" Target="media/image4.png"/><Relationship Id="rId7" Type="http://schemas.openxmlformats.org/officeDocument/2006/relationships/hyperlink" Target="https://doi.org/10.1038/s44320-024-00045-6" TargetMode="External"/><Relationship Id="rId12" Type="http://schemas.openxmlformats.org/officeDocument/2006/relationships/hyperlink" Target="https://doi.org/10.1126/science.1242592" TargetMode="External"/><Relationship Id="rId17" Type="http://schemas.openxmlformats.org/officeDocument/2006/relationships/hyperlink" Target="https://doi.org/10.1038/s41401-025-01617-4" TargetMode="External"/><Relationship Id="rId2" Type="http://schemas.openxmlformats.org/officeDocument/2006/relationships/styles" Target="styles.xml"/><Relationship Id="rId16" Type="http://schemas.openxmlformats.org/officeDocument/2006/relationships/hyperlink" Target="https://doi.org/10.1016/j.engappai.2023.107257" TargetMode="External"/><Relationship Id="rId20" Type="http://schemas.openxmlformats.org/officeDocument/2006/relationships/image" Target="media/image3.jpeg"/><Relationship Id="rId1" Type="http://schemas.openxmlformats.org/officeDocument/2006/relationships/numbering" Target="numbering.xml"/><Relationship Id="rId6" Type="http://schemas.openxmlformats.org/officeDocument/2006/relationships/hyperlink" Target="https://doi.org/10.28978/nesciences.691673" TargetMode="External"/><Relationship Id="rId11" Type="http://schemas.openxmlformats.org/officeDocument/2006/relationships/hyperlink" Target="https://doi.org/10.1242/jeb.110817" TargetMode="External"/><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hyperlink" Target="https://doi.org/10.1242/jeb.162396" TargetMode="External"/><Relationship Id="rId23" Type="http://schemas.openxmlformats.org/officeDocument/2006/relationships/fontTable" Target="fontTable.xml"/><Relationship Id="rId10" Type="http://schemas.openxmlformats.org/officeDocument/2006/relationships/hyperlink" Target="https://doi.org/10.1002/jez.b.21386" TargetMode="External"/><Relationship Id="rId19" Type="http://schemas.openxmlformats.org/officeDocument/2006/relationships/image" Target="media/image2.jpeg"/><Relationship Id="rId4" Type="http://schemas.openxmlformats.org/officeDocument/2006/relationships/webSettings" Target="webSettings.xml"/><Relationship Id="rId9" Type="http://schemas.openxmlformats.org/officeDocument/2006/relationships/hyperlink" Target="https://doi.org/10.1126/science.ade5645" TargetMode="External"/><Relationship Id="rId14" Type="http://schemas.openxmlformats.org/officeDocument/2006/relationships/hyperlink" Target="https://doi.org/10.1016/j.cub.2021.09.005" TargetMode="External"/><Relationship Id="rId22" Type="http://schemas.openxmlformats.org/officeDocument/2006/relationships/chart" Target="charts/chart1.xml"/></Relationships>
</file>

<file path=word/charts/_rels/chart1.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GB"/>
              <a:t>Peptide-receptor</a:t>
            </a:r>
            <a:r>
              <a:rPr lang="en-GB" baseline="0"/>
              <a:t> prediction tasks</a:t>
            </a:r>
            <a:endParaRPr lang="en-GB"/>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GB"/>
        </a:p>
      </c:txPr>
    </c:title>
    <c:autoTitleDeleted val="0"/>
    <c:plotArea>
      <c:layout/>
      <c:barChart>
        <c:barDir val="bar"/>
        <c:grouping val="stacked"/>
        <c:varyColors val="0"/>
        <c:ser>
          <c:idx val="0"/>
          <c:order val="0"/>
          <c:tx>
            <c:strRef>
              <c:f>Sheet1!$C$2</c:f>
              <c:strCache>
                <c:ptCount val="1"/>
                <c:pt idx="0">
                  <c:v>Start date</c:v>
                </c:pt>
              </c:strCache>
            </c:strRef>
          </c:tx>
          <c:spPr>
            <a:noFill/>
            <a:ln>
              <a:noFill/>
            </a:ln>
            <a:effectLst/>
          </c:spPr>
          <c:invertIfNegative val="0"/>
          <c:cat>
            <c:strRef>
              <c:f>Sheet1!$B$3:$B$8</c:f>
              <c:strCache>
                <c:ptCount val="6"/>
                <c:pt idx="0">
                  <c:v>Predict 3D structure of neuropeptides</c:v>
                </c:pt>
                <c:pt idx="1">
                  <c:v>Identify or predict 3D structure of receptors</c:v>
                </c:pt>
                <c:pt idx="2">
                  <c:v>Predict peptide-receptor interactions with AF</c:v>
                </c:pt>
                <c:pt idx="3">
                  <c:v>Predict interactions with docking and MD</c:v>
                </c:pt>
                <c:pt idx="4">
                  <c:v>RNA-seq analysis in biological context</c:v>
                </c:pt>
                <c:pt idx="5">
                  <c:v>Report writing</c:v>
                </c:pt>
              </c:strCache>
            </c:strRef>
          </c:cat>
          <c:val>
            <c:numRef>
              <c:f>Sheet1!$C$3:$C$8</c:f>
              <c:numCache>
                <c:formatCode>m/d/yyyy</c:formatCode>
                <c:ptCount val="6"/>
                <c:pt idx="0">
                  <c:v>46157</c:v>
                </c:pt>
                <c:pt idx="1">
                  <c:v>46165</c:v>
                </c:pt>
                <c:pt idx="2">
                  <c:v>46179</c:v>
                </c:pt>
                <c:pt idx="3">
                  <c:v>46200</c:v>
                </c:pt>
                <c:pt idx="4">
                  <c:v>46221</c:v>
                </c:pt>
                <c:pt idx="5">
                  <c:v>46242</c:v>
                </c:pt>
              </c:numCache>
            </c:numRef>
          </c:val>
          <c:extLst>
            <c:ext xmlns:c16="http://schemas.microsoft.com/office/drawing/2014/chart" uri="{C3380CC4-5D6E-409C-BE32-E72D297353CC}">
              <c16:uniqueId val="{00000000-965F-4531-93D9-0ED065720A68}"/>
            </c:ext>
          </c:extLst>
        </c:ser>
        <c:ser>
          <c:idx val="1"/>
          <c:order val="1"/>
          <c:tx>
            <c:strRef>
              <c:f>Sheet1!$F$2</c:f>
              <c:strCache>
                <c:ptCount val="1"/>
                <c:pt idx="0">
                  <c:v>Adjusted length</c:v>
                </c:pt>
              </c:strCache>
            </c:strRef>
          </c:tx>
          <c:spPr>
            <a:solidFill>
              <a:schemeClr val="tx2">
                <a:lumMod val="75000"/>
                <a:lumOff val="25000"/>
              </a:schemeClr>
            </a:solidFill>
            <a:ln>
              <a:noFill/>
            </a:ln>
            <a:effectLst/>
          </c:spPr>
          <c:invertIfNegative val="0"/>
          <c:cat>
            <c:strRef>
              <c:f>Sheet1!$B$3:$B$8</c:f>
              <c:strCache>
                <c:ptCount val="6"/>
                <c:pt idx="0">
                  <c:v>Predict 3D structure of neuropeptides</c:v>
                </c:pt>
                <c:pt idx="1">
                  <c:v>Identify or predict 3D structure of receptors</c:v>
                </c:pt>
                <c:pt idx="2">
                  <c:v>Predict peptide-receptor interactions with AF</c:v>
                </c:pt>
                <c:pt idx="3">
                  <c:v>Predict interactions with docking and MD</c:v>
                </c:pt>
                <c:pt idx="4">
                  <c:v>RNA-seq analysis in biological context</c:v>
                </c:pt>
                <c:pt idx="5">
                  <c:v>Report writing</c:v>
                </c:pt>
              </c:strCache>
            </c:strRef>
          </c:cat>
          <c:val>
            <c:numRef>
              <c:f>Sheet1!$F$3:$F$8</c:f>
              <c:numCache>
                <c:formatCode>General</c:formatCode>
                <c:ptCount val="6"/>
                <c:pt idx="0">
                  <c:v>7</c:v>
                </c:pt>
                <c:pt idx="1">
                  <c:v>13</c:v>
                </c:pt>
                <c:pt idx="2">
                  <c:v>20</c:v>
                </c:pt>
                <c:pt idx="3">
                  <c:v>20</c:v>
                </c:pt>
                <c:pt idx="4">
                  <c:v>20</c:v>
                </c:pt>
                <c:pt idx="5">
                  <c:v>27</c:v>
                </c:pt>
              </c:numCache>
            </c:numRef>
          </c:val>
          <c:extLst>
            <c:ext xmlns:c16="http://schemas.microsoft.com/office/drawing/2014/chart" uri="{C3380CC4-5D6E-409C-BE32-E72D297353CC}">
              <c16:uniqueId val="{00000001-965F-4531-93D9-0ED065720A68}"/>
            </c:ext>
          </c:extLst>
        </c:ser>
        <c:dLbls>
          <c:showLegendKey val="0"/>
          <c:showVal val="0"/>
          <c:showCatName val="0"/>
          <c:showSerName val="0"/>
          <c:showPercent val="0"/>
          <c:showBubbleSize val="0"/>
        </c:dLbls>
        <c:gapWidth val="150"/>
        <c:overlap val="100"/>
        <c:axId val="1717466303"/>
        <c:axId val="1717476383"/>
      </c:barChart>
      <c:catAx>
        <c:axId val="1717466303"/>
        <c:scaling>
          <c:orientation val="maxMin"/>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717476383"/>
        <c:crosses val="autoZero"/>
        <c:auto val="1"/>
        <c:lblAlgn val="ctr"/>
        <c:lblOffset val="100"/>
        <c:noMultiLvlLbl val="0"/>
      </c:catAx>
      <c:valAx>
        <c:axId val="1717476383"/>
        <c:scaling>
          <c:orientation val="minMax"/>
          <c:max val="46269"/>
          <c:min val="46157"/>
        </c:scaling>
        <c:delete val="0"/>
        <c:axPos val="t"/>
        <c:majorGridlines>
          <c:spPr>
            <a:ln w="9525" cap="flat" cmpd="sng" algn="ctr">
              <a:solidFill>
                <a:schemeClr val="tx1">
                  <a:lumMod val="15000"/>
                  <a:lumOff val="85000"/>
                </a:schemeClr>
              </a:solidFill>
              <a:round/>
            </a:ln>
            <a:effectLst/>
          </c:spPr>
        </c:majorGridlines>
        <c:numFmt formatCode="m/d/yyyy" sourceLinked="1"/>
        <c:majorTickMark val="none"/>
        <c:minorTickMark val="none"/>
        <c:tickLblPos val="nextTo"/>
        <c:spPr>
          <a:noFill/>
          <a:ln>
            <a:noFill/>
          </a:ln>
          <a:effectLst/>
        </c:spPr>
        <c:txPr>
          <a:bodyPr rot="-2700000" spcFirstLastPara="1" vertOverflow="ellipsis"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717466303"/>
        <c:crosses val="autoZero"/>
        <c:crossBetween val="between"/>
        <c:majorUnit val="14"/>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2"/>
    </a:solidFill>
    <a:ln w="9525" cap="flat" cmpd="sng" algn="ctr">
      <a:solidFill>
        <a:schemeClr val="bg2">
          <a:lumMod val="90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3491</TotalTime>
  <Pages>1</Pages>
  <Words>4299</Words>
  <Characters>24510</Characters>
  <Application>Microsoft Office Word</Application>
  <DocSecurity>0</DocSecurity>
  <Lines>204</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Leonardo Rosas Godinez</dc:creator>
  <cp:keywords/>
  <dc:description/>
  <cp:lastModifiedBy>Leonardo Rosas Godinez</cp:lastModifiedBy>
  <cp:revision>41</cp:revision>
  <dcterms:created xsi:type="dcterms:W3CDTF">2026-04-27T09:10:00Z</dcterms:created>
  <dcterms:modified xsi:type="dcterms:W3CDTF">2026-05-29T12:12:00Z</dcterms:modified>
</cp:coreProperties>
</file>