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11 - Prática: Criando agentes com ADK e Streamlit (IV)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Nesta atividade foi desenvolvido um sistema multi-agente utilizando o Google </w:t>
      </w:r>
      <w:r>
        <w:rPr>
          <w:rFonts w:cs="Arial" w:ascii="Arial" w:hAnsi="Arial"/>
          <w:sz w:val="20"/>
          <w:szCs w:val="20"/>
        </w:rPr>
        <w:t xml:space="preserve">ADK e o </w:t>
      </w:r>
      <w:r>
        <w:rPr>
          <w:rFonts w:cs="Arial" w:ascii="Arial" w:hAnsi="Arial"/>
          <w:sz w:val="20"/>
          <w:szCs w:val="20"/>
        </w:rPr>
        <w:t xml:space="preserve">A2A, </w:t>
      </w:r>
      <w:r>
        <w:rPr>
          <w:rFonts w:cs="Arial" w:ascii="Arial" w:hAnsi="Arial"/>
          <w:sz w:val="20"/>
          <w:szCs w:val="20"/>
        </w:rPr>
        <w:t>tudo isso sendo renderizado via streamlit</w:t>
      </w:r>
      <w:r>
        <w:rPr>
          <w:rFonts w:cs="Arial" w:ascii="Arial" w:hAnsi="Arial"/>
          <w:sz w:val="20"/>
          <w:szCs w:val="20"/>
        </w:rPr>
        <w:t xml:space="preserve">. </w:t>
      </w:r>
      <w:r>
        <w:rPr>
          <w:rFonts w:cs="Arial" w:ascii="Arial" w:hAnsi="Arial"/>
          <w:sz w:val="20"/>
          <w:szCs w:val="20"/>
        </w:rPr>
        <w:t>O sistema criado baseia-se em cada (sub)agente estar rodando contantemente, em portas diferentes e comunicando via A2A, se destacando das implementação anteriores, já que a chamada não é em hardcode, seria possível, por exemplo, o usuário comunicar diretamente com algum agente.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O frontend feito via Streamlit permite a criação de uma interface simples e funcional, enquanto </w:t>
      </w:r>
      <w:r>
        <w:rPr>
          <w:rFonts w:cs="Arial" w:ascii="Arial" w:hAnsi="Arial"/>
          <w:sz w:val="20"/>
          <w:szCs w:val="20"/>
        </w:rPr>
        <w:t>não é ideal</w:t>
      </w:r>
      <w:r>
        <w:rPr>
          <w:rFonts w:cs="Arial" w:ascii="Arial" w:hAnsi="Arial"/>
          <w:sz w:val="20"/>
          <w:szCs w:val="20"/>
        </w:rPr>
        <w:t xml:space="preserve"> para entr</w:t>
      </w:r>
      <w:r>
        <w:rPr>
          <w:rFonts w:cs="Arial" w:ascii="Arial" w:hAnsi="Arial"/>
          <w:sz w:val="20"/>
          <w:szCs w:val="20"/>
        </w:rPr>
        <w:t>e</w:t>
      </w:r>
      <w:r>
        <w:rPr>
          <w:rFonts w:cs="Arial" w:ascii="Arial" w:hAnsi="Arial"/>
          <w:sz w:val="20"/>
          <w:szCs w:val="20"/>
        </w:rPr>
        <w:t>gas próprias, é uma ferramenta muito útil para protótipos, onde a funcionalidade é mais valiosa que a aparência.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Uma mudança feita, até mesmo no código da aula foi o uso de Groq ao invés de modelos como o GPT, essa mudança foi feita para garantir a execução do código, já que não tenho uma chave GPT e a minha do Gemini é fraca, dificultando esses testes, por isso os resultados provavelmente foram diferentes, mas em um sistema simples como esse a diferença provavelmente será mínima.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 maior dificuldade encontrada foi lidar com os tokens, o que foi resolvido utilizando modelos groq.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Conclusões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O uso de json para comunicação, como estabelecido pelo A2A, auxilia a comunicação simples e contextualizada </w:t>
      </w:r>
      <w:r>
        <w:rPr>
          <w:rFonts w:cs="Arial" w:ascii="Arial" w:hAnsi="Arial"/>
          <w:sz w:val="20"/>
          <w:szCs w:val="20"/>
        </w:rPr>
        <w:t>entre agentes, ao passo que cada agente pode ser estabelecido de maneira independente e facilmente comunicar com outros, os quais podem ser informados dos agentes via uma simples alteração da task, demonstrando a modularidade desse sistema.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Do card:</w:t>
      </w:r>
    </w:p>
    <w:p>
      <w:pPr>
        <w:pStyle w:val="Normal"/>
        <w:numPr>
          <w:ilvl w:val="0"/>
          <w:numId w:val="1"/>
        </w:numPr>
        <w:spacing w:before="0" w:after="160"/>
        <w:rPr>
          <w:rFonts w:ascii="Arial" w:hAnsi="Arial" w:cs="Arial"/>
          <w:sz w:val="20"/>
          <w:szCs w:val="20"/>
        </w:rPr>
      </w:pPr>
      <w:hyperlink r:id="rId2">
        <w:r>
          <w:rPr>
            <w:rStyle w:val="Hyperlink"/>
            <w:rFonts w:cs="Arial" w:ascii="Arial" w:hAnsi="Arial"/>
            <w:sz w:val="20"/>
            <w:szCs w:val="20"/>
          </w:rPr>
          <w:t>https://www.datacamp.com/tutorial/agent-development-kit-adk</w:t>
        </w:r>
      </w:hyperlink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5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datacamp.com/tutorial/agent-development-kit-adk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Application>LibreOffice/25.8.6.2$Linux_X86_64 LibreOffice_project/a46b460d1686bb49c718d2ef5f88b83ff2dc4981</Application>
  <AppVersion>15.0000</AppVersion>
  <Pages>1</Pages>
  <Words>257</Words>
  <Characters>1426</Characters>
  <CharactersWithSpaces>1669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2026-04-01T20:08:54Z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