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06 - Prática: Embedding (II)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A documentação mostrou diretamente como fazer uso de modelos de embedding, modelos focados em converter objetos, ex. Texto, imagens, etc, em vetores númericos com o objetivo de capturar o sentido semântico do objeto. Esse processo resulta em vetores com alto número de dimensões (256+), facilitando buscas contextuais em databases maiores, modelos mais recentes (pelo o que eu pesquisei </w:t>
      </w:r>
      <w:r>
        <w:rPr>
          <w:rFonts w:cs="Arial" w:ascii="Arial" w:hAnsi="Arial"/>
          <w:sz w:val="20"/>
          <w:szCs w:val="20"/>
        </w:rPr>
        <w:t xml:space="preserve">de </w:t>
      </w:r>
      <w:r>
        <w:rPr>
          <w:rFonts w:cs="Arial" w:ascii="Arial" w:hAnsi="Arial"/>
          <w:sz w:val="20"/>
          <w:szCs w:val="20"/>
        </w:rPr>
        <w:t>2024) conseguem fazer embedding multimodais, podendo converter diferentes tipos de objetos em um mesmo espaço vetorial, facilitando análise semântica para outros modelos.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Funcionamento de embedding: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Para processamento de texto seria feito a fragmentação durante o pré-processamento, mas esse processo não faz sentido para imagens, aúdios e outros formatos não textuais.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313815"/>
            <wp:effectExtent l="0" t="0" r="0" b="0"/>
            <wp:wrapTopAndBottom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13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fastcamp"/>
        <w:rPr/>
      </w:pPr>
      <w:r>
        <w:rPr/>
        <w:t xml:space="preserve">Já o vídeo, demonstrou como fazer a captura de dados e inseri-los no espaço vetorial, </w:t>
      </w:r>
      <w:r>
        <w:rPr/>
        <w:t>onde eles são fragmentados e tokenizados</w:t>
      </w:r>
      <w:r>
        <w:rPr/>
        <w:t xml:space="preserve">, permitindo que modelos usem para contexto </w:t>
      </w:r>
      <w:r>
        <w:rPr/>
        <w:t>sem a necessidade de busca exata no banco de dados</w:t>
      </w:r>
      <w:r>
        <w:rPr/>
        <w:t>, o que é exatamente o próximo workflow, em que utilizamos um agente novamente, mas dessa vez o conectamos ao espaço vetorial, o permitindo buscas semânticas, melhorando as respostas via o contexto fornecido via o primeiro workflow.</w:t>
      </w:r>
    </w:p>
    <w:p>
      <w:pPr>
        <w:pStyle w:val="fastcamp"/>
        <w:rPr/>
      </w:pPr>
      <w:r>
        <w:rPr/>
        <w:t xml:space="preserve">Nessa ideia, seria possível fazer uma RAG dinâmico, em que o agente decide o que pesquisar nessa internet, os resultados web são transferidos para o modelo de embedding e a partir desse momento o agente pode acessar os dados de forma rápida e contextualizada, melhorando suas respostas. </w:t>
      </w:r>
    </w:p>
    <w:p>
      <w:pPr>
        <w:pStyle w:val="fastcamp"/>
        <w:rPr/>
      </w:pPr>
      <w:r>
        <w:rPr/>
        <w:t>Fluxo de funcionamento:</w:t>
      </w:r>
    </w:p>
    <w:p>
      <w:pPr>
        <w:pStyle w:val="fastcamp"/>
        <w:rPr/>
      </w:pPr>
      <w:r>
        <w:rPr/>
        <w:t>Mantendo os workflows separados, mas é possível fazer overlap.</w:t>
      </w:r>
    </w:p>
    <w:p>
      <w:pPr>
        <w:pStyle w:val="fastcamp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929765"/>
            <wp:effectExtent l="0" t="0" r="0" b="0"/>
            <wp:wrapTopAndBottom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29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Nenhuma dificuldade específica.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Conclusões </w:t>
      </w:r>
    </w:p>
    <w:p>
      <w:pPr>
        <w:pStyle w:val="fastcamp"/>
        <w:rPr>
          <w:rFonts w:ascii="Arial" w:hAnsi="Arial" w:cs="Arial"/>
          <w:sz w:val="20"/>
          <w:szCs w:val="20"/>
        </w:rPr>
      </w:pPr>
      <w:r>
        <w:rPr/>
        <w:t>Em conclusão, embedding permite que modelos de linguagem compreendam contextos multimodais, texto, aúdio, imagens, ao colocá-los em um espaço vetorial, também permitindo, graças a sua organização, buscas semânticas ao invés de buscas exatas. Essa arquitetura é altamente modular, permitindo que o modelo acesse muita informação de maneira rápida e confiável, criando a possibilidade de projetos consideravelmente maiores sem grandes sacrificios.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Do card:</w:t>
      </w:r>
    </w:p>
    <w:p>
      <w:pPr>
        <w:pStyle w:val="fastcamp"/>
        <w:numPr>
          <w:ilvl w:val="0"/>
          <w:numId w:val="2"/>
        </w:numPr>
        <w:rPr/>
      </w:pPr>
      <w:r>
        <w:rPr>
          <w:rStyle w:val="Hyperlink"/>
        </w:rPr>
        <w:t>https://qdrant.tech/documentation/cloud-quickstart/</w:t>
      </w:r>
    </w:p>
    <w:p>
      <w:pPr>
        <w:pStyle w:val="fastcamp"/>
        <w:numPr>
          <w:ilvl w:val="0"/>
          <w:numId w:val="2"/>
        </w:numPr>
        <w:rPr/>
      </w:pPr>
      <w:hyperlink r:id="rId4">
        <w:r>
          <w:rPr>
            <w:rStyle w:val="Hyperlink"/>
          </w:rPr>
          <w:t>https://www.youtube.com/watch?v=cCDAY0nb0T0</w:t>
        </w:r>
      </w:hyperlink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Externas:</w:t>
      </w:r>
    </w:p>
    <w:p>
      <w:pPr>
        <w:pStyle w:val="fastcamp"/>
        <w:numPr>
          <w:ilvl w:val="0"/>
          <w:numId w:val="3"/>
        </w:numPr>
        <w:rPr/>
      </w:pPr>
      <w:r>
        <w:rPr>
          <w:rStyle w:val="Hyperlink"/>
        </w:rPr>
        <w:t>https://qdrant.tech/documentation/concepts/vectors/</w:t>
      </w:r>
    </w:p>
    <w:p>
      <w:pPr>
        <w:pStyle w:val="fastcamp"/>
        <w:numPr>
          <w:ilvl w:val="0"/>
          <w:numId w:val="3"/>
        </w:numPr>
        <w:rPr/>
      </w:pPr>
      <w:r>
        <w:rPr>
          <w:rStyle w:val="Hyperlink"/>
        </w:rPr>
        <w:t>https://qdrant.tech/documentation/concepts/search/</w:t>
      </w:r>
    </w:p>
    <w:p>
      <w:pPr>
        <w:pStyle w:val="fastcamp"/>
        <w:numPr>
          <w:ilvl w:val="0"/>
          <w:numId w:val="3"/>
        </w:numPr>
        <w:rPr/>
      </w:pPr>
      <w:r>
        <w:rPr>
          <w:rStyle w:val="Hyperlink"/>
        </w:rPr>
        <w:t>https://medium.com/@fr4nk/qdrant-create-collection-api-deep-dive-engineering-high-performance-vector-collections-fab57e6285a0</w:t>
      </w:r>
    </w:p>
    <w:p>
      <w:pPr>
        <w:pStyle w:val="fastcamp"/>
        <w:numPr>
          <w:ilvl w:val="0"/>
          <w:numId w:val="3"/>
        </w:numPr>
        <w:rPr/>
      </w:pPr>
      <w:r>
        <w:rPr>
          <w:rStyle w:val="Hyperlink"/>
        </w:rPr>
        <w:t>https://towardsdatascience.com/multimodal-embeddings-an-introduction-5dc36975966f/</w:t>
      </w:r>
    </w:p>
    <w:p>
      <w:pPr>
        <w:pStyle w:val="fastcamp"/>
        <w:numPr>
          <w:ilvl w:val="0"/>
          <w:numId w:val="3"/>
        </w:numPr>
        <w:spacing w:before="0" w:after="160"/>
        <w:rPr/>
      </w:pPr>
      <w:hyperlink r:id="rId5">
        <w:r>
          <w:rPr>
            <w:rStyle w:val="Hyperlink"/>
          </w:rPr>
          <w:t>https://aws.amazon.com/what-is/embeddings-in-machine-learning/</w:t>
        </w:r>
      </w:hyperlink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75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astcamp">
    <w:name w:val="fastcamp"/>
    <w:basedOn w:val="Normal"/>
    <w:qFormat/>
    <w:pPr/>
    <w:rPr>
      <w:rFonts w:ascii="arial" w:hAnsi="arial"/>
      <w:sz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www.youtube.com/watch?v=cCDAY0nb0T0" TargetMode="External"/><Relationship Id="rId5" Type="http://schemas.openxmlformats.org/officeDocument/2006/relationships/hyperlink" Target="https://aws.amazon.com/what-is/embeddings-in-machine-learning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Application>LibreOffice/25.8.5.2$Linux_X86_64 LibreOffice_project/252c20f6956e3db0b52e6e2f9dda67263513c8fc</Application>
  <AppVersion>15.0000</AppVersion>
  <Pages>2</Pages>
  <Words>336</Words>
  <Characters>2353</Characters>
  <CharactersWithSpaces>2660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cp:lastPrinted>2026-03-18T01:25:35Z</cp:lastPrinted>
  <dcterms:modified xsi:type="dcterms:W3CDTF">2026-03-18T01:30:04Z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