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200"/>
        <w:jc w:val="center"/>
      </w:pPr>
      <w:r>
        <w:rPr>
          <w:rFonts w:ascii="Calibri" w:cs="Calibri" w:eastAsia="Calibri" w:hAnsi="Calibri"/>
          <w:b/>
          <w:bCs/>
          <w:sz w:val="44"/>
          <w:szCs w:val="44"/>
        </w:rPr>
        <w:t xml:space="preserve">MicroProfile Health</w:t>
      </w:r>
    </w:p>
    <w:p>
      <w:pPr>
        <w:spacing w:after="600"/>
        <w:jc w:val="center"/>
      </w:pPr>
      <w:r>
        <w:rPr>
          <w:rFonts w:ascii="Calibri" w:cs="Calibri" w:eastAsia="Calibri" w:hAnsi="Calibri"/>
          <w:i/>
          <w:iCs/>
          <w:sz w:val="26"/>
          <w:szCs w:val="26"/>
        </w:rPr>
        <w:t xml:space="preserve">Consulta: especificación, arquitectura e implementación en microservicios</w:t>
      </w:r>
    </w:p>
    <w:p>
      <w:pPr>
        <w:jc w:val="center"/>
      </w:pPr>
      <w:r>
        <w:rPr>
          <w:rFonts w:ascii="Calibri" w:cs="Calibri" w:eastAsia="Calibri" w:hAnsi="Calibri"/>
          <w:sz w:val="22"/>
          <w:szCs w:val="22"/>
        </w:rPr>
        <w:t xml:space="preserve">Programación Distribuida</w:t>
      </w:r>
    </w:p>
    <w:p>
      <w:pPr>
        <w:spacing w:after="800"/>
        <w:jc w:val="center"/>
      </w:pPr>
      <w:r>
        <w:rPr>
          <w:rFonts w:ascii="Calibri" w:cs="Calibri" w:eastAsia="Calibri" w:hAnsi="Calibri"/>
          <w:sz w:val="22"/>
          <w:szCs w:val="22"/>
        </w:rPr>
        <w:t xml:space="preserve">Fecha: 18 de julio de 2026</w:t>
      </w:r>
    </w:p>
    <w:p>
      <w:r>
        <w:br w:type="page"/>
      </w:r>
    </w:p>
    <w:p>
      <w:pPr>
        <w:pStyle w:val="Heading1"/>
        <w:spacing w:after="160" w:before="320"/>
      </w:pPr>
      <w:r>
        <w:t xml:space="preserve">1. Introducción</w:t>
      </w:r>
    </w:p>
    <w:p>
      <w:pPr>
        <w:spacing w:after="160"/>
        <w:jc w:val="both"/>
      </w:pPr>
      <w:r>
        <w:rPr>
          <w:rFonts w:ascii="Calibri" w:cs="Calibri" w:eastAsia="Calibri" w:hAnsi="Calibri"/>
          <w:sz w:val="22"/>
          <w:szCs w:val="22"/>
        </w:rPr>
        <w:t xml:space="preserve">En una arquitectura de microservicios, cada servicio se ejecuta como un proceso independiente, típicamente empaquetado en un contenedor y orquestado por una plataforma como Docker Compose, Docker Swarm o Kubernetes. Esa plataforma necesita una forma estandarizada y automática de saber si cada instancia de un servicio está viva, si está lista para recibir tráfico, o si terminó de inicializarse. MicroProfile Health es la especificación de Eclipse MicroProfile que resuelve exactamente ese problema: define un mecanismo de verificación de salud (health check) uniforme, pensado para comunicación máquina a máquina, que cualquier runtime compatible (Quarkus, Open Liberty, Helidon, Payara, WildFly, etc.) debe implementar de la misma manera.</w:t>
      </w:r>
    </w:p>
    <w:p>
      <w:pPr>
        <w:spacing w:after="160"/>
        <w:jc w:val="both"/>
      </w:pPr>
      <w:r>
        <w:rPr>
          <w:rFonts w:ascii="Calibri" w:cs="Calibri" w:eastAsia="Calibri" w:hAnsi="Calibri"/>
          <w:sz w:val="22"/>
          <w:szCs w:val="22"/>
        </w:rPr>
        <w:t xml:space="preserve">Esta consulta describe el fundamento y la arquitectura de la especificación (versión 4.0, alineada con Jakarta EE 9.1), su API de Java, el protocolo HTTP/JSON que expone, su implementación concreta en Quarkus mediante la extensión SmallRye Health, y una comparación con el mecanismo equivalente de Spring Boot (Actuator), ya que en el proyecto del curso conviven ambos enfoques: dos módulos en Quarkus (app-authors, app-books) y uno en Spring Boot (app-customers).</w:t>
      </w:r>
    </w:p>
    <w:p>
      <w:pPr>
        <w:pStyle w:val="Heading1"/>
        <w:spacing w:after="160" w:before="320"/>
      </w:pPr>
      <w:r>
        <w:t xml:space="preserve">2. Contexto: ¿por qué hace falta un estándar de Health Check?</w:t>
      </w:r>
    </w:p>
    <w:p>
      <w:pPr>
        <w:spacing w:after="160"/>
        <w:jc w:val="both"/>
      </w:pPr>
      <w:r>
        <w:rPr>
          <w:rFonts w:ascii="Calibri" w:cs="Calibri" w:eastAsia="Calibri" w:hAnsi="Calibri"/>
          <w:sz w:val="22"/>
          <w:szCs w:val="22"/>
        </w:rPr>
        <w:t xml:space="preserve">Antes de que existiera un estándar, cada framework exponía su propio endpoint de salud con su propio formato de respuesta. Esto complicaba la integración con orquestadores como Kubernetes, cuyos "liveness probe" y "readiness probe" necesitan una interfaz predecible para decidir si reiniciar un pod o si sacarlo temporalmente de la rotación de tráfico. MicroProfile Health nace para dar, dentro del ecosistema Jakarta/MicroProfile, una respuesta equivalente y compatible con esos mecanismos de Kubernetes y Cloud Foundry, de modo que el mismo contrato HTTP/JSON funcione sin importar qué implementación de MicroProfile se esté usando por debajo.</w:t>
      </w:r>
    </w:p>
    <w:p>
      <w:pPr>
        <w:pStyle w:val="Heading1"/>
        <w:spacing w:after="160" w:before="320"/>
      </w:pPr>
      <w:r>
        <w:t xml:space="preserve">3. Los tres tipos de Health Check</w:t>
      </w:r>
    </w:p>
    <w:p>
      <w:pPr>
        <w:spacing w:after="160"/>
        <w:jc w:val="both"/>
      </w:pPr>
      <w:r>
        <w:rPr>
          <w:rFonts w:ascii="Calibri" w:cs="Calibri" w:eastAsia="Calibri" w:hAnsi="Calibri"/>
          <w:sz w:val="22"/>
          <w:szCs w:val="22"/>
        </w:rPr>
        <w:t xml:space="preserve">La especificación define tres clases de verificación, semánticamente distintas aunque comparten la misma interfaz Java. La diferencia entre ellas no es técnica sino de propósito: determinan una acción distinta por parte del consumidor (el orquestador).</w:t>
      </w:r>
    </w:p>
    <w:p>
      <w:pPr>
        <w:pStyle w:val="Heading2"/>
        <w:spacing w:after="120" w:before="240"/>
      </w:pPr>
      <w:r>
        <w:t xml:space="preserve">3.1 Liveness (@Liveness)</w:t>
      </w:r>
    </w:p>
    <w:p>
      <w:pPr>
        <w:spacing w:after="160"/>
        <w:jc w:val="both"/>
      </w:pPr>
      <w:r>
        <w:rPr>
          <w:rFonts w:ascii="Calibri" w:cs="Calibri" w:eastAsia="Calibri" w:hAnsi="Calibri"/>
          <w:sz w:val="22"/>
          <w:szCs w:val="22"/>
        </w:rPr>
        <w:t xml:space="preserve">Responde a la pregunta "¿el proceso sigue vivo y puede responder?". Si una verificación de liveness falla, la especificación indica explícitamente que la aplicación puede ser descartada, terminada o reiniciada. Por esta razón, un check de liveness NO debería depender de recursos externos (bases de datos, otros servicios): si la base de datos cae, reiniciar el contenedor no arregla nada y solo genera un ciclo de reinicios inútil. El check de liveness debe limitarse a confirmar que la capa HTTP/JVM interna responde.</w:t>
      </w:r>
    </w:p>
    <w:p>
      <w:pPr>
        <w:pStyle w:val="Heading2"/>
        <w:spacing w:after="120" w:before="240"/>
      </w:pPr>
      <w:r>
        <w:t xml:space="preserve">3.2 Readiness (@Readiness)</w:t>
      </w:r>
    </w:p>
    <w:p>
      <w:pPr>
        <w:spacing w:after="160"/>
        <w:jc w:val="both"/>
      </w:pPr>
      <w:r>
        <w:rPr>
          <w:rFonts w:ascii="Calibri" w:cs="Calibri" w:eastAsia="Calibri" w:hAnsi="Calibri"/>
          <w:sz w:val="22"/>
          <w:szCs w:val="22"/>
        </w:rPr>
        <w:t xml:space="preserve">Responde a la pregunta "¿esta instancia puede procesar pedidos en este momento?". Aquí sí tiene sentido verificar dependencias externas: conexión a base de datos, disponibilidad de un servicio del que depende (por ejemplo, Books necesita poder llamar a Authors), colas de mensajería, etc. Si un check de readiness falla, el orquestador no reinicia el contenedor: simplemente deja de enrutarle tráfico hasta que vuelva a reportar UP. Esta es la distinción que más se presta a confusión y es un error común mezclar ambos conceptos en un solo check de "salud general".</w:t>
      </w:r>
    </w:p>
    <w:p>
      <w:pPr>
        <w:pStyle w:val="Heading2"/>
        <w:spacing w:after="120" w:before="240"/>
      </w:pPr>
      <w:r>
        <w:t xml:space="preserve">3.3 Startup (@Startup)</w:t>
      </w:r>
    </w:p>
    <w:p>
      <w:pPr>
        <w:spacing w:after="160"/>
        <w:jc w:val="both"/>
      </w:pPr>
      <w:r>
        <w:rPr>
          <w:rFonts w:ascii="Calibri" w:cs="Calibri" w:eastAsia="Calibri" w:hAnsi="Calibri"/>
          <w:sz w:val="22"/>
          <w:szCs w:val="22"/>
        </w:rPr>
        <w:t xml:space="preserve">Se agregó en la versión 3.1 de la especificación, pensado para aplicaciones con arranque lento (por ejemplo, que cargan grandes cachés o esperan un recurso al iniciar). Mientras el check de startup no reporte UP, el orquestador no empieza a evaluar el liveness probe, evitando que un arranque legítimamente lento sea interpretado como un proceso colgado y termine reiniciado antes de tiempo.</w:t>
      </w:r>
    </w:p>
    <w:p>
      <w:pPr>
        <w:spacing w:after="160"/>
        <w:jc w:val="both"/>
      </w:pPr>
      <w:r>
        <w:rPr>
          <w:rFonts w:ascii="Calibri" w:cs="Calibri" w:eastAsia="Calibri" w:hAnsi="Calibri"/>
          <w:b/>
          <w:bCs/>
          <w:sz w:val="22"/>
          <w:szCs w:val="22"/>
        </w:rPr>
        <w:t xml:space="preserve">Nota importante: </w:t>
      </w:r>
      <w:r>
        <w:rPr>
          <w:rFonts w:ascii="Calibri" w:cs="Calibri" w:eastAsia="Calibri" w:hAnsi="Calibri"/>
          <w:sz w:val="22"/>
          <w:szCs w:val="22"/>
        </w:rPr>
        <w:t xml:space="preserve">un mismo HealthCheck puede tener más de una anotación a la vez (por ejemplo @Liveness y @Readiness juntas) si de verdad aplica a ambos casos, y puede haber múltiples procedimientos del mismo tipo: todos se ejecutan y el estado global de ese tipo es el AND lógico de todos los checks individuales.</w:t>
      </w:r>
    </w:p>
    <w:p>
      <w:pPr>
        <w:pStyle w:val="Heading1"/>
        <w:spacing w:after="160" w:before="320"/>
      </w:pPr>
      <w:r>
        <w:t xml:space="preserve">4. API de Java</w:t>
      </w:r>
    </w:p>
    <w:p>
      <w:pPr>
        <w:spacing w:after="160"/>
        <w:jc w:val="both"/>
      </w:pPr>
      <w:r>
        <w:rPr>
          <w:rFonts w:ascii="Calibri" w:cs="Calibri" w:eastAsia="Calibri" w:hAnsi="Calibri"/>
          <w:sz w:val="22"/>
          <w:szCs w:val="22"/>
        </w:rPr>
        <w:t xml:space="preserve">El contrato central de la especificación es una interfaz funcional muy simple:</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@FunctionalInterface</w:t>
      </w:r>
      <w:r>
        <w:rPr>
          <w:rFonts w:ascii="Consolas" w:cs="Consolas" w:eastAsia="Consolas" w:hAnsi="Consolas"/>
          <w:sz w:val="19"/>
          <w:szCs w:val="19"/>
        </w:rPr>
        <w:br/>
        <w:t xml:space="preserve">public interface HealthCheck {</w:t>
      </w:r>
      <w:r>
        <w:rPr>
          <w:rFonts w:ascii="Consolas" w:cs="Consolas" w:eastAsia="Consolas" w:hAnsi="Consolas"/>
          <w:sz w:val="19"/>
          <w:szCs w:val="19"/>
        </w:rPr>
        <w:br/>
        <w:t xml:space="preserve">    HealthCheckResponse call();</w:t>
      </w:r>
      <w:r>
        <w:rPr>
          <w:rFonts w:ascii="Consolas" w:cs="Consolas" w:eastAsia="Consolas" w:hAnsi="Consolas"/>
          <w:sz w:val="19"/>
          <w:szCs w:val="19"/>
        </w:rPr>
        <w:br/>
        <w:t xml:space="preserve">}</w:t>
      </w:r>
    </w:p>
    <w:p>
      <w:pPr>
        <w:spacing w:after="160"/>
        <w:jc w:val="both"/>
      </w:pPr>
      <w:r>
        <w:rPr>
          <w:rFonts w:ascii="Calibri" w:cs="Calibri" w:eastAsia="Calibri" w:hAnsi="Calibri"/>
          <w:sz w:val="22"/>
          <w:szCs w:val="22"/>
        </w:rPr>
        <w:t xml:space="preserve">Un HealthCheckResponse se construye normalmente con los métodos estáticos de HealthCheckResponse, indicando un nombre (obligatorio, para poder distinguir qué check falló cuando hay varios) y opcionalmente un mapa de datos adicionales:</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@Readiness</w:t>
      </w:r>
      <w:r>
        <w:rPr>
          <w:rFonts w:ascii="Consolas" w:cs="Consolas" w:eastAsia="Consolas" w:hAnsi="Consolas"/>
          <w:sz w:val="19"/>
          <w:szCs w:val="19"/>
        </w:rPr>
        <w:br/>
        <w:t xml:space="preserve">public class DatabaseHealthCheck implements HealthCheck {</w:t>
      </w:r>
      <w:r>
        <w:rPr>
          <w:rFonts w:ascii="Consolas" w:cs="Consolas" w:eastAsia="Consolas" w:hAnsi="Consolas"/>
          <w:sz w:val="19"/>
          <w:szCs w:val="19"/>
        </w:rPr>
        <w:br/>
        <w:t xml:space="preserve"/>
      </w:r>
      <w:r>
        <w:rPr>
          <w:rFonts w:ascii="Consolas" w:cs="Consolas" w:eastAsia="Consolas" w:hAnsi="Consolas"/>
          <w:sz w:val="19"/>
          <w:szCs w:val="19"/>
        </w:rPr>
        <w:br/>
        <w:t xml:space="preserve">    @Inject</w:t>
      </w:r>
      <w:r>
        <w:rPr>
          <w:rFonts w:ascii="Consolas" w:cs="Consolas" w:eastAsia="Consolas" w:hAnsi="Consolas"/>
          <w:sz w:val="19"/>
          <w:szCs w:val="19"/>
        </w:rPr>
        <w:br/>
        <w:t xml:space="preserve">    EntityManager entityManager;</w:t>
      </w:r>
      <w:r>
        <w:rPr>
          <w:rFonts w:ascii="Consolas" w:cs="Consolas" w:eastAsia="Consolas" w:hAnsi="Consolas"/>
          <w:sz w:val="19"/>
          <w:szCs w:val="19"/>
        </w:rPr>
        <w:br/>
        <w:t xml:space="preserve"/>
      </w:r>
      <w:r>
        <w:rPr>
          <w:rFonts w:ascii="Consolas" w:cs="Consolas" w:eastAsia="Consolas" w:hAnsi="Consolas"/>
          <w:sz w:val="19"/>
          <w:szCs w:val="19"/>
        </w:rPr>
        <w:br/>
        <w:t xml:space="preserve">    @Override</w:t>
      </w:r>
      <w:r>
        <w:rPr>
          <w:rFonts w:ascii="Consolas" w:cs="Consolas" w:eastAsia="Consolas" w:hAnsi="Consolas"/>
          <w:sz w:val="19"/>
          <w:szCs w:val="19"/>
        </w:rPr>
        <w:br/>
        <w:t xml:space="preserve">    public HealthCheckResponse call() {</w:t>
      </w:r>
      <w:r>
        <w:rPr>
          <w:rFonts w:ascii="Consolas" w:cs="Consolas" w:eastAsia="Consolas" w:hAnsi="Consolas"/>
          <w:sz w:val="19"/>
          <w:szCs w:val="19"/>
        </w:rPr>
        <w:br/>
        <w:t xml:space="preserve">        try {</w:t>
      </w:r>
      <w:r>
        <w:rPr>
          <w:rFonts w:ascii="Consolas" w:cs="Consolas" w:eastAsia="Consolas" w:hAnsi="Consolas"/>
          <w:sz w:val="19"/>
          <w:szCs w:val="19"/>
        </w:rPr>
        <w:br/>
        <w:t xml:space="preserve">            entityManager.createNativeQuery("SELECT 1").getSingleResult();</w:t>
      </w:r>
      <w:r>
        <w:rPr>
          <w:rFonts w:ascii="Consolas" w:cs="Consolas" w:eastAsia="Consolas" w:hAnsi="Consolas"/>
          <w:sz w:val="19"/>
          <w:szCs w:val="19"/>
        </w:rPr>
        <w:br/>
        <w:t xml:space="preserve">            return HealthCheckResponse.named("DB").up().build();</w:t>
      </w:r>
      <w:r>
        <w:rPr>
          <w:rFonts w:ascii="Consolas" w:cs="Consolas" w:eastAsia="Consolas" w:hAnsi="Consolas"/>
          <w:sz w:val="19"/>
          <w:szCs w:val="19"/>
        </w:rPr>
        <w:br/>
        <w:t xml:space="preserve">        } catch (Exception e) {</w:t>
      </w:r>
      <w:r>
        <w:rPr>
          <w:rFonts w:ascii="Consolas" w:cs="Consolas" w:eastAsia="Consolas" w:hAnsi="Consolas"/>
          <w:sz w:val="19"/>
          <w:szCs w:val="19"/>
        </w:rPr>
        <w:br/>
        <w:t xml:space="preserve">            return HealthCheckResponse.named("DB").down()</w:t>
      </w:r>
      <w:r>
        <w:rPr>
          <w:rFonts w:ascii="Consolas" w:cs="Consolas" w:eastAsia="Consolas" w:hAnsi="Consolas"/>
          <w:sz w:val="19"/>
          <w:szCs w:val="19"/>
        </w:rPr>
        <w:br/>
        <w:t xml:space="preserve">                    .withData("error", e.getMessage())</w:t>
      </w:r>
      <w:r>
        <w:rPr>
          <w:rFonts w:ascii="Consolas" w:cs="Consolas" w:eastAsia="Consolas" w:hAnsi="Consolas"/>
          <w:sz w:val="19"/>
          <w:szCs w:val="19"/>
        </w:rPr>
        <w:br/>
        <w:t xml:space="preserve">                    .build();</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w:t>
      </w:r>
    </w:p>
    <w:p>
      <w:pPr>
        <w:spacing w:after="160"/>
        <w:jc w:val="both"/>
      </w:pPr>
      <w:r>
        <w:rPr>
          <w:rFonts w:ascii="Calibri" w:cs="Calibri" w:eastAsia="Calibri" w:hAnsi="Calibri"/>
          <w:sz w:val="22"/>
          <w:szCs w:val="22"/>
        </w:rPr>
        <w:t xml:space="preserve">Los HealthCheck son beans de CDI: cualquier bean habilitado de tipo HealthCheck anotado con @Liveness, @Readiness o @Startup es descubierto e invocado automáticamente por el runtime cada vez que se recibe un pedido al endpoint correspondiente. También pueden definirse mediante productores CDI (@Produces) en vez de una clase completa, cuando el check es muy simple.</w:t>
      </w:r>
    </w:p>
    <w:p>
      <w:pPr>
        <w:pStyle w:val="Heading1"/>
        <w:spacing w:after="160" w:before="320"/>
      </w:pPr>
      <w:r>
        <w:t xml:space="preserve">5. Arquitectura HTTP y formato de respuesta</w:t>
      </w:r>
    </w:p>
    <w:p>
      <w:pPr>
        <w:spacing w:after="160"/>
        <w:jc w:val="both"/>
      </w:pPr>
      <w:r>
        <w:rPr>
          <w:rFonts w:ascii="Calibri" w:cs="Calibri" w:eastAsia="Calibri" w:hAnsi="Calibri"/>
          <w:sz w:val="22"/>
          <w:szCs w:val="22"/>
        </w:rPr>
        <w:t xml:space="preserve">La especificación expone cuatro rutas bien conocidas, cada una asociada a un tipo de procedimiento (o a la combinación de los tres en el caso de /health):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00"/>
      </w:tblGrid>
      <w:tr>
        <w:tc>
          <w:tcPr>
            <w:tcW w:type="dxa" w:w="2600"/>
            <w:shd w:fill="1F4E79" w:val="clear"/>
          </w:tcPr>
          <w:p>
            <w:r>
              <w:rPr>
                <w:rFonts w:ascii="Calibri" w:cs="Calibri" w:eastAsia="Calibri" w:hAnsi="Calibri"/>
                <w:b/>
                <w:bCs/>
                <w:color w:val="FFFFFF"/>
                <w:sz w:val="20"/>
                <w:szCs w:val="20"/>
              </w:rPr>
              <w:t xml:space="preserve">Endpoint</w:t>
            </w:r>
          </w:p>
        </w:tc>
        <w:tc>
          <w:tcPr>
            <w:tcW w:type="dxa" w:w="2200"/>
            <w:shd w:fill="1F4E79" w:val="clear"/>
          </w:tcPr>
          <w:p>
            <w:r>
              <w:rPr>
                <w:rFonts w:ascii="Calibri" w:cs="Calibri" w:eastAsia="Calibri" w:hAnsi="Calibri"/>
                <w:b/>
                <w:bCs/>
                <w:color w:val="FFFFFF"/>
                <w:sz w:val="20"/>
                <w:szCs w:val="20"/>
              </w:rPr>
              <w:t xml:space="preserve">Procedimientos</w:t>
            </w:r>
          </w:p>
        </w:tc>
        <w:tc>
          <w:tcPr>
            <w:tcW w:type="dxa" w:w="4200"/>
            <w:shd w:fill="1F4E79" w:val="clear"/>
          </w:tcPr>
          <w:p>
            <w:r>
              <w:rPr>
                <w:rFonts w:ascii="Calibri" w:cs="Calibri" w:eastAsia="Calibri" w:hAnsi="Calibri"/>
                <w:b/>
                <w:bCs/>
                <w:color w:val="FFFFFF"/>
                <w:sz w:val="20"/>
                <w:szCs w:val="20"/>
              </w:rPr>
              <w:t xml:space="preserve">Uso típico en Kubernetes / Docker</w:t>
            </w:r>
          </w:p>
        </w:tc>
      </w:tr>
      <w:tr>
        <w:tc>
          <w:tcPr>
            <w:tcW w:type="dxa" w:w="2600"/>
          </w:tcPr>
          <w:p>
            <w:r>
              <w:rPr>
                <w:rFonts w:ascii="Calibri" w:cs="Calibri" w:eastAsia="Calibri" w:hAnsi="Calibri"/>
                <w:b w:val="false"/>
                <w:bCs w:val="false"/>
                <w:color w:val="000000"/>
                <w:sz w:val="20"/>
                <w:szCs w:val="20"/>
              </w:rPr>
              <w:t xml:space="preserve">/health/live</w:t>
            </w:r>
          </w:p>
        </w:tc>
        <w:tc>
          <w:tcPr>
            <w:tcW w:type="dxa" w:w="2200"/>
          </w:tcPr>
          <w:p>
            <w:r>
              <w:rPr>
                <w:rFonts w:ascii="Calibri" w:cs="Calibri" w:eastAsia="Calibri" w:hAnsi="Calibri"/>
                <w:b w:val="false"/>
                <w:bCs w:val="false"/>
                <w:color w:val="000000"/>
                <w:sz w:val="20"/>
                <w:szCs w:val="20"/>
              </w:rPr>
              <w:t xml:space="preserve">@Liveness</w:t>
            </w:r>
          </w:p>
        </w:tc>
        <w:tc>
          <w:tcPr>
            <w:tcW w:type="dxa" w:w="4200"/>
          </w:tcPr>
          <w:p>
            <w:r>
              <w:rPr>
                <w:rFonts w:ascii="Calibri" w:cs="Calibri" w:eastAsia="Calibri" w:hAnsi="Calibri"/>
                <w:b w:val="false"/>
                <w:bCs w:val="false"/>
                <w:color w:val="000000"/>
                <w:sz w:val="20"/>
                <w:szCs w:val="20"/>
              </w:rPr>
              <w:t xml:space="preserve">Liveness probe: si falla, se reinicia el contenedor.</w:t>
            </w:r>
          </w:p>
        </w:tc>
      </w:tr>
      <w:tr>
        <w:tc>
          <w:tcPr>
            <w:tcW w:type="dxa" w:w="2600"/>
          </w:tcPr>
          <w:p>
            <w:r>
              <w:rPr>
                <w:rFonts w:ascii="Calibri" w:cs="Calibri" w:eastAsia="Calibri" w:hAnsi="Calibri"/>
                <w:b w:val="false"/>
                <w:bCs w:val="false"/>
                <w:color w:val="000000"/>
                <w:sz w:val="20"/>
                <w:szCs w:val="20"/>
              </w:rPr>
              <w:t xml:space="preserve">/health/ready</w:t>
            </w:r>
          </w:p>
        </w:tc>
        <w:tc>
          <w:tcPr>
            <w:tcW w:type="dxa" w:w="2200"/>
          </w:tcPr>
          <w:p>
            <w:r>
              <w:rPr>
                <w:rFonts w:ascii="Calibri" w:cs="Calibri" w:eastAsia="Calibri" w:hAnsi="Calibri"/>
                <w:b w:val="false"/>
                <w:bCs w:val="false"/>
                <w:color w:val="000000"/>
                <w:sz w:val="20"/>
                <w:szCs w:val="20"/>
              </w:rPr>
              <w:t xml:space="preserve">@Readiness</w:t>
            </w:r>
          </w:p>
        </w:tc>
        <w:tc>
          <w:tcPr>
            <w:tcW w:type="dxa" w:w="4200"/>
          </w:tcPr>
          <w:p>
            <w:r>
              <w:rPr>
                <w:rFonts w:ascii="Calibri" w:cs="Calibri" w:eastAsia="Calibri" w:hAnsi="Calibri"/>
                <w:b w:val="false"/>
                <w:bCs w:val="false"/>
                <w:color w:val="000000"/>
                <w:sz w:val="20"/>
                <w:szCs w:val="20"/>
              </w:rPr>
              <w:t xml:space="preserve">Readiness probe: si falla, se saca de la rotación de tráfico (sin reiniciar).</w:t>
            </w:r>
          </w:p>
        </w:tc>
      </w:tr>
      <w:tr>
        <w:tc>
          <w:tcPr>
            <w:tcW w:type="dxa" w:w="2600"/>
          </w:tcPr>
          <w:p>
            <w:r>
              <w:rPr>
                <w:rFonts w:ascii="Calibri" w:cs="Calibri" w:eastAsia="Calibri" w:hAnsi="Calibri"/>
                <w:b w:val="false"/>
                <w:bCs w:val="false"/>
                <w:color w:val="000000"/>
                <w:sz w:val="20"/>
                <w:szCs w:val="20"/>
              </w:rPr>
              <w:t xml:space="preserve">/health/started</w:t>
            </w:r>
          </w:p>
        </w:tc>
        <w:tc>
          <w:tcPr>
            <w:tcW w:type="dxa" w:w="2200"/>
          </w:tcPr>
          <w:p>
            <w:r>
              <w:rPr>
                <w:rFonts w:ascii="Calibri" w:cs="Calibri" w:eastAsia="Calibri" w:hAnsi="Calibri"/>
                <w:b w:val="false"/>
                <w:bCs w:val="false"/>
                <w:color w:val="000000"/>
                <w:sz w:val="20"/>
                <w:szCs w:val="20"/>
              </w:rPr>
              <w:t xml:space="preserve">@Startup</w:t>
            </w:r>
          </w:p>
        </w:tc>
        <w:tc>
          <w:tcPr>
            <w:tcW w:type="dxa" w:w="4200"/>
          </w:tcPr>
          <w:p>
            <w:r>
              <w:rPr>
                <w:rFonts w:ascii="Calibri" w:cs="Calibri" w:eastAsia="Calibri" w:hAnsi="Calibri"/>
                <w:b w:val="false"/>
                <w:bCs w:val="false"/>
                <w:color w:val="000000"/>
                <w:sz w:val="20"/>
                <w:szCs w:val="20"/>
              </w:rPr>
              <w:t xml:space="preserve">Startup probe: retrasa el inicio del liveness probe hasta que la app arrancó.</w:t>
            </w:r>
          </w:p>
        </w:tc>
      </w:tr>
      <w:tr>
        <w:tc>
          <w:tcPr>
            <w:tcW w:type="dxa" w:w="2600"/>
          </w:tcPr>
          <w:p>
            <w:r>
              <w:rPr>
                <w:rFonts w:ascii="Calibri" w:cs="Calibri" w:eastAsia="Calibri" w:hAnsi="Calibri"/>
                <w:b w:val="false"/>
                <w:bCs w:val="false"/>
                <w:color w:val="000000"/>
                <w:sz w:val="20"/>
                <w:szCs w:val="20"/>
              </w:rPr>
              <w:t xml:space="preserve">/health</w:t>
            </w:r>
          </w:p>
        </w:tc>
        <w:tc>
          <w:tcPr>
            <w:tcW w:type="dxa" w:w="2200"/>
          </w:tcPr>
          <w:p>
            <w:r>
              <w:rPr>
                <w:rFonts w:ascii="Calibri" w:cs="Calibri" w:eastAsia="Calibri" w:hAnsi="Calibri"/>
                <w:b w:val="false"/>
                <w:bCs w:val="false"/>
                <w:color w:val="000000"/>
                <w:sz w:val="20"/>
                <w:szCs w:val="20"/>
              </w:rPr>
              <w:t xml:space="preserve">Los tres tipos combinados</w:t>
            </w:r>
          </w:p>
        </w:tc>
        <w:tc>
          <w:tcPr>
            <w:tcW w:type="dxa" w:w="4200"/>
          </w:tcPr>
          <w:p>
            <w:r>
              <w:rPr>
                <w:rFonts w:ascii="Calibri" w:cs="Calibri" w:eastAsia="Calibri" w:hAnsi="Calibri"/>
                <w:b w:val="false"/>
                <w:bCs w:val="false"/>
                <w:color w:val="000000"/>
                <w:sz w:val="20"/>
                <w:szCs w:val="20"/>
              </w:rPr>
              <w:t xml:space="preserve">Vista agregada para diagnóstico humano o dashboards.</w:t>
            </w:r>
          </w:p>
        </w:tc>
      </w:tr>
    </w:tbl>
    <w:p>
      <w:pPr>
        <w:spacing w:after="200"/>
      </w:pPr>
    </w:p>
    <w:p>
      <w:pPr>
        <w:spacing w:after="160"/>
        <w:jc w:val="both"/>
      </w:pPr>
      <w:r>
        <w:rPr>
          <w:rFonts w:ascii="Calibri" w:cs="Calibri" w:eastAsia="Calibri" w:hAnsi="Calibri"/>
          <w:sz w:val="22"/>
          <w:szCs w:val="22"/>
        </w:rPr>
        <w:t xml:space="preserve">El estado global de cada endpoint es la conjunción lógica (AND) de todos los checks que le corresponden: basta con que uno reporte DOWN para que el endpoint completo reporte DOWN. El mapeo a HTTP es estricto:</w:t>
      </w:r>
    </w:p>
    <w:p>
      <w:pPr>
        <w:pStyle w:val="ListParagraph"/>
        <w:numPr>
          <w:ilvl w:val="0"/>
          <w:numId w:val="2"/>
        </w:numPr>
        <w:spacing w:after="80"/>
      </w:pPr>
      <w:r>
        <w:rPr>
          <w:rFonts w:ascii="Calibri" w:cs="Calibri" w:eastAsia="Calibri" w:hAnsi="Calibri"/>
          <w:sz w:val="22"/>
          <w:szCs w:val="22"/>
        </w:rPr>
        <w:t xml:space="preserve">200 OK: estado UP (con su payload JSON).</w:t>
      </w:r>
    </w:p>
    <w:p>
      <w:pPr>
        <w:pStyle w:val="ListParagraph"/>
        <w:numPr>
          <w:ilvl w:val="0"/>
          <w:numId w:val="2"/>
        </w:numPr>
        <w:spacing w:after="80"/>
      </w:pPr>
      <w:r>
        <w:rPr>
          <w:rFonts w:ascii="Calibri" w:cs="Calibri" w:eastAsia="Calibri" w:hAnsi="Calibri"/>
          <w:sz w:val="22"/>
          <w:szCs w:val="22"/>
        </w:rPr>
        <w:t xml:space="preserve">503 Service Unavailable: estado DOWN (uno o más checks fallaron).</w:t>
      </w:r>
    </w:p>
    <w:p>
      <w:pPr>
        <w:pStyle w:val="ListParagraph"/>
        <w:numPr>
          <w:ilvl w:val="0"/>
          <w:numId w:val="2"/>
        </w:numPr>
        <w:spacing w:after="80"/>
      </w:pPr>
      <w:r>
        <w:rPr>
          <w:rFonts w:ascii="Calibri" w:cs="Calibri" w:eastAsia="Calibri" w:hAnsi="Calibri"/>
          <w:sz w:val="22"/>
          <w:szCs w:val="22"/>
        </w:rPr>
        <w:t xml:space="preserve">500 Internal Server Error: el propio productor no pudo procesar el pedido (error no controlado al ejecutar un procedimiento).</w:t>
      </w:r>
    </w:p>
    <w:p>
      <w:pPr>
        <w:spacing w:after="160"/>
        <w:jc w:val="both"/>
      </w:pPr>
      <w:r>
        <w:rPr>
          <w:rFonts w:ascii="Calibri" w:cs="Calibri" w:eastAsia="Calibri" w:hAnsi="Calibri"/>
          <w:sz w:val="22"/>
          <w:szCs w:val="22"/>
        </w:rPr>
        <w:t xml:space="preserve">El payload JSON está normado por un JSON Schema en el Apéndice B de la especificación. Un ejemplo típico:</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w:t>
      </w:r>
      <w:r>
        <w:rPr>
          <w:rFonts w:ascii="Consolas" w:cs="Consolas" w:eastAsia="Consolas" w:hAnsi="Consolas"/>
          <w:sz w:val="19"/>
          <w:szCs w:val="19"/>
        </w:rPr>
        <w:br/>
        <w:t xml:space="preserve">  "status": "DOWN",</w:t>
      </w:r>
      <w:r>
        <w:rPr>
          <w:rFonts w:ascii="Consolas" w:cs="Consolas" w:eastAsia="Consolas" w:hAnsi="Consolas"/>
          <w:sz w:val="19"/>
          <w:szCs w:val="19"/>
        </w:rPr>
        <w:br/>
        <w:t xml:space="preserve">  "checks": [</w:t>
      </w:r>
      <w:r>
        <w:rPr>
          <w:rFonts w:ascii="Consolas" w:cs="Consolas" w:eastAsia="Consolas" w:hAnsi="Consolas"/>
          <w:sz w:val="19"/>
          <w:szCs w:val="19"/>
        </w:rPr>
        <w:br/>
        <w:t xml:space="preserve">    { "name": "BookService-DB", "status": "UP" },</w:t>
      </w:r>
      <w:r>
        <w:rPr>
          <w:rFonts w:ascii="Consolas" w:cs="Consolas" w:eastAsia="Consolas" w:hAnsi="Consolas"/>
          <w:sz w:val="19"/>
          <w:szCs w:val="19"/>
        </w:rPr>
        <w:br/>
        <w:t xml:space="preserve">    {</w:t>
      </w:r>
      <w:r>
        <w:rPr>
          <w:rFonts w:ascii="Consolas" w:cs="Consolas" w:eastAsia="Consolas" w:hAnsi="Consolas"/>
          <w:sz w:val="19"/>
          <w:szCs w:val="19"/>
        </w:rPr>
        <w:br/>
        <w:t xml:space="preserve">      "name": "BookService-AuthorsAPI",</w:t>
      </w:r>
      <w:r>
        <w:rPr>
          <w:rFonts w:ascii="Consolas" w:cs="Consolas" w:eastAsia="Consolas" w:hAnsi="Consolas"/>
          <w:sz w:val="19"/>
          <w:szCs w:val="19"/>
        </w:rPr>
        <w:br/>
        <w:t xml:space="preserve">      "status": "DOWN",</w:t>
      </w:r>
      <w:r>
        <w:rPr>
          <w:rFonts w:ascii="Consolas" w:cs="Consolas" w:eastAsia="Consolas" w:hAnsi="Consolas"/>
          <w:sz w:val="19"/>
          <w:szCs w:val="19"/>
        </w:rPr>
        <w:br/>
        <w:t xml:space="preserve">      "data": { "error": "Cannot reach Authors service" }</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w:t>
      </w:r>
    </w:p>
    <w:p>
      <w:pPr>
        <w:spacing w:after="160"/>
        <w:jc w:val="both"/>
      </w:pPr>
      <w:r>
        <w:rPr>
          <w:rFonts w:ascii="Calibri" w:cs="Calibri" w:eastAsia="Calibri" w:hAnsi="Calibri"/>
          <w:sz w:val="22"/>
          <w:szCs w:val="22"/>
        </w:rPr>
        <w:t xml:space="preserve">Un detalle poco conocido pero relevante en la práctica: si un contenedor todavía no desplegó ningún procedimiento de readiness (por ejemplo, durante el arranque de un runtime que soporta múltiples despliegues), la especificación exige devolver DOWN por defecto para ese caso — salvo que se configure explícitamente la propiedad mp.health.default.readiness.empty.response=UP. Para liveness y startup, en cambio, el comportamiento por defecto sin procedimientos es UP. Además, si un HealthCheck lanza una excepción no controlada, el runtime debe sintetizar una respuesta DOWN usando el nombre de la clase como identificador, en vez de dejar que el error rompa el endpoint.</w:t>
      </w:r>
    </w:p>
    <w:p>
      <w:pPr>
        <w:pStyle w:val="Heading1"/>
        <w:spacing w:after="160" w:before="320"/>
      </w:pPr>
      <w:r>
        <w:t xml:space="preserve">6. Implementación en Quarkus (SmallRye Health)</w:t>
      </w:r>
    </w:p>
    <w:p>
      <w:pPr>
        <w:spacing w:after="160"/>
        <w:jc w:val="both"/>
      </w:pPr>
      <w:r>
        <w:rPr>
          <w:rFonts w:ascii="Calibri" w:cs="Calibri" w:eastAsia="Calibri" w:hAnsi="Calibri"/>
          <w:sz w:val="22"/>
          <w:szCs w:val="22"/>
        </w:rPr>
        <w:t xml:space="preserve">Quarkus implementa la especificación a través de la extensión quarkus-smallrye-health. Basta con agregar la dependencia:</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implementation("io.quarkus:quarkus-smallrye-health")</w:t>
      </w:r>
    </w:p>
    <w:p>
      <w:pPr>
        <w:spacing w:after="160"/>
        <w:jc w:val="both"/>
      </w:pPr>
      <w:r>
        <w:rPr>
          <w:rFonts w:ascii="Calibri" w:cs="Calibri" w:eastAsia="Calibri" w:hAnsi="Calibri"/>
          <w:sz w:val="22"/>
          <w:szCs w:val="22"/>
        </w:rPr>
        <w:t xml:space="preserve">y automáticamente quedan disponibles /q/health, /q/health/live, /q/health/ready y /q/health/started (el prefijo /q/ es la convención de Quarkus para sus endpoints de gestión). Además, Quarkus registra por su cuenta checks de readiness automáticos para varias extensiones: por ejemplo, quarkus-agroal (el pool de conexiones a base de datos) agrega un check de readiness que valida cada datasource configurado sin que el desarrollador tenga que escribir nada — de hecho, en el proyecto esto se ve reflejado como el check "Database connections health check" que aparece junto a los checks propios.</w:t>
      </w:r>
    </w:p>
    <w:p>
      <w:pPr>
        <w:spacing w:after="160"/>
        <w:jc w:val="both"/>
      </w:pPr>
      <w:r>
        <w:rPr>
          <w:rFonts w:ascii="Calibri" w:cs="Calibri" w:eastAsia="Calibri" w:hAnsi="Calibri"/>
          <w:sz w:val="22"/>
          <w:szCs w:val="22"/>
        </w:rPr>
        <w:t xml:space="preserve">Un punto de diseño a tener en cuenta (y que fue justamente uno de los errores corregidos en el proyecto del curso): un check que hace SELECT 1 contra la base de datos debe ir bajo @Readiness, no bajo @Liveness, porque un problema pasajero de conectividad con la base no se soluciona reiniciando el proceso de la aplicación.</w:t>
      </w:r>
    </w:p>
    <w:p>
      <w:pPr>
        <w:pStyle w:val="Heading1"/>
        <w:spacing w:after="160" w:before="320"/>
      </w:pPr>
      <w:r>
        <w:t xml:space="preserve">7. Comparación con Spring Boot Actuator</w:t>
      </w:r>
    </w:p>
    <w:p>
      <w:pPr>
        <w:spacing w:after="160"/>
        <w:jc w:val="both"/>
      </w:pPr>
      <w:r>
        <w:rPr>
          <w:rFonts w:ascii="Calibri" w:cs="Calibri" w:eastAsia="Calibri" w:hAnsi="Calibri"/>
          <w:sz w:val="22"/>
          <w:szCs w:val="22"/>
        </w:rPr>
        <w:t xml:space="preserve">Spring Boot no implementa MicroProfile Health (es una especificación del mundo Jakarta/MicroProfile, ajena al ecosistema Spring), pero Spring Boot Actuator resuelve el mismo problema con un modelo conceptualmente equivalente, aunque con nombres y configuración distintos.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c>
          <w:tcPr>
            <w:tcW w:type="dxa" w:w="2600"/>
            <w:shd w:fill="1F4E79" w:val="clear"/>
          </w:tcPr>
          <w:p>
            <w:r>
              <w:rPr>
                <w:rFonts w:ascii="Calibri" w:cs="Calibri" w:eastAsia="Calibri" w:hAnsi="Calibri"/>
                <w:b/>
                <w:bCs/>
                <w:color w:val="FFFFFF"/>
                <w:sz w:val="20"/>
                <w:szCs w:val="20"/>
              </w:rPr>
              <w:t xml:space="preserve">Concepto</w:t>
            </w:r>
          </w:p>
        </w:tc>
        <w:tc>
          <w:tcPr>
            <w:tcW w:type="dxa" w:w="3200"/>
            <w:shd w:fill="1F4E79" w:val="clear"/>
          </w:tcPr>
          <w:p>
            <w:r>
              <w:rPr>
                <w:rFonts w:ascii="Calibri" w:cs="Calibri" w:eastAsia="Calibri" w:hAnsi="Calibri"/>
                <w:b/>
                <w:bCs/>
                <w:color w:val="FFFFFF"/>
                <w:sz w:val="20"/>
                <w:szCs w:val="20"/>
              </w:rPr>
              <w:t xml:space="preserve">MicroProfile Health (Quarkus)</w:t>
            </w:r>
          </w:p>
        </w:tc>
        <w:tc>
          <w:tcPr>
            <w:tcW w:type="dxa" w:w="3200"/>
            <w:shd w:fill="1F4E79" w:val="clear"/>
          </w:tcPr>
          <w:p>
            <w:r>
              <w:rPr>
                <w:rFonts w:ascii="Calibri" w:cs="Calibri" w:eastAsia="Calibri" w:hAnsi="Calibri"/>
                <w:b/>
                <w:bCs/>
                <w:color w:val="FFFFFF"/>
                <w:sz w:val="20"/>
                <w:szCs w:val="20"/>
              </w:rPr>
              <w:t xml:space="preserve">Spring Boot Actuator</w:t>
            </w:r>
          </w:p>
        </w:tc>
      </w:tr>
      <w:tr>
        <w:tc>
          <w:tcPr>
            <w:tcW w:type="dxa" w:w="2600"/>
          </w:tcPr>
          <w:p>
            <w:r>
              <w:rPr>
                <w:rFonts w:ascii="Calibri" w:cs="Calibri" w:eastAsia="Calibri" w:hAnsi="Calibri"/>
                <w:b w:val="false"/>
                <w:bCs w:val="false"/>
                <w:color w:val="000000"/>
                <w:sz w:val="20"/>
                <w:szCs w:val="20"/>
              </w:rPr>
              <w:t xml:space="preserve">Interfaz a implementar</w:t>
            </w:r>
          </w:p>
        </w:tc>
        <w:tc>
          <w:tcPr>
            <w:tcW w:type="dxa" w:w="3200"/>
          </w:tcPr>
          <w:p>
            <w:r>
              <w:rPr>
                <w:rFonts w:ascii="Calibri" w:cs="Calibri" w:eastAsia="Calibri" w:hAnsi="Calibri"/>
                <w:b w:val="false"/>
                <w:bCs w:val="false"/>
                <w:color w:val="000000"/>
                <w:sz w:val="20"/>
                <w:szCs w:val="20"/>
              </w:rPr>
              <w:t xml:space="preserve">HealthCheck (org.eclipse.microprofile.health)</w:t>
            </w:r>
          </w:p>
        </w:tc>
        <w:tc>
          <w:tcPr>
            <w:tcW w:type="dxa" w:w="3200"/>
          </w:tcPr>
          <w:p>
            <w:r>
              <w:rPr>
                <w:rFonts w:ascii="Calibri" w:cs="Calibri" w:eastAsia="Calibri" w:hAnsi="Calibri"/>
                <w:b w:val="false"/>
                <w:bCs w:val="false"/>
                <w:color w:val="000000"/>
                <w:sz w:val="20"/>
                <w:szCs w:val="20"/>
              </w:rPr>
              <w:t xml:space="preserve">HealthIndicator (org.springframework.boot.actuate.health)</w:t>
            </w:r>
          </w:p>
        </w:tc>
      </w:tr>
      <w:tr>
        <w:tc>
          <w:tcPr>
            <w:tcW w:type="dxa" w:w="2600"/>
          </w:tcPr>
          <w:p>
            <w:r>
              <w:rPr>
                <w:rFonts w:ascii="Calibri" w:cs="Calibri" w:eastAsia="Calibri" w:hAnsi="Calibri"/>
                <w:b w:val="false"/>
                <w:bCs w:val="false"/>
                <w:color w:val="000000"/>
                <w:sz w:val="20"/>
                <w:szCs w:val="20"/>
              </w:rPr>
              <w:t xml:space="preserve">Marcar tipo de check</w:t>
            </w:r>
          </w:p>
        </w:tc>
        <w:tc>
          <w:tcPr>
            <w:tcW w:type="dxa" w:w="3200"/>
          </w:tcPr>
          <w:p>
            <w:r>
              <w:rPr>
                <w:rFonts w:ascii="Calibri" w:cs="Calibri" w:eastAsia="Calibri" w:hAnsi="Calibri"/>
                <w:b w:val="false"/>
                <w:bCs w:val="false"/>
                <w:color w:val="000000"/>
                <w:sz w:val="20"/>
                <w:szCs w:val="20"/>
              </w:rPr>
              <w:t xml:space="preserve">Anotaciones @Liveness / @Readiness / @Startup</w:t>
            </w:r>
          </w:p>
        </w:tc>
        <w:tc>
          <w:tcPr>
            <w:tcW w:type="dxa" w:w="3200"/>
          </w:tcPr>
          <w:p>
            <w:r>
              <w:rPr>
                <w:rFonts w:ascii="Calibri" w:cs="Calibri" w:eastAsia="Calibri" w:hAnsi="Calibri"/>
                <w:b w:val="false"/>
                <w:bCs w:val="false"/>
                <w:color w:val="000000"/>
                <w:sz w:val="20"/>
                <w:szCs w:val="20"/>
              </w:rPr>
              <w:t xml:space="preserve">Grupos de salud (health groups) configurados por propiedades</w:t>
            </w:r>
          </w:p>
        </w:tc>
      </w:tr>
      <w:tr>
        <w:tc>
          <w:tcPr>
            <w:tcW w:type="dxa" w:w="2600"/>
          </w:tcPr>
          <w:p>
            <w:r>
              <w:rPr>
                <w:rFonts w:ascii="Calibri" w:cs="Calibri" w:eastAsia="Calibri" w:hAnsi="Calibri"/>
                <w:b w:val="false"/>
                <w:bCs w:val="false"/>
                <w:color w:val="000000"/>
                <w:sz w:val="20"/>
                <w:szCs w:val="20"/>
              </w:rPr>
              <w:t xml:space="preserve">Endpoints</w:t>
            </w:r>
          </w:p>
        </w:tc>
        <w:tc>
          <w:tcPr>
            <w:tcW w:type="dxa" w:w="3200"/>
          </w:tcPr>
          <w:p>
            <w:r>
              <w:rPr>
                <w:rFonts w:ascii="Calibri" w:cs="Calibri" w:eastAsia="Calibri" w:hAnsi="Calibri"/>
                <w:b w:val="false"/>
                <w:bCs w:val="false"/>
                <w:color w:val="000000"/>
                <w:sz w:val="20"/>
                <w:szCs w:val="20"/>
              </w:rPr>
              <w:t xml:space="preserve">/q/health/live, /q/health/ready, /q/health/started</w:t>
            </w:r>
          </w:p>
        </w:tc>
        <w:tc>
          <w:tcPr>
            <w:tcW w:type="dxa" w:w="3200"/>
          </w:tcPr>
          <w:p>
            <w:r>
              <w:rPr>
                <w:rFonts w:ascii="Calibri" w:cs="Calibri" w:eastAsia="Calibri" w:hAnsi="Calibri"/>
                <w:b w:val="false"/>
                <w:bCs w:val="false"/>
                <w:color w:val="000000"/>
                <w:sz w:val="20"/>
                <w:szCs w:val="20"/>
              </w:rPr>
              <w:t xml:space="preserve">/actuator/health/liveness, /actuator/health/readiness</w:t>
            </w:r>
          </w:p>
        </w:tc>
      </w:tr>
      <w:tr>
        <w:tc>
          <w:tcPr>
            <w:tcW w:type="dxa" w:w="2600"/>
          </w:tcPr>
          <w:p>
            <w:r>
              <w:rPr>
                <w:rFonts w:ascii="Calibri" w:cs="Calibri" w:eastAsia="Calibri" w:hAnsi="Calibri"/>
                <w:b w:val="false"/>
                <w:bCs w:val="false"/>
                <w:color w:val="000000"/>
                <w:sz w:val="20"/>
                <w:szCs w:val="20"/>
              </w:rPr>
              <w:t xml:space="preserve">Activación de probes</w:t>
            </w:r>
          </w:p>
        </w:tc>
        <w:tc>
          <w:tcPr>
            <w:tcW w:type="dxa" w:w="3200"/>
          </w:tcPr>
          <w:p>
            <w:r>
              <w:rPr>
                <w:rFonts w:ascii="Calibri" w:cs="Calibri" w:eastAsia="Calibri" w:hAnsi="Calibri"/>
                <w:b w:val="false"/>
                <w:bCs w:val="false"/>
                <w:color w:val="000000"/>
                <w:sz w:val="20"/>
                <w:szCs w:val="20"/>
              </w:rPr>
              <w:t xml:space="preserve">Automática con la extensión</w:t>
            </w:r>
          </w:p>
        </w:tc>
        <w:tc>
          <w:tcPr>
            <w:tcW w:type="dxa" w:w="3200"/>
          </w:tcPr>
          <w:p>
            <w:r>
              <w:rPr>
                <w:rFonts w:ascii="Calibri" w:cs="Calibri" w:eastAsia="Calibri" w:hAnsi="Calibri"/>
                <w:b w:val="false"/>
                <w:bCs w:val="false"/>
                <w:color w:val="000000"/>
                <w:sz w:val="20"/>
                <w:szCs w:val="20"/>
              </w:rPr>
              <w:t xml:space="preserve">Requiere management.endpoint.health.probes.enabled=true fuera de Kubernetes</w:t>
            </w:r>
          </w:p>
        </w:tc>
      </w:tr>
      <w:tr>
        <w:tc>
          <w:tcPr>
            <w:tcW w:type="dxa" w:w="2600"/>
          </w:tcPr>
          <w:p>
            <w:r>
              <w:rPr>
                <w:rFonts w:ascii="Calibri" w:cs="Calibri" w:eastAsia="Calibri" w:hAnsi="Calibri"/>
                <w:b w:val="false"/>
                <w:bCs w:val="false"/>
                <w:color w:val="000000"/>
                <w:sz w:val="20"/>
                <w:szCs w:val="20"/>
              </w:rPr>
              <w:t xml:space="preserve">Respuesta UP/DOWN</w:t>
            </w:r>
          </w:p>
        </w:tc>
        <w:tc>
          <w:tcPr>
            <w:tcW w:type="dxa" w:w="3200"/>
          </w:tcPr>
          <w:p>
            <w:r>
              <w:rPr>
                <w:rFonts w:ascii="Calibri" w:cs="Calibri" w:eastAsia="Calibri" w:hAnsi="Calibri"/>
                <w:b w:val="false"/>
                <w:bCs w:val="false"/>
                <w:color w:val="000000"/>
                <w:sz w:val="20"/>
                <w:szCs w:val="20"/>
              </w:rPr>
              <w:t xml:space="preserve">JSON estandarizado por el spec (Apéndice B)</w:t>
            </w:r>
          </w:p>
        </w:tc>
        <w:tc>
          <w:tcPr>
            <w:tcW w:type="dxa" w:w="3200"/>
          </w:tcPr>
          <w:p>
            <w:r>
              <w:rPr>
                <w:rFonts w:ascii="Calibri" w:cs="Calibri" w:eastAsia="Calibri" w:hAnsi="Calibri"/>
                <w:b w:val="false"/>
                <w:bCs w:val="false"/>
                <w:color w:val="000000"/>
                <w:sz w:val="20"/>
                <w:szCs w:val="20"/>
              </w:rPr>
              <w:t xml:space="preserve">JSON propio de Spring Boot, no estandarizado por MicroProfile</w:t>
            </w:r>
          </w:p>
        </w:tc>
      </w:tr>
    </w:tbl>
    <w:p>
      <w:pPr>
        <w:spacing w:after="200"/>
      </w:pPr>
    </w:p>
    <w:p>
      <w:pPr>
        <w:spacing w:after="160"/>
        <w:jc w:val="both"/>
      </w:pPr>
      <w:r>
        <w:rPr>
          <w:rFonts w:ascii="Calibri" w:cs="Calibri" w:eastAsia="Calibri" w:hAnsi="Calibri"/>
          <w:sz w:val="22"/>
          <w:szCs w:val="22"/>
        </w:rPr>
        <w:t xml:space="preserve">La diferencia más importante en la práctica, y la que causó un problema real durante el despliegue del proyecto, es la activación de los grupos de liveness/readiness: Spring Boot solo los crea automáticamente cuando detecta que corre dentro de Kubernetes. En Docker Compose esa detección nunca ocurre, así que sin management.endpoint.health.probes.enabled=true, ambas rutas devuelven 404 y cualquier healthcheck de Docker apuntando a ellas nunca puede reportar éxito.</w:t>
      </w:r>
    </w:p>
    <w:p>
      <w:pPr>
        <w:pStyle w:val="Heading1"/>
        <w:spacing w:after="160" w:before="320"/>
      </w:pPr>
      <w:r>
        <w:t xml:space="preserve">8. Aplicación práctica en el proyecto del curso</w:t>
      </w:r>
    </w:p>
    <w:p>
      <w:pPr>
        <w:spacing w:after="160"/>
        <w:jc w:val="both"/>
      </w:pPr>
      <w:r>
        <w:rPr>
          <w:rFonts w:ascii="Calibri" w:cs="Calibri" w:eastAsia="Calibri" w:hAnsi="Calibri"/>
          <w:sz w:val="22"/>
          <w:szCs w:val="22"/>
        </w:rPr>
        <w:t xml:space="preserve">El proyecto está compuesto por tres microservicios — app-authors y app-books en Quarkus, app-customers en Spring Boot — orquestados con Docker Compose junto a PostgreSQL, Consul (service discovery) y Traefik (reverse proxy). Se aplicaron los tres conceptos de la especificación de la siguiente manera:</w:t>
      </w:r>
    </w:p>
    <w:p>
      <w:pPr>
        <w:pStyle w:val="ListParagraph"/>
        <w:numPr>
          <w:ilvl w:val="0"/>
          <w:numId w:val="2"/>
        </w:numPr>
        <w:spacing w:after="80"/>
      </w:pPr>
      <w:r>
        <w:rPr>
          <w:rFonts w:ascii="Calibri" w:cs="Calibri" w:eastAsia="Calibri" w:hAnsi="Calibri"/>
          <w:sz w:val="22"/>
          <w:szCs w:val="22"/>
        </w:rPr>
        <w:t xml:space="preserve">app-authors: un check de @Readiness contra la base de datos (SELECT 1 vía EntityManager) y un check trivial de @Liveness que solo confirma que la capa HTTP responde.</w:t>
      </w:r>
    </w:p>
    <w:p>
      <w:pPr>
        <w:pStyle w:val="ListParagraph"/>
        <w:numPr>
          <w:ilvl w:val="0"/>
          <w:numId w:val="2"/>
        </w:numPr>
        <w:spacing w:after="80"/>
      </w:pPr>
      <w:r>
        <w:rPr>
          <w:rFonts w:ascii="Calibri" w:cs="Calibri" w:eastAsia="Calibri" w:hAnsi="Calibri"/>
          <w:sz w:val="22"/>
          <w:szCs w:val="22"/>
        </w:rPr>
        <w:t xml:space="preserve">app-books: los mismos dos checks anteriores, más un segundo check de @Readiness que llama al endpoint /ping de Authors a través del cliente REST con descubrimiento de servicios por Stork/Consul — si Authors no responde, Books se marca como no-listo, sin necesidad de reiniciarse.</w:t>
      </w:r>
    </w:p>
    <w:p>
      <w:pPr>
        <w:pStyle w:val="ListParagraph"/>
        <w:numPr>
          <w:ilvl w:val="0"/>
          <w:numId w:val="2"/>
        </w:numPr>
        <w:spacing w:after="80"/>
      </w:pPr>
      <w:r>
        <w:rPr>
          <w:rFonts w:ascii="Calibri" w:cs="Calibri" w:eastAsia="Calibri" w:hAnsi="Calibri"/>
          <w:sz w:val="22"/>
          <w:szCs w:val="22"/>
        </w:rPr>
        <w:t xml:space="preserve">app-customers: un HealthIndicator equivalente para la base de datos, incorporado explícitamente al grupo readiness de Spring Boot Actuator (management.endpoint.health.group.readiness.include), para mantener la misma separación de responsabilidades que en los módulos Quarkus.</w:t>
      </w:r>
    </w:p>
    <w:p>
      <w:pPr>
        <w:spacing w:after="160"/>
        <w:jc w:val="both"/>
      </w:pPr>
      <w:r>
        <w:rPr>
          <w:rFonts w:ascii="Calibri" w:cs="Calibri" w:eastAsia="Calibri" w:hAnsi="Calibri"/>
          <w:sz w:val="22"/>
          <w:szCs w:val="22"/>
        </w:rPr>
        <w:t xml:space="preserve">Estos health checks se conectan directamente con el healthcheck de Docker Compose de cada servicio (por ejemplo, wget --spider http://localhost:8080/q/health/ready) y con las condiciones depends_on: condition: service_healthy, que determinan el orden real de arranque del stack: Traefik espera a Consul, Books espera a Authors, y el contenedor web (Nginx) espera a que los tres microservicios estén listos antes de arrancar.</w:t>
      </w:r>
    </w:p>
    <w:p>
      <w:pPr>
        <w:pStyle w:val="Heading1"/>
        <w:spacing w:after="160" w:before="320"/>
      </w:pPr>
      <w:r>
        <w:t xml:space="preserve">9. Conclusión</w:t>
      </w:r>
    </w:p>
    <w:p>
      <w:pPr>
        <w:spacing w:after="160"/>
        <w:jc w:val="both"/>
      </w:pPr>
      <w:r>
        <w:rPr>
          <w:rFonts w:ascii="Calibri" w:cs="Calibri" w:eastAsia="Calibri" w:hAnsi="Calibri"/>
          <w:sz w:val="22"/>
          <w:szCs w:val="22"/>
        </w:rPr>
        <w:t xml:space="preserve">MicroProfile Health resuelve un problema muy concreto de los sistemas distribuidos: dar una respuesta uniforme y accionable a la pregunta "¿este servicio está bien?", distinguiendo con precisión entre un problema que amerita reiniciar el proceso (liveness) y uno que solo amerita dejar de enviarle tráfico (readiness), además de contemplar el caso particular de aplicaciones con arranque lento (startup). Su valor no está solo en el código Java sino en el contrato HTTP/JSON estandarizado, que permite que Kubernetes, Docker o cualquier otro orquestador razone sobre la salud de un servicio sin necesidad de conocer los detalles internos de su implementación. Comprender correctamente la diferencia semántica entre liveness y readiness — y no mezclarlas, como ocurrió inicialmente en este proyecto al poner una verificación de base de datos bajo @Liveness — es la parte más importante de aplicar bien esta especificación, independientemente de si el runtime es Quarkus, Spring Boot u otro.</w:t>
      </w:r>
    </w:p>
    <w:p>
      <w:pPr>
        <w:pStyle w:val="Heading1"/>
        <w:spacing w:after="160" w:before="320"/>
      </w:pPr>
      <w:r>
        <w:t xml:space="preserve">10. Referencias</w:t>
      </w:r>
    </w:p>
    <w:p>
      <w:pPr>
        <w:pStyle w:val="ListParagraph"/>
        <w:numPr>
          <w:ilvl w:val="0"/>
          <w:numId w:val="2"/>
        </w:numPr>
        <w:spacing w:after="80"/>
      </w:pPr>
      <w:r>
        <w:rPr>
          <w:rFonts w:ascii="Calibri" w:cs="Calibri" w:eastAsia="Calibri" w:hAnsi="Calibri"/>
          <w:sz w:val="22"/>
          <w:szCs w:val="22"/>
        </w:rPr>
        <w:t xml:space="preserve">Eclipse Foundation. MicroProfile Health Specification, versión 4.0 (2021). https://download.eclipse.org/microprofile/microprofile-health-4.0/microprofile-health-spec-4.0.html</w:t>
      </w:r>
    </w:p>
    <w:p>
      <w:pPr>
        <w:pStyle w:val="ListParagraph"/>
        <w:numPr>
          <w:ilvl w:val="0"/>
          <w:numId w:val="2"/>
        </w:numPr>
        <w:spacing w:after="80"/>
      </w:pPr>
      <w:r>
        <w:rPr>
          <w:rFonts w:ascii="Calibri" w:cs="Calibri" w:eastAsia="Calibri" w:hAnsi="Calibri"/>
          <w:sz w:val="22"/>
          <w:szCs w:val="22"/>
        </w:rPr>
        <w:t xml:space="preserve">MicroProfile.io. microprofile-health. https://microprofile.io/specifications/microprofile-health/</w:t>
      </w:r>
    </w:p>
    <w:p>
      <w:pPr>
        <w:pStyle w:val="ListParagraph"/>
        <w:numPr>
          <w:ilvl w:val="0"/>
          <w:numId w:val="2"/>
        </w:numPr>
        <w:spacing w:after="80"/>
      </w:pPr>
      <w:r>
        <w:rPr>
          <w:rFonts w:ascii="Calibri" w:cs="Calibri" w:eastAsia="Calibri" w:hAnsi="Calibri"/>
          <w:sz w:val="22"/>
          <w:szCs w:val="22"/>
        </w:rPr>
        <w:t xml:space="preserve">Eclipse Foundation. Repositorio microprofile-health. https://github.com/eclipse/microprofile-health/</w:t>
      </w:r>
    </w:p>
    <w:p>
      <w:pPr>
        <w:pStyle w:val="ListParagraph"/>
        <w:numPr>
          <w:ilvl w:val="0"/>
          <w:numId w:val="2"/>
        </w:numPr>
        <w:spacing w:after="80"/>
      </w:pPr>
      <w:r>
        <w:rPr>
          <w:rFonts w:ascii="Calibri" w:cs="Calibri" w:eastAsia="Calibri" w:hAnsi="Calibri"/>
          <w:sz w:val="22"/>
          <w:szCs w:val="22"/>
        </w:rPr>
        <w:t xml:space="preserve">Red Hat / Quarkus. SmallRye Health Guide. https://quarkus.io/guides/smallrye-health</w:t>
      </w:r>
    </w:p>
    <w:p>
      <w:pPr>
        <w:pStyle w:val="ListParagraph"/>
        <w:numPr>
          <w:ilvl w:val="0"/>
          <w:numId w:val="2"/>
        </w:numPr>
        <w:spacing w:after="80"/>
      </w:pPr>
      <w:r>
        <w:rPr>
          <w:rFonts w:ascii="Calibri" w:cs="Calibri" w:eastAsia="Calibri" w:hAnsi="Calibri"/>
          <w:sz w:val="22"/>
          <w:szCs w:val="22"/>
        </w:rPr>
        <w:t xml:space="preserve">VMware / Spring. Liveness and Readiness Probes with Spring Boot. https://spring.io/blog/2020/03/25/liveness-and-readiness-probes-with-spring-boot/</w:t>
      </w:r>
    </w:p>
    <w:p>
      <w:pPr>
        <w:pStyle w:val="ListParagraph"/>
        <w:numPr>
          <w:ilvl w:val="0"/>
          <w:numId w:val="2"/>
        </w:numPr>
        <w:spacing w:after="80"/>
      </w:pPr>
      <w:r>
        <w:rPr>
          <w:rFonts w:ascii="Calibri" w:cs="Calibri" w:eastAsia="Calibri" w:hAnsi="Calibri"/>
          <w:sz w:val="22"/>
          <w:szCs w:val="22"/>
        </w:rPr>
        <w:t xml:space="preserve">Spring Boot Reference Documentation. Actuator Endpoints. https://docs.spring.io/spring-boot/reference/actuator/endpoints.html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2026-07-18T04:09:52.899Z</dcterms:created>
  <dcterms:modified xsi:type="dcterms:W3CDTF">2026-07-18T04:09:52.946Z</dcterms:modified>
</cp:coreProperties>
</file>

<file path=docProps/custom.xml><?xml version="1.0" encoding="utf-8"?>
<Properties xmlns="http://schemas.openxmlformats.org/officeDocument/2006/custom-properties" xmlns:vt="http://schemas.openxmlformats.org/officeDocument/2006/docPropsVTypes"/>
</file>