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353908A9"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EndPr/>
        <w:sdtContent>
          <w:r w:rsidRPr="00CD3731">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 MERGEFORMAT </w:instrText>
      </w:r>
      <w:r w:rsidR="007E2ADA">
        <w:rPr>
          <w:color w:val="000000"/>
        </w:rPr>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77777777" w:rsidR="00AF6D7D" w:rsidRDefault="00AF6D7D" w:rsidP="00AF6D7D">
      <w:pPr>
        <w:keepNext/>
        <w:widowControl w:val="0"/>
        <w:pBdr>
          <w:top w:val="nil"/>
          <w:left w:val="nil"/>
          <w:bottom w:val="nil"/>
          <w:right w:val="nil"/>
          <w:between w:val="nil"/>
        </w:pBdr>
        <w:spacing w:line="252" w:lineRule="auto"/>
        <w:ind w:firstLine="202"/>
        <w:jc w:val="center"/>
      </w:pPr>
      <w:r>
        <w:rPr>
          <w:noProof/>
          <w:color w:val="000000"/>
        </w:rPr>
        <w:drawing>
          <wp:inline distT="0" distB="0" distL="0" distR="0" wp14:anchorId="54D99C6D" wp14:editId="3574C41C">
            <wp:extent cx="3069204" cy="199860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413" cy="2003300"/>
                    </a:xfrm>
                    <a:prstGeom prst="rect">
                      <a:avLst/>
                    </a:prstGeom>
                    <a:noFill/>
                  </pic:spPr>
                </pic:pic>
              </a:graphicData>
            </a:graphic>
          </wp:inline>
        </w:drawing>
      </w:r>
    </w:p>
    <w:p w14:paraId="084B3697" w14:textId="70A2EB92" w:rsidR="00AF6D7D" w:rsidRPr="00AF6D7D" w:rsidRDefault="00AF6D7D" w:rsidP="00AF6D7D">
      <w:pPr>
        <w:pStyle w:val="Legenda"/>
        <w:jc w:val="center"/>
        <w:rPr>
          <w:b/>
          <w:i w:val="0"/>
          <w:iCs w:val="0"/>
          <w:color w:val="auto"/>
          <w:sz w:val="20"/>
          <w:szCs w:val="20"/>
        </w:rPr>
      </w:pPr>
      <w:bookmarkStart w:id="4" w:name="_Ref107226047"/>
      <w:r w:rsidRPr="00AF6D7D">
        <w:rPr>
          <w:b/>
          <w:i w:val="0"/>
          <w:iCs w:val="0"/>
          <w:color w:val="auto"/>
          <w:sz w:val="20"/>
          <w:szCs w:val="20"/>
        </w:rPr>
        <w:t xml:space="preserve">Fig. </w:t>
      </w:r>
      <w:r w:rsidRPr="00AF6D7D">
        <w:rPr>
          <w:b/>
          <w:i w:val="0"/>
          <w:iCs w:val="0"/>
          <w:color w:val="auto"/>
          <w:sz w:val="20"/>
          <w:szCs w:val="20"/>
        </w:rPr>
        <w:fldChar w:fldCharType="begin"/>
      </w:r>
      <w:r w:rsidRPr="00AF6D7D">
        <w:rPr>
          <w:b/>
          <w:i w:val="0"/>
          <w:iCs w:val="0"/>
          <w:color w:val="auto"/>
          <w:sz w:val="20"/>
          <w:szCs w:val="20"/>
        </w:rPr>
        <w:instrText xml:space="preserve"> SEQ Fig. \* ARABIC </w:instrText>
      </w:r>
      <w:r w:rsidRPr="00AF6D7D">
        <w:rPr>
          <w:b/>
          <w:i w:val="0"/>
          <w:iCs w:val="0"/>
          <w:color w:val="auto"/>
          <w:sz w:val="20"/>
          <w:szCs w:val="20"/>
        </w:rPr>
        <w:fldChar w:fldCharType="separate"/>
      </w:r>
      <w:r w:rsidRPr="00AF6D7D">
        <w:rPr>
          <w:b/>
          <w:i w:val="0"/>
          <w:iCs w:val="0"/>
          <w:color w:val="auto"/>
          <w:sz w:val="20"/>
          <w:szCs w:val="20"/>
        </w:rPr>
        <w:t>1</w:t>
      </w:r>
      <w:r w:rsidRPr="00AF6D7D">
        <w:rPr>
          <w:b/>
          <w:i w:val="0"/>
          <w:iCs w:val="0"/>
          <w:color w:val="auto"/>
          <w:sz w:val="20"/>
          <w:szCs w:val="20"/>
        </w:rPr>
        <w:fldChar w:fldCharType="end"/>
      </w:r>
      <w:bookmarkEnd w:id="4"/>
      <w:r>
        <w:rPr>
          <w:b/>
          <w:i w:val="0"/>
          <w:iCs w:val="0"/>
          <w:color w:val="auto"/>
          <w:sz w:val="20"/>
          <w:szCs w:val="20"/>
        </w:rPr>
        <w:t>.</w:t>
      </w:r>
      <w:r w:rsidRPr="00AF6D7D">
        <w:rPr>
          <w:b/>
          <w:i w:val="0"/>
          <w:iCs w:val="0"/>
          <w:color w:val="auto"/>
          <w:sz w:val="20"/>
          <w:szCs w:val="20"/>
        </w:rPr>
        <w:t xml:space="preserve"> </w:t>
      </w:r>
      <w:r w:rsidRPr="00AF6D7D">
        <w:rPr>
          <w:bCs/>
          <w:i w:val="0"/>
          <w:iCs w:val="0"/>
          <w:color w:val="auto"/>
          <w:sz w:val="20"/>
          <w:szCs w:val="20"/>
        </w:rPr>
        <w:t>Model of short circuit in TPTWS.</w:t>
      </w:r>
    </w:p>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1B38E00B" w:rsidR="007E2ADA" w:rsidRPr="007E2ADA" w:rsidRDefault="007E2ADA" w:rsidP="007E2ADA">
            <w:pPr>
              <w:pStyle w:val="Legenda"/>
              <w:jc w:val="center"/>
              <w:rPr>
                <w:rFonts w:ascii="Cambria Math" w:hAnsi="Cambria Math"/>
                <w:iCs w:val="0"/>
                <w:color w:val="000000"/>
                <w:sz w:val="24"/>
                <w:szCs w:val="24"/>
                <w:lang w:eastAsia="pt-BR"/>
              </w:rPr>
            </w:pPr>
            <w:r w:rsidRPr="007E2ADA">
              <w:rPr>
                <w:rFonts w:ascii="Times New Roman" w:eastAsia="Times New Roman" w:hAnsi="Times New Roman"/>
                <w:i w:val="0"/>
                <w:iCs w:val="0"/>
                <w:color w:val="000000"/>
                <w:sz w:val="20"/>
                <w:szCs w:val="20"/>
                <w:lang w:val="en-US"/>
              </w:rPr>
              <w:t>(</w:t>
            </w:r>
            <w:r w:rsidRPr="007E2ADA">
              <w:rPr>
                <w:i w:val="0"/>
                <w:iCs w:val="0"/>
                <w:color w:val="000000"/>
                <w:sz w:val="20"/>
                <w:szCs w:val="20"/>
              </w:rPr>
              <w:fldChar w:fldCharType="begin"/>
            </w:r>
            <w:r w:rsidRPr="007E2ADA">
              <w:rPr>
                <w:rFonts w:ascii="Times New Roman" w:eastAsia="Times New Roman" w:hAnsi="Times New Roman"/>
                <w:i w:val="0"/>
                <w:iCs w:val="0"/>
                <w:color w:val="000000"/>
                <w:sz w:val="20"/>
                <w:szCs w:val="20"/>
                <w:lang w:val="en-US"/>
              </w:rPr>
              <w:instrText xml:space="preserve"> SEQ ( \* ARABIC </w:instrText>
            </w:r>
            <w:r w:rsidRPr="007E2ADA">
              <w:rPr>
                <w:i w:val="0"/>
                <w:iCs w:val="0"/>
                <w:color w:val="000000"/>
                <w:sz w:val="20"/>
                <w:szCs w:val="20"/>
              </w:rPr>
              <w:fldChar w:fldCharType="separate"/>
            </w:r>
            <w:r w:rsidRPr="007E2ADA">
              <w:rPr>
                <w:rFonts w:ascii="Times New Roman" w:eastAsia="Times New Roman" w:hAnsi="Times New Roman"/>
                <w:i w:val="0"/>
                <w:iCs w:val="0"/>
                <w:color w:val="000000"/>
                <w:sz w:val="20"/>
                <w:szCs w:val="20"/>
                <w:lang w:val="en-US"/>
              </w:rPr>
              <w:t>1</w:t>
            </w:r>
            <w:r w:rsidRPr="007E2ADA">
              <w:rPr>
                <w:i w:val="0"/>
                <w:iCs w:val="0"/>
                <w:color w:val="000000"/>
                <w:sz w:val="20"/>
                <w:szCs w:val="20"/>
              </w:rPr>
              <w:fldChar w:fldCharType="end"/>
            </w:r>
            <w:r w:rsidRPr="007E2ADA">
              <w:rPr>
                <w:rFonts w:ascii="Times New Roman" w:eastAsia="Times New Roman" w:hAnsi="Times New Roman"/>
                <w:i w:val="0"/>
                <w:iCs w:val="0"/>
                <w:color w:val="000000"/>
                <w:sz w:val="20"/>
                <w:szCs w:val="20"/>
                <w:lang w:val="en-US"/>
              </w:rPr>
              <w:t>)</w:t>
            </w:r>
          </w:p>
        </w:tc>
      </w:tr>
    </w:tbl>
    <w:p w14:paraId="5DA30D88" w14:textId="37151D77" w:rsidR="007E2ADA" w:rsidRDefault="00AD4E65" w:rsidP="00CD3731">
      <w:pPr>
        <w:widowControl w:val="0"/>
        <w:pBdr>
          <w:top w:val="nil"/>
          <w:left w:val="nil"/>
          <w:bottom w:val="nil"/>
          <w:right w:val="nil"/>
          <w:between w:val="nil"/>
        </w:pBdr>
        <w:spacing w:line="252" w:lineRule="auto"/>
        <w:ind w:firstLine="202"/>
        <w:jc w:val="both"/>
        <w:rPr>
          <w:color w:val="000000"/>
        </w:rPr>
      </w:pPr>
      <w:r>
        <w:rPr>
          <w:color w:val="000000"/>
        </w:rPr>
        <w:t>The model of the short circuit is characterized for three fault resistances (</w:t>
      </w:r>
      <w:r w:rsidRPr="00AD4E65">
        <w:rPr>
          <w:i/>
          <w:iCs/>
          <w:color w:val="000000"/>
        </w:rPr>
        <w:t>Raf</w:t>
      </w:r>
      <w:r>
        <w:rPr>
          <w:color w:val="000000"/>
        </w:rPr>
        <w:t xml:space="preserve">, </w:t>
      </w:r>
      <w:proofErr w:type="spellStart"/>
      <w:r w:rsidRPr="00AD4E65">
        <w:rPr>
          <w:i/>
          <w:iCs/>
          <w:color w:val="000000"/>
        </w:rPr>
        <w:t>Rbf</w:t>
      </w:r>
      <w:proofErr w:type="spellEnd"/>
      <w:r>
        <w:rPr>
          <w:color w:val="000000"/>
        </w:rPr>
        <w:t xml:space="preserve"> and </w:t>
      </w:r>
      <w:proofErr w:type="spellStart"/>
      <w:r w:rsidRPr="00AD4E65">
        <w:rPr>
          <w:i/>
          <w:iCs/>
          <w:color w:val="000000"/>
        </w:rPr>
        <w:t>Rcf</w:t>
      </w:r>
      <w:proofErr w:type="spellEnd"/>
      <w:r>
        <w:rPr>
          <w:color w:val="000000"/>
        </w:rPr>
        <w:t xml:space="preserve">). For the solid faults, it is possible </w:t>
      </w:r>
      <w:r>
        <w:rPr>
          <w:color w:val="000000"/>
        </w:rPr>
        <w:lastRenderedPageBreak/>
        <w:t>to calculate the fault current considering the following criteria</w:t>
      </w:r>
      <w:r w:rsidR="00D7495E">
        <w:rPr>
          <w:color w:val="000000"/>
        </w:rPr>
        <w:t>,</w:t>
      </w:r>
    </w:p>
    <w:p w14:paraId="4BB63610" w14:textId="67C64B7D" w:rsidR="007E2ADA" w:rsidRDefault="007E2ADA" w:rsidP="00CD3731">
      <w:pPr>
        <w:widowControl w:val="0"/>
        <w:pBdr>
          <w:top w:val="nil"/>
          <w:left w:val="nil"/>
          <w:bottom w:val="nil"/>
          <w:right w:val="nil"/>
          <w:between w:val="nil"/>
        </w:pBdr>
        <w:spacing w:line="252" w:lineRule="auto"/>
        <w:ind w:firstLine="202"/>
        <w:jc w:val="both"/>
        <w:rPr>
          <w:color w:val="000000"/>
        </w:rPr>
      </w:pPr>
    </w:p>
    <w:p w14:paraId="028787DE" w14:textId="34A1A9D1" w:rsidR="00172DE8" w:rsidRDefault="00172DE8" w:rsidP="00172DE8">
      <w:pPr>
        <w:widowControl w:val="0"/>
        <w:pBdr>
          <w:top w:val="nil"/>
          <w:left w:val="nil"/>
          <w:bottom w:val="nil"/>
          <w:right w:val="nil"/>
          <w:between w:val="nil"/>
        </w:pBdr>
        <w:spacing w:line="252" w:lineRule="auto"/>
        <w:ind w:firstLine="202"/>
        <w:jc w:val="center"/>
      </w:pPr>
      <w:r>
        <w:t xml:space="preserve">TABLE </w:t>
      </w:r>
      <w:r>
        <w:fldChar w:fldCharType="begin"/>
      </w:r>
      <w:r w:rsidRPr="00172DE8">
        <w:instrText xml:space="preserve"> SEQ TABLE \* ROMAN </w:instrText>
      </w:r>
      <w:r>
        <w:fldChar w:fldCharType="separate"/>
      </w:r>
      <w:r>
        <w:t>I</w:t>
      </w:r>
      <w:r>
        <w:fldChar w:fldCharType="end"/>
      </w:r>
    </w:p>
    <w:p w14:paraId="38FC94A9" w14:textId="46073FEC" w:rsidR="00172DE8" w:rsidRPr="00172DE8" w:rsidRDefault="00371B8C" w:rsidP="00172DE8">
      <w:pPr>
        <w:widowControl w:val="0"/>
        <w:pBdr>
          <w:top w:val="nil"/>
          <w:left w:val="nil"/>
          <w:bottom w:val="nil"/>
          <w:right w:val="nil"/>
          <w:between w:val="nil"/>
        </w:pBdr>
        <w:spacing w:line="252" w:lineRule="auto"/>
        <w:ind w:firstLine="202"/>
        <w:jc w:val="center"/>
      </w:pPr>
      <w:r>
        <w:rPr>
          <w:smallCaps/>
        </w:rPr>
        <w:t>Criteria used of fault values</w:t>
      </w:r>
    </w:p>
    <w:tbl>
      <w:tblPr>
        <w:tblStyle w:val="Tabelacomgrade"/>
        <w:tblW w:w="0" w:type="auto"/>
        <w:tblLook w:val="04A0" w:firstRow="1" w:lastRow="0" w:firstColumn="1" w:lastColumn="0" w:noHBand="0" w:noVBand="1"/>
      </w:tblPr>
      <w:tblGrid>
        <w:gridCol w:w="1900"/>
        <w:gridCol w:w="960"/>
        <w:gridCol w:w="960"/>
        <w:gridCol w:w="960"/>
      </w:tblGrid>
      <w:tr w:rsidR="00172DE8" w:rsidRPr="00172DE8" w14:paraId="36B67A49" w14:textId="77777777" w:rsidTr="00172DE8">
        <w:trPr>
          <w:trHeight w:val="300"/>
        </w:trPr>
        <w:tc>
          <w:tcPr>
            <w:tcW w:w="1900" w:type="dxa"/>
            <w:noWrap/>
            <w:hideMark/>
          </w:tcPr>
          <w:p w14:paraId="6E9CB297" w14:textId="77777777" w:rsidR="00172DE8" w:rsidRPr="00172DE8" w:rsidRDefault="00172DE8" w:rsidP="00172DE8">
            <w:pPr>
              <w:widowControl w:val="0"/>
              <w:pBdr>
                <w:top w:val="nil"/>
                <w:left w:val="nil"/>
                <w:bottom w:val="nil"/>
                <w:right w:val="nil"/>
                <w:between w:val="nil"/>
              </w:pBdr>
              <w:spacing w:line="252" w:lineRule="auto"/>
              <w:ind w:firstLine="202"/>
              <w:jc w:val="both"/>
              <w:rPr>
                <w:color w:val="000000"/>
              </w:rPr>
            </w:pPr>
          </w:p>
        </w:tc>
        <w:tc>
          <w:tcPr>
            <w:tcW w:w="960" w:type="dxa"/>
            <w:noWrap/>
            <w:hideMark/>
          </w:tcPr>
          <w:p w14:paraId="0C7C4AD6" w14:textId="63DD64CA"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r w:rsidRPr="00D7495E">
              <w:rPr>
                <w:rFonts w:ascii="Times New Roman" w:eastAsia="Times New Roman" w:hAnsi="Times New Roman"/>
                <w:color w:val="000000"/>
                <w:sz w:val="16"/>
                <w:szCs w:val="16"/>
                <w:lang w:val="en-US"/>
              </w:rPr>
              <w:t>Raf</w:t>
            </w:r>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174FB083" w14:textId="129F7388"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Rbf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673350FA" w14:textId="0A1FEE05"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Rcf</w:t>
            </w:r>
            <w:proofErr w:type="spellEnd"/>
            <w:r w:rsidR="00D7495E" w:rsidRPr="00D7495E">
              <w:rPr>
                <w:rFonts w:ascii="Times New Roman" w:eastAsia="Times New Roman" w:hAnsi="Times New Roman"/>
                <w:color w:val="000000"/>
                <w:sz w:val="16"/>
                <w:szCs w:val="16"/>
                <w:lang w:val="en-US"/>
              </w:rPr>
              <w:t xml:space="preserve"> (Ω)</w:t>
            </w:r>
          </w:p>
        </w:tc>
      </w:tr>
      <w:tr w:rsidR="00172DE8" w:rsidRPr="00172DE8" w14:paraId="47AAEF77" w14:textId="77777777" w:rsidTr="00172DE8">
        <w:trPr>
          <w:trHeight w:val="300"/>
        </w:trPr>
        <w:tc>
          <w:tcPr>
            <w:tcW w:w="1900" w:type="dxa"/>
            <w:noWrap/>
            <w:hideMark/>
          </w:tcPr>
          <w:p w14:paraId="117E18D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w:t>
            </w:r>
          </w:p>
        </w:tc>
        <w:tc>
          <w:tcPr>
            <w:tcW w:w="960" w:type="dxa"/>
            <w:noWrap/>
            <w:hideMark/>
          </w:tcPr>
          <w:p w14:paraId="2D8BAD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627F4C3F"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89CEFDE"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7D224340" w14:textId="77777777" w:rsidTr="00172DE8">
        <w:trPr>
          <w:trHeight w:val="300"/>
        </w:trPr>
        <w:tc>
          <w:tcPr>
            <w:tcW w:w="1900" w:type="dxa"/>
            <w:noWrap/>
            <w:hideMark/>
          </w:tcPr>
          <w:p w14:paraId="03B17D94"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960" w:type="dxa"/>
            <w:noWrap/>
            <w:hideMark/>
          </w:tcPr>
          <w:p w14:paraId="4B2B45F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6282591"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D3609C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r>
      <w:tr w:rsidR="00172DE8" w:rsidRPr="00172DE8" w14:paraId="26603B59" w14:textId="77777777" w:rsidTr="00172DE8">
        <w:trPr>
          <w:trHeight w:val="300"/>
        </w:trPr>
        <w:tc>
          <w:tcPr>
            <w:tcW w:w="1900" w:type="dxa"/>
            <w:noWrap/>
            <w:hideMark/>
          </w:tcPr>
          <w:p w14:paraId="267AE949"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960" w:type="dxa"/>
            <w:noWrap/>
            <w:hideMark/>
          </w:tcPr>
          <w:p w14:paraId="545452E3"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1FC9F3D"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1375B9A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6631521B" w14:textId="77777777" w:rsidTr="00172DE8">
        <w:trPr>
          <w:trHeight w:val="300"/>
        </w:trPr>
        <w:tc>
          <w:tcPr>
            <w:tcW w:w="1900" w:type="dxa"/>
            <w:noWrap/>
            <w:hideMark/>
          </w:tcPr>
          <w:p w14:paraId="54D18C9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960" w:type="dxa"/>
            <w:noWrap/>
            <w:hideMark/>
          </w:tcPr>
          <w:p w14:paraId="060B4CB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7A8B6D8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1F605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bl>
    <w:p w14:paraId="3D4AE40F" w14:textId="7965DC27" w:rsidR="00172DE8" w:rsidRDefault="00172DE8" w:rsidP="00CD3731">
      <w:pPr>
        <w:widowControl w:val="0"/>
        <w:pBdr>
          <w:top w:val="nil"/>
          <w:left w:val="nil"/>
          <w:bottom w:val="nil"/>
          <w:right w:val="nil"/>
          <w:between w:val="nil"/>
        </w:pBdr>
        <w:spacing w:line="252" w:lineRule="auto"/>
        <w:ind w:firstLine="202"/>
        <w:jc w:val="both"/>
        <w:rPr>
          <w:color w:val="000000"/>
        </w:rPr>
      </w:pPr>
    </w:p>
    <w:p w14:paraId="3411BA0E" w14:textId="78DAE8B5" w:rsidR="00172DE8" w:rsidRDefault="00172DE8" w:rsidP="00CD3731">
      <w:pPr>
        <w:widowControl w:val="0"/>
        <w:pBdr>
          <w:top w:val="nil"/>
          <w:left w:val="nil"/>
          <w:bottom w:val="nil"/>
          <w:right w:val="nil"/>
          <w:between w:val="nil"/>
        </w:pBdr>
        <w:spacing w:line="252" w:lineRule="auto"/>
        <w:ind w:firstLine="202"/>
        <w:jc w:val="both"/>
        <w:rPr>
          <w:color w:val="000000"/>
        </w:rPr>
      </w:pPr>
    </w:p>
    <w:p w14:paraId="011E50E2" w14:textId="77777777" w:rsidR="00A13AAE" w:rsidRPr="00CD3731" w:rsidRDefault="00A13AAE" w:rsidP="00CD3731">
      <w:pPr>
        <w:widowControl w:val="0"/>
        <w:pBdr>
          <w:top w:val="nil"/>
          <w:left w:val="nil"/>
          <w:bottom w:val="nil"/>
          <w:right w:val="nil"/>
          <w:between w:val="nil"/>
        </w:pBdr>
        <w:spacing w:line="252" w:lineRule="auto"/>
        <w:ind w:firstLine="202"/>
        <w:jc w:val="both"/>
        <w:rPr>
          <w:color w:val="000000"/>
        </w:rPr>
      </w:pP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 xml:space="preserve">Define abbreviations and acronyms the first time they are used in the text, even after they have already been defined in the abstract. Abbreviations such as IEEE, SI, ac, and dc do not </w:t>
      </w:r>
      <w:r>
        <w:rPr>
          <w:color w:val="000000"/>
        </w:rPr>
        <w:t>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w:t>
      </w:r>
      <w:r w:rsidRPr="00DB3364">
        <w:rPr>
          <w:rFonts w:ascii="Times" w:eastAsia="Times" w:hAnsi="Times" w:cs="Times"/>
          <w:color w:val="000000"/>
        </w:rPr>
        <w:lastRenderedPageBreak/>
        <w:t xml:space="preserve">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pt;height:6.1pt;mso-width-percent:0;mso-height-percent:0;mso-width-percent:0;mso-height-percent:0" o:ole="" fillcolor="window">
            <v:imagedata r:id="rId22" o:title=""/>
          </v:shape>
          <o:OLEObject Type="Embed" ProgID="Equation.3" ShapeID="_x0000_i1025" DrawAspect="Content" ObjectID="_1718630633" r:id="rId23"/>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w:t>
      </w:r>
      <w:r w:rsidRPr="00EF6430">
        <w:rPr>
          <w:rFonts w:ascii="Times" w:eastAsia="Times" w:hAnsi="Times" w:cs="Times"/>
          <w:color w:val="000000"/>
        </w:rPr>
        <w:lastRenderedPageBreak/>
        <w:t xml:space="preserve">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5" w:name="_heading=h.ji51hl1e8dp3" w:colFirst="0" w:colLast="0"/>
      <w:bookmarkEnd w:id="5"/>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4">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w:t>
      </w:r>
      <w:r>
        <w:lastRenderedPageBreak/>
        <w:t>Manuscripts peer review site using the tools listed at</w:t>
      </w:r>
      <w:r w:rsidR="00E57D3D">
        <w:t xml:space="preserve"> </w:t>
      </w:r>
      <w:hyperlink r:id="rId25">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6">
        <w:r>
          <w:rPr>
            <w:color w:val="1155CC"/>
            <w:highlight w:val="white"/>
            <w:u w:val="single"/>
          </w:rPr>
          <w:t>https://www.ieee.org/publications/rights/index.html</w:t>
        </w:r>
      </w:hyperlink>
      <w:hyperlink r:id="rId27">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8">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lastRenderedPageBreak/>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7AB7" w14:textId="77777777" w:rsidR="00411FD7" w:rsidRDefault="00411FD7">
      <w:r>
        <w:separator/>
      </w:r>
    </w:p>
  </w:endnote>
  <w:endnote w:type="continuationSeparator" w:id="0">
    <w:p w14:paraId="44FD909E" w14:textId="77777777" w:rsidR="00411FD7" w:rsidRDefault="00411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6D2B" w14:textId="77777777" w:rsidR="00411FD7" w:rsidRPr="009A0AA6" w:rsidRDefault="00411FD7" w:rsidP="009A0AA6">
      <w:pPr>
        <w:pStyle w:val="Rodap"/>
      </w:pPr>
    </w:p>
  </w:footnote>
  <w:footnote w:type="continuationSeparator" w:id="0">
    <w:p w14:paraId="4B7E6D5F" w14:textId="77777777" w:rsidR="00411FD7" w:rsidRDefault="00411FD7">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400E8"/>
    <w:rsid w:val="00152AB3"/>
    <w:rsid w:val="00170C54"/>
    <w:rsid w:val="00172DE8"/>
    <w:rsid w:val="001743EC"/>
    <w:rsid w:val="001B0334"/>
    <w:rsid w:val="001E7EDB"/>
    <w:rsid w:val="001F512A"/>
    <w:rsid w:val="00285E41"/>
    <w:rsid w:val="003134AC"/>
    <w:rsid w:val="00357347"/>
    <w:rsid w:val="0036091A"/>
    <w:rsid w:val="00371B8C"/>
    <w:rsid w:val="004063A4"/>
    <w:rsid w:val="00411FD7"/>
    <w:rsid w:val="004405A8"/>
    <w:rsid w:val="00474613"/>
    <w:rsid w:val="005A59AD"/>
    <w:rsid w:val="005B43C2"/>
    <w:rsid w:val="005C68BC"/>
    <w:rsid w:val="005E2D10"/>
    <w:rsid w:val="005F4497"/>
    <w:rsid w:val="006514FE"/>
    <w:rsid w:val="00660F88"/>
    <w:rsid w:val="00694E0B"/>
    <w:rsid w:val="006B03FF"/>
    <w:rsid w:val="006E42E3"/>
    <w:rsid w:val="007054D1"/>
    <w:rsid w:val="00732E46"/>
    <w:rsid w:val="00771AA2"/>
    <w:rsid w:val="007E2ADA"/>
    <w:rsid w:val="007F4FB6"/>
    <w:rsid w:val="0080720F"/>
    <w:rsid w:val="00874977"/>
    <w:rsid w:val="008E4F03"/>
    <w:rsid w:val="00932FBA"/>
    <w:rsid w:val="0096199E"/>
    <w:rsid w:val="0097030A"/>
    <w:rsid w:val="009A0AA6"/>
    <w:rsid w:val="00A13AAE"/>
    <w:rsid w:val="00A41540"/>
    <w:rsid w:val="00A530D2"/>
    <w:rsid w:val="00A6122B"/>
    <w:rsid w:val="00A80BDA"/>
    <w:rsid w:val="00A853F3"/>
    <w:rsid w:val="00AB4C22"/>
    <w:rsid w:val="00AD4E65"/>
    <w:rsid w:val="00AE4311"/>
    <w:rsid w:val="00AF6D7D"/>
    <w:rsid w:val="00B07BB7"/>
    <w:rsid w:val="00B64CA5"/>
    <w:rsid w:val="00BC69FB"/>
    <w:rsid w:val="00BF79C2"/>
    <w:rsid w:val="00CD3731"/>
    <w:rsid w:val="00D7495E"/>
    <w:rsid w:val="00D9310D"/>
    <w:rsid w:val="00DA34C3"/>
    <w:rsid w:val="00DB3364"/>
    <w:rsid w:val="00DC758F"/>
    <w:rsid w:val="00DF6629"/>
    <w:rsid w:val="00E45781"/>
    <w:rsid w:val="00E5449B"/>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682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5" Type="http://schemas.openxmlformats.org/officeDocument/2006/relationships/hyperlink" Target="http://www.ieee.org/publications_standards/publications/authors/authors_submission.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hyperlink" Target="https://journals.ieeeauthorcenter.ieee.org/create-your-ieee-journal-article/create-the-text-of-your-article/ieee-editorial-style-manu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oleObject" Target="embeddings/oleObject1.bin"/><Relationship Id="rId28" Type="http://schemas.openxmlformats.org/officeDocument/2006/relationships/hyperlink" Target="https://journals.ieeeauthorcenter.ieee.org/become-an-ieee-journal-author/publishing-ethics/guidelines-and-policies/" TargetMode="External"/><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wmf"/><Relationship Id="rId27" Type="http://schemas.openxmlformats.org/officeDocument/2006/relationships/hyperlink" Target="https://www.ieee.org/publications/rights/index.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384BB6"/>
    <w:rsid w:val="00831365"/>
    <w:rsid w:val="00A22181"/>
    <w:rsid w:val="00B24483"/>
    <w:rsid w:val="00DB6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4715</Words>
  <Characters>25466</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16</cp:revision>
  <dcterms:created xsi:type="dcterms:W3CDTF">2021-09-21T14:19:00Z</dcterms:created>
  <dcterms:modified xsi:type="dcterms:W3CDTF">2022-07-06T19:37:00Z</dcterms:modified>
</cp:coreProperties>
</file>