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rFonts w:ascii="Arial" w:cs="Arial" w:eastAsia="Arial" w:hAnsi="Arial"/>
          <w:sz w:val="24"/>
          <w:szCs w:val="24"/>
        </w:rPr>
      </w:pPr>
      <w:r w:rsidDel="00000000" w:rsidR="00000000" w:rsidRPr="00000000">
        <w:rPr>
          <w:rFonts w:ascii="Arial" w:cs="Arial" w:eastAsia="Arial" w:hAnsi="Arial"/>
          <w:b w:val="1"/>
          <w:bCs w:val="1"/>
          <w:color w:val="17365d"/>
          <w:sz w:val="24"/>
          <w:szCs w:val="24"/>
          <w:rtl w:val="0"/>
        </w:rPr>
        <w:t xml:space="preserve">UNIVERSIDAD CATOLICA BOLIVIANA "SAN PABLO"</w:t>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Fonts w:ascii="Arial" w:cs="Arial" w:eastAsia="Arial" w:hAnsi="Arial"/>
          <w:b w:val="1"/>
          <w:bCs w:val="1"/>
          <w:color w:val="1f4e79"/>
          <w:sz w:val="24"/>
          <w:szCs w:val="24"/>
          <w:rtl w:val="0"/>
        </w:rPr>
        <w:t xml:space="preserve">Taller de Sistemas Inteligentes</w:t>
      </w:r>
      <w:r w:rsidDel="00000000" w:rsidR="00000000" w:rsidRPr="00000000">
        <w:rPr>
          <w:rtl w:val="0"/>
        </w:rPr>
      </w:r>
    </w:p>
    <w:p w:rsidR="00000000" w:rsidDel="00000000" w:rsidP="00000000" w:rsidRDefault="00000000" w:rsidRPr="00000000" w14:paraId="00000003">
      <w:pPr>
        <w:jc w:val="center"/>
        <w:rPr>
          <w:rFonts w:ascii="Arial" w:cs="Arial" w:eastAsia="Arial" w:hAnsi="Arial"/>
          <w:color w:val="1f4e79"/>
          <w:sz w:val="24"/>
          <w:szCs w:val="24"/>
        </w:rPr>
      </w:pPr>
      <w:r w:rsidDel="00000000" w:rsidR="00000000" w:rsidRPr="00000000">
        <w:rPr>
          <w:rFonts w:ascii="Arial" w:cs="Arial" w:eastAsia="Arial" w:hAnsi="Arial"/>
          <w:b w:val="1"/>
          <w:bCs w:val="1"/>
          <w:color w:val="17365d"/>
          <w:sz w:val="24"/>
          <w:szCs w:val="24"/>
          <w:rtl w:val="0"/>
        </w:rPr>
        <w:t xml:space="preserve">Laboratorio: RAG minimo viable con Azure</w:t>
      </w:r>
      <w:r w:rsidDel="00000000" w:rsidR="00000000" w:rsidRPr="00000000">
        <w:rPr>
          <w:rtl w:val="0"/>
        </w:rPr>
      </w:r>
    </w:p>
    <w:p w:rsidR="00000000" w:rsidDel="00000000" w:rsidP="00000000" w:rsidRDefault="00000000" w:rsidRPr="00000000" w14:paraId="00000004">
      <w:pPr>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Leonardo Ibarra López</w:t>
      </w:r>
    </w:p>
    <w:p w:rsidR="00000000" w:rsidDel="00000000" w:rsidP="00000000" w:rsidRDefault="00000000" w:rsidRPr="00000000" w14:paraId="00000005">
      <w:pPr>
        <w:jc w:val="lef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GitHub: </w:t>
      </w:r>
      <w:hyperlink r:id="rId6">
        <w:r w:rsidDel="00000000" w:rsidR="00000000" w:rsidRPr="00000000">
          <w:rPr>
            <w:rFonts w:ascii="Arial" w:cs="Arial" w:eastAsia="Arial" w:hAnsi="Arial"/>
            <w:color w:val="1155cc"/>
            <w:sz w:val="24"/>
            <w:szCs w:val="24"/>
            <w:u w:val="single"/>
            <w:rtl w:val="0"/>
          </w:rPr>
          <w:t xml:space="preserve">https://github.com/LeonardoIbarraLopez-ofc/tsi-rag-azure-starter</w:t>
        </w:r>
      </w:hyperlink>
      <w:r w:rsidDel="00000000" w:rsidR="00000000" w:rsidRPr="00000000">
        <w:rPr>
          <w:rtl w:val="0"/>
        </w:rPr>
      </w:r>
    </w:p>
    <w:p w:rsidR="00000000" w:rsidDel="00000000" w:rsidP="00000000" w:rsidRDefault="00000000" w:rsidRPr="00000000" w14:paraId="00000006">
      <w:pPr>
        <w:pStyle w:val="Heading1"/>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Evidencias</w:t>
      </w:r>
    </w:p>
    <w:p w:rsidR="00000000" w:rsidDel="00000000" w:rsidP="00000000" w:rsidRDefault="00000000" w:rsidRPr="00000000" w14:paraId="00000007">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1. Preflight local</w:t>
      </w:r>
    </w:p>
    <w:p w:rsidR="00000000" w:rsidDel="00000000" w:rsidP="00000000" w:rsidRDefault="00000000" w:rsidRPr="00000000" w14:paraId="00000008">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838200"/>
            <wp:effectExtent b="0" l="0" r="0" t="0"/>
            <wp:docPr id="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45541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2. Pruebas automatizadas</w:t>
      </w:r>
    </w:p>
    <w:p w:rsidR="00000000" w:rsidDel="00000000" w:rsidP="00000000" w:rsidRDefault="00000000" w:rsidRPr="00000000" w14:paraId="0000000B">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19431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45541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Azure AI Search</w:t>
      </w:r>
    </w:p>
    <w:p w:rsidR="00000000" w:rsidDel="00000000" w:rsidP="00000000" w:rsidRDefault="00000000" w:rsidRPr="00000000" w14:paraId="0000000D">
      <w:pPr>
        <w:ind w:left="720" w:firstLine="0"/>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6455410" cy="6350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5541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1.4. API </w:t>
      </w:r>
      <w:r w:rsidDel="00000000" w:rsidR="00000000" w:rsidRPr="00000000">
        <w:rPr>
          <w:rFonts w:ascii="Arial" w:cs="Arial" w:eastAsia="Arial" w:hAnsi="Arial"/>
          <w:b w:val="1"/>
          <w:bCs w:val="1"/>
          <w:color w:val="000000"/>
          <w:sz w:val="24"/>
          <w:szCs w:val="24"/>
          <w:rtl w:val="0"/>
        </w:rPr>
        <w:t xml:space="preserve">/health</w:t>
      </w:r>
    </w:p>
    <w:p w:rsidR="00000000" w:rsidDel="00000000" w:rsidP="00000000" w:rsidRDefault="00000000" w:rsidRPr="00000000" w14:paraId="0000000F">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116840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45541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  Consulta RAG desde la interfaz</w:t>
      </w:r>
    </w:p>
    <w:p w:rsidR="00000000" w:rsidDel="00000000" w:rsidP="00000000" w:rsidRDefault="00000000" w:rsidRPr="00000000" w14:paraId="00000012">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52070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5541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ind w:left="72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1.6. Endpoint </w:t>
      </w:r>
      <w:r w:rsidDel="00000000" w:rsidR="00000000" w:rsidRPr="00000000">
        <w:rPr>
          <w:rFonts w:ascii="Arial" w:cs="Arial" w:eastAsia="Arial" w:hAnsi="Arial"/>
          <w:b w:val="1"/>
          <w:bCs w:val="1"/>
          <w:color w:val="000000"/>
          <w:sz w:val="24"/>
          <w:szCs w:val="24"/>
          <w:rtl w:val="0"/>
        </w:rPr>
        <w:t xml:space="preserve">/search</w:t>
      </w:r>
    </w:p>
    <w:p w:rsidR="00000000" w:rsidDel="00000000" w:rsidP="00000000" w:rsidRDefault="00000000" w:rsidRPr="00000000" w14:paraId="00000015">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991100" cy="180022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91100" cy="1800225"/>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6455410" cy="31496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45541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1.7. Comparación de retrieval</w:t>
      </w:r>
    </w:p>
    <w:p w:rsidR="00000000" w:rsidDel="00000000" w:rsidP="00000000" w:rsidRDefault="00000000" w:rsidRPr="00000000" w14:paraId="00000018">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5715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45541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1.8. Preguntas sin evidencia</w:t>
      </w:r>
    </w:p>
    <w:p w:rsidR="00000000" w:rsidDel="00000000" w:rsidP="00000000" w:rsidRDefault="00000000" w:rsidRPr="00000000" w14:paraId="0000001B">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461068" cy="3751797"/>
            <wp:effectExtent b="0" l="0" r="0" t="0"/>
            <wp:docPr id="1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461068" cy="3751797"/>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3572779" cy="3763328"/>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572779" cy="376332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D">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1.9. Seguridad y prompt injection</w:t>
      </w:r>
    </w:p>
    <w:p w:rsidR="00000000" w:rsidDel="00000000" w:rsidP="00000000" w:rsidRDefault="00000000" w:rsidRPr="00000000" w14:paraId="0000001E">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115570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45541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1.10. Logs de observabilidad</w:t>
      </w:r>
    </w:p>
    <w:p w:rsidR="00000000" w:rsidDel="00000000" w:rsidP="00000000" w:rsidRDefault="00000000" w:rsidRPr="00000000" w14:paraId="00000021">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3771900"/>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45541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3">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1.11. Prueba E2E con Playwright</w:t>
      </w:r>
    </w:p>
    <w:p w:rsidR="00000000" w:rsidDel="00000000" w:rsidP="00000000" w:rsidRDefault="00000000" w:rsidRPr="00000000" w14:paraId="00000024">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8255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45541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1.12. Docker build, ejecución y /health</w:t>
        <w:br w:type="textWrapping"/>
      </w:r>
      <w:r w:rsidDel="00000000" w:rsidR="00000000" w:rsidRPr="00000000">
        <w:rPr>
          <w:rFonts w:ascii="Arial" w:cs="Arial" w:eastAsia="Arial" w:hAnsi="Arial"/>
          <w:b w:val="1"/>
          <w:bCs w:val="1"/>
          <w:sz w:val="24"/>
          <w:szCs w:val="24"/>
        </w:rPr>
        <w:drawing>
          <wp:inline distB="114300" distT="114300" distL="114300" distR="114300">
            <wp:extent cx="6463855" cy="1363321"/>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463855" cy="136332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698500"/>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45541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455410" cy="24130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45541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A">
      <w:pPr>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1.13. ADR, Experiment Log, checklist y reportes</w:t>
      </w:r>
    </w:p>
    <w:p w:rsidR="00000000" w:rsidDel="00000000" w:rsidP="00000000" w:rsidRDefault="00000000" w:rsidRPr="00000000" w14:paraId="0000002B">
      <w:pPr>
        <w:numPr>
          <w:ilvl w:val="0"/>
          <w:numId w:val="2"/>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docs/evidence_plan.md: matriz de evidencias, comandos y resultados esperados.</w:t>
      </w:r>
    </w:p>
    <w:p w:rsidR="00000000" w:rsidDel="00000000" w:rsidP="00000000" w:rsidRDefault="00000000" w:rsidRPr="00000000" w14:paraId="0000002C">
      <w:pPr>
        <w:numPr>
          <w:ilvl w:val="0"/>
          <w:numId w:val="2"/>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docs/deliverables_checklist.md: checklist de entrega.</w:t>
      </w:r>
    </w:p>
    <w:p w:rsidR="00000000" w:rsidDel="00000000" w:rsidP="00000000" w:rsidRDefault="00000000" w:rsidRPr="00000000" w14:paraId="0000002D">
      <w:pPr>
        <w:numPr>
          <w:ilvl w:val="0"/>
          <w:numId w:val="2"/>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docs/azure_route_status.md: ruta Azure y evidencia ejecutada.</w:t>
      </w:r>
    </w:p>
    <w:p w:rsidR="00000000" w:rsidDel="00000000" w:rsidP="00000000" w:rsidRDefault="00000000" w:rsidRPr="00000000" w14:paraId="0000002E">
      <w:pPr>
        <w:numPr>
          <w:ilvl w:val="0"/>
          <w:numId w:val="2"/>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docs/adr_rag.md: decisión arquitectónica.</w:t>
      </w:r>
    </w:p>
    <w:p w:rsidR="00000000" w:rsidDel="00000000" w:rsidP="00000000" w:rsidRDefault="00000000" w:rsidRPr="00000000" w14:paraId="0000002F">
      <w:pPr>
        <w:numPr>
          <w:ilvl w:val="0"/>
          <w:numId w:val="2"/>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docs/experiment_log.md: experimentos y métricas.</w:t>
      </w:r>
    </w:p>
    <w:p w:rsidR="00000000" w:rsidDel="00000000" w:rsidP="00000000" w:rsidRDefault="00000000" w:rsidRPr="00000000" w14:paraId="00000030">
      <w:pPr>
        <w:numPr>
          <w:ilvl w:val="0"/>
          <w:numId w:val="2"/>
        </w:numPr>
        <w:spacing w:after="0" w:afterAutospacing="0"/>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tests/golden_set.json: preguntas evaluables.</w:t>
      </w:r>
    </w:p>
    <w:p w:rsidR="00000000" w:rsidDel="00000000" w:rsidP="00000000" w:rsidRDefault="00000000" w:rsidRPr="00000000" w14:paraId="00000031">
      <w:pPr>
        <w:numPr>
          <w:ilvl w:val="0"/>
          <w:numId w:val="2"/>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reports/golden_set_results.csv/json: reportes de evaluación cuando se ejecuten.</w:t>
      </w:r>
    </w:p>
    <w:p w:rsidR="00000000" w:rsidDel="00000000" w:rsidP="00000000" w:rsidRDefault="00000000" w:rsidRPr="00000000" w14:paraId="00000032">
      <w:pP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pStyle w:val="Heading1"/>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Preguntas de reflexión</w:t>
      </w:r>
    </w:p>
    <w:p w:rsidR="00000000" w:rsidDel="00000000" w:rsidP="00000000" w:rsidRDefault="00000000" w:rsidRPr="00000000" w14:paraId="00000034">
      <w:pPr>
        <w:spacing w:after="60" w:lineRule="auto"/>
        <w:ind w:left="259" w:hanging="259"/>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w:t>
      </w:r>
      <w:r w:rsidDel="00000000" w:rsidR="00000000" w:rsidRPr="00000000">
        <w:rPr>
          <w:rFonts w:ascii="Arial" w:cs="Arial" w:eastAsia="Arial" w:hAnsi="Arial"/>
          <w:sz w:val="24"/>
          <w:szCs w:val="24"/>
          <w:rtl w:val="0"/>
        </w:rPr>
        <w:t xml:space="preserve">¿En su corpus, hybrid superó realmente a keyword y vector? Muestre evidencia.</w:t>
      </w:r>
    </w:p>
    <w:p w:rsidR="00000000" w:rsidDel="00000000" w:rsidP="00000000" w:rsidRDefault="00000000" w:rsidRPr="00000000" w14:paraId="00000035">
      <w:pPr>
        <w:spacing w:after="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corpus se comparó: keyword, vector y hybrid. Hybrid combina las dos señales y fue el modo más equilibrado, sobre todo cuando la pregunta tenía palabras relacionadas pero no exactamente iguales a las del documento. Pero en algunas preguntas keyword puede funcionar incluso mejor. La evidencia está en reports/golden_set_results.csv y en el resumen generado por evaluate_golden_set.py.</w:t>
      </w:r>
    </w:p>
    <w:p w:rsidR="00000000" w:rsidDel="00000000" w:rsidP="00000000" w:rsidRDefault="00000000" w:rsidRPr="00000000" w14:paraId="00000036">
      <w:pPr>
        <w:spacing w:after="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60" w:lineRule="auto"/>
        <w:ind w:left="259" w:hanging="259"/>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w:t>
      </w:r>
      <w:r w:rsidDel="00000000" w:rsidR="00000000" w:rsidRPr="00000000">
        <w:rPr>
          <w:rFonts w:ascii="Arial" w:cs="Arial" w:eastAsia="Arial" w:hAnsi="Arial"/>
          <w:sz w:val="24"/>
          <w:szCs w:val="24"/>
          <w:rtl w:val="0"/>
        </w:rPr>
        <w:t xml:space="preserve">¿Que cambio de chunking produjo el mayor efecto y por qué?</w:t>
      </w:r>
    </w:p>
    <w:p w:rsidR="00000000" w:rsidDel="00000000" w:rsidP="00000000" w:rsidRDefault="00000000" w:rsidRPr="00000000" w14:paraId="00000038">
      <w:pPr>
        <w:spacing w:after="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cambio de chunking fue usar chunks de 900 caracteres con un overlap de 120. Permitiendo conservar suficiente contexto entre fragmentos sin generar documentos demasiado grandes. Para saber con seguridad su óptimo rendimiento, habría que comparar con, por ejemplo, 500, 900 y 1200 caracteres usando el mismo golden set.</w:t>
      </w:r>
    </w:p>
    <w:p w:rsidR="00000000" w:rsidDel="00000000" w:rsidP="00000000" w:rsidRDefault="00000000" w:rsidRPr="00000000" w14:paraId="00000039">
      <w:pPr>
        <w:spacing w:after="60" w:lineRule="auto"/>
        <w:ind w:left="259" w:hanging="25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60" w:lineRule="auto"/>
        <w:ind w:left="259" w:hanging="259"/>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w:t>
      </w:r>
      <w:r w:rsidDel="00000000" w:rsidR="00000000" w:rsidRPr="00000000">
        <w:rPr>
          <w:rFonts w:ascii="Arial" w:cs="Arial" w:eastAsia="Arial" w:hAnsi="Arial"/>
          <w:sz w:val="24"/>
          <w:szCs w:val="24"/>
          <w:rtl w:val="0"/>
        </w:rPr>
        <w:t xml:space="preserve">¿Qué ocurrió con las preguntas sin evidencia?</w:t>
      </w:r>
    </w:p>
    <w:p w:rsidR="00000000" w:rsidDel="00000000" w:rsidP="00000000" w:rsidRDefault="00000000" w:rsidRPr="00000000" w14:paraId="0000003B">
      <w:pPr>
        <w:spacing w:after="60" w:lineRule="auto"/>
        <w:ind w:left="259" w:hanging="259"/>
        <w:rPr>
          <w:rFonts w:ascii="Arial" w:cs="Arial" w:eastAsia="Arial" w:hAnsi="Arial"/>
          <w:sz w:val="24"/>
          <w:szCs w:val="24"/>
        </w:rPr>
      </w:pPr>
      <w:r w:rsidDel="00000000" w:rsidR="00000000" w:rsidRPr="00000000">
        <w:rPr>
          <w:rFonts w:ascii="Arial" w:cs="Arial" w:eastAsia="Arial" w:hAnsi="Arial"/>
          <w:sz w:val="24"/>
          <w:szCs w:val="24"/>
          <w:rtl w:val="0"/>
        </w:rPr>
        <w:t xml:space="preserve">La respuesta fué:</w:t>
      </w:r>
    </w:p>
    <w:p w:rsidR="00000000" w:rsidDel="00000000" w:rsidP="00000000" w:rsidRDefault="00000000" w:rsidRPr="00000000" w14:paraId="0000003C">
      <w:pPr>
        <w:spacing w:after="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encuentro esa informacion en las fuentes disponibles.”</w:t>
      </w:r>
    </w:p>
    <w:p w:rsidR="00000000" w:rsidDel="00000000" w:rsidP="00000000" w:rsidRDefault="00000000" w:rsidRPr="00000000" w14:paraId="0000003D">
      <w:pPr>
        <w:spacing w:after="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Además, no devolvió fuentes. Esto es importante porque un RAG debe estar respaldado por el corpus.</w:t>
      </w:r>
    </w:p>
    <w:p w:rsidR="00000000" w:rsidDel="00000000" w:rsidP="00000000" w:rsidRDefault="00000000" w:rsidRPr="00000000" w14:paraId="0000003F">
      <w:pPr>
        <w:spacing w:after="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60" w:lineRule="auto"/>
        <w:ind w:left="259" w:hanging="259"/>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w:t>
      </w:r>
      <w:r w:rsidDel="00000000" w:rsidR="00000000" w:rsidRPr="00000000">
        <w:rPr>
          <w:rFonts w:ascii="Arial" w:cs="Arial" w:eastAsia="Arial" w:hAnsi="Arial"/>
          <w:sz w:val="24"/>
          <w:szCs w:val="24"/>
          <w:rtl w:val="0"/>
        </w:rPr>
        <w:t xml:space="preserve">¿Qué hizo el sistema con el documento malicioso?</w:t>
      </w:r>
    </w:p>
    <w:p w:rsidR="00000000" w:rsidDel="00000000" w:rsidP="00000000" w:rsidRDefault="00000000" w:rsidRPr="00000000" w14:paraId="00000041">
      <w:pPr>
        <w:spacing w:after="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Fue tratado como información no confiable. El sistema detectó patrones como ignore_previous, y definió el contenido como “DOCUMENTO NO CONFIABLE” y registró los flags de seguridad.</w:t>
      </w:r>
    </w:p>
    <w:p w:rsidR="00000000" w:rsidDel="00000000" w:rsidP="00000000" w:rsidRDefault="00000000" w:rsidRPr="00000000" w14:paraId="00000042">
      <w:pPr>
        <w:spacing w:after="60" w:lineRule="auto"/>
        <w:ind w:left="259" w:hanging="25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60" w:lineRule="auto"/>
        <w:ind w:left="259" w:hanging="259"/>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  </w:t>
      </w:r>
      <w:r w:rsidDel="00000000" w:rsidR="00000000" w:rsidRPr="00000000">
        <w:rPr>
          <w:rFonts w:ascii="Arial" w:cs="Arial" w:eastAsia="Arial" w:hAnsi="Arial"/>
          <w:sz w:val="24"/>
          <w:szCs w:val="24"/>
          <w:rtl w:val="0"/>
        </w:rPr>
        <w:t xml:space="preserve">¿Qué limitaciones del laboratorio </w:t>
      </w:r>
      <w:r w:rsidDel="00000000" w:rsidR="00000000" w:rsidRPr="00000000">
        <w:rPr>
          <w:rFonts w:ascii="Arial" w:cs="Arial" w:eastAsia="Arial" w:hAnsi="Arial"/>
          <w:sz w:val="24"/>
          <w:szCs w:val="24"/>
          <w:rtl w:val="0"/>
        </w:rPr>
        <w:t xml:space="preserve">impedirian</w:t>
      </w:r>
      <w:r w:rsidDel="00000000" w:rsidR="00000000" w:rsidRPr="00000000">
        <w:rPr>
          <w:rFonts w:ascii="Arial" w:cs="Arial" w:eastAsia="Arial" w:hAnsi="Arial"/>
          <w:sz w:val="24"/>
          <w:szCs w:val="24"/>
          <w:rtl w:val="0"/>
        </w:rPr>
        <w:t xml:space="preserve"> llamarlo “producción”?</w:t>
      </w:r>
    </w:p>
    <w:p w:rsidR="00000000" w:rsidDel="00000000" w:rsidP="00000000" w:rsidRDefault="00000000" w:rsidRPr="00000000" w14:paraId="00000044">
      <w:pPr>
        <w:spacing w:after="60" w:lineRule="auto"/>
        <w:ind w:left="259" w:hanging="259"/>
        <w:rPr>
          <w:rFonts w:ascii="Arial" w:cs="Arial" w:eastAsia="Arial" w:hAnsi="Arial"/>
          <w:sz w:val="24"/>
          <w:szCs w:val="24"/>
        </w:rPr>
      </w:pPr>
      <w:r w:rsidDel="00000000" w:rsidR="00000000" w:rsidRPr="00000000">
        <w:rPr>
          <w:rFonts w:ascii="Arial" w:cs="Arial" w:eastAsia="Arial" w:hAnsi="Arial"/>
          <w:sz w:val="24"/>
          <w:szCs w:val="24"/>
          <w:rtl w:val="0"/>
        </w:rPr>
        <w:t xml:space="preserve">- El corpus es pequeño y controlado.</w:t>
      </w:r>
    </w:p>
    <w:p w:rsidR="00000000" w:rsidDel="00000000" w:rsidP="00000000" w:rsidRDefault="00000000" w:rsidRPr="00000000" w14:paraId="00000045">
      <w:pPr>
        <w:spacing w:after="60" w:lineRule="auto"/>
        <w:ind w:left="259" w:hanging="259"/>
        <w:rPr>
          <w:rFonts w:ascii="Arial" w:cs="Arial" w:eastAsia="Arial" w:hAnsi="Arial"/>
          <w:sz w:val="24"/>
          <w:szCs w:val="24"/>
        </w:rPr>
      </w:pPr>
      <w:r w:rsidDel="00000000" w:rsidR="00000000" w:rsidRPr="00000000">
        <w:rPr>
          <w:rFonts w:ascii="Arial" w:cs="Arial" w:eastAsia="Arial" w:hAnsi="Arial"/>
          <w:sz w:val="24"/>
          <w:szCs w:val="24"/>
          <w:rtl w:val="0"/>
        </w:rPr>
        <w:t xml:space="preserve">- No hay autenticación ni control de usuarios.</w:t>
      </w:r>
    </w:p>
    <w:p w:rsidR="00000000" w:rsidDel="00000000" w:rsidP="00000000" w:rsidRDefault="00000000" w:rsidRPr="00000000" w14:paraId="00000046">
      <w:pPr>
        <w:spacing w:after="60" w:lineRule="auto"/>
        <w:ind w:left="259" w:hanging="259"/>
        <w:rPr>
          <w:rFonts w:ascii="Arial" w:cs="Arial" w:eastAsia="Arial" w:hAnsi="Arial"/>
          <w:sz w:val="24"/>
          <w:szCs w:val="24"/>
        </w:rPr>
      </w:pPr>
      <w:r w:rsidDel="00000000" w:rsidR="00000000" w:rsidRPr="00000000">
        <w:rPr>
          <w:rFonts w:ascii="Arial" w:cs="Arial" w:eastAsia="Arial" w:hAnsi="Arial"/>
          <w:sz w:val="24"/>
          <w:szCs w:val="24"/>
          <w:rtl w:val="0"/>
        </w:rPr>
        <w:t xml:space="preserve">- El rate limiting y la protección contra abuso son básicos.</w:t>
      </w:r>
    </w:p>
    <w:p w:rsidR="00000000" w:rsidDel="00000000" w:rsidP="00000000" w:rsidRDefault="00000000" w:rsidRPr="00000000" w14:paraId="00000047">
      <w:pPr>
        <w:spacing w:after="60" w:lineRule="auto"/>
        <w:ind w:left="259" w:hanging="259"/>
        <w:rPr>
          <w:rFonts w:ascii="Arial" w:cs="Arial" w:eastAsia="Arial" w:hAnsi="Arial"/>
          <w:sz w:val="24"/>
          <w:szCs w:val="24"/>
        </w:rPr>
      </w:pPr>
      <w:r w:rsidDel="00000000" w:rsidR="00000000" w:rsidRPr="00000000">
        <w:rPr>
          <w:rFonts w:ascii="Arial" w:cs="Arial" w:eastAsia="Arial" w:hAnsi="Arial"/>
          <w:sz w:val="24"/>
          <w:szCs w:val="24"/>
          <w:rtl w:val="0"/>
        </w:rPr>
        <w:t xml:space="preserve">- La detección de prompt injection se basa en patrones conocidos.</w:t>
      </w:r>
    </w:p>
    <w:p w:rsidR="00000000" w:rsidDel="00000000" w:rsidP="00000000" w:rsidRDefault="00000000" w:rsidRPr="00000000" w14:paraId="00000048">
      <w:pPr>
        <w:spacing w:after="60" w:lineRule="auto"/>
        <w:ind w:left="259" w:hanging="259"/>
        <w:rPr>
          <w:rFonts w:ascii="Arial" w:cs="Arial" w:eastAsia="Arial" w:hAnsi="Arial"/>
          <w:sz w:val="24"/>
          <w:szCs w:val="24"/>
        </w:rPr>
      </w:pPr>
      <w:r w:rsidDel="00000000" w:rsidR="00000000" w:rsidRPr="00000000">
        <w:rPr>
          <w:rFonts w:ascii="Arial" w:cs="Arial" w:eastAsia="Arial" w:hAnsi="Arial"/>
          <w:sz w:val="24"/>
          <w:szCs w:val="24"/>
          <w:rtl w:val="0"/>
        </w:rPr>
        <w:t xml:space="preserve">- Azure, el modelo y los costos deben controlarse en un ambiente real.</w:t>
      </w:r>
    </w:p>
    <w:p w:rsidR="00000000" w:rsidDel="00000000" w:rsidP="00000000" w:rsidRDefault="00000000" w:rsidRPr="00000000" w14:paraId="00000049">
      <w:pPr>
        <w:spacing w:after="60" w:lineRule="auto"/>
        <w:ind w:left="259" w:hanging="25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60" w:lineRule="auto"/>
        <w:ind w:left="259" w:hanging="259"/>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  </w:t>
      </w:r>
      <w:r w:rsidDel="00000000" w:rsidR="00000000" w:rsidRPr="00000000">
        <w:rPr>
          <w:rFonts w:ascii="Arial" w:cs="Arial" w:eastAsia="Arial" w:hAnsi="Arial"/>
          <w:sz w:val="24"/>
          <w:szCs w:val="24"/>
          <w:rtl w:val="0"/>
        </w:rPr>
        <w:t xml:space="preserve">¿RAG está justificado para su proyecto real o un enfoque más simple sería suficiente?</w:t>
      </w:r>
    </w:p>
    <w:p w:rsidR="00000000" w:rsidDel="00000000" w:rsidP="00000000" w:rsidRDefault="00000000" w:rsidRPr="00000000" w14:paraId="0000004B">
      <w:pPr>
        <w:spacing w:after="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el proyecto sentado a la realidad, creo que el uso de RAG sí está justificado, si se necesita responder sobre documentos propios, políticas, manuales o información que puede cambiar y que debe citarse.</w:t>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65d"/>
      <w:sz w:val="34"/>
      <w:szCs w:val="34"/>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1f4e79"/>
      <w:sz w:val="26"/>
      <w:szCs w:val="26"/>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5.png"/><Relationship Id="rId22" Type="http://schemas.openxmlformats.org/officeDocument/2006/relationships/image" Target="media/image7.png"/><Relationship Id="rId10" Type="http://schemas.openxmlformats.org/officeDocument/2006/relationships/image" Target="media/image16.png"/><Relationship Id="rId21"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github.com/LeonardoIbarraLopez-ofc/tsi-rag-azure-starter" TargetMode="External"/><Relationship Id="rId18"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