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se2tal89p4b" w:id="0"/>
      <w:bookmarkEnd w:id="0"/>
      <w:r w:rsidDel="00000000" w:rsidR="00000000" w:rsidRPr="00000000">
        <w:rPr>
          <w:rtl w:val="0"/>
        </w:rPr>
        <w:t xml:space="preserve">Entendimento da Base de Dados e Impacto no Negócio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obv83jd0oy1" w:id="1"/>
      <w:bookmarkEnd w:id="1"/>
      <w:r w:rsidDel="00000000" w:rsidR="00000000" w:rsidRPr="00000000">
        <w:rPr>
          <w:rtl w:val="0"/>
        </w:rPr>
        <w:t xml:space="preserve">Desafio GERDAU - Padronização de Códigos de Serviço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9jcqu1h81mc" w:id="2"/>
      <w:bookmarkEnd w:id="2"/>
      <w:r w:rsidDel="00000000" w:rsidR="00000000" w:rsidRPr="00000000">
        <w:rPr>
          <w:rtl w:val="0"/>
        </w:rPr>
        <w:t xml:space="preserve">1. O que são os códigos, quem os utiliza e como nascem?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 Gerdau, os contratos de serviços utilizam códigos de até 40 caracteres para registrar e identificar cada serviço contratado. Eles são a chave fundamental no sistema SAP para a gestão de suprimentos e pagamentos. Atualmente, o próprio comprador que negocia o contrato é o responsável exclusivo por solicitar e cadastrar o novo código, realizando essa inserção imediatamente após a finalização da negociação.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dmcvqps29nc" w:id="3"/>
      <w:bookmarkEnd w:id="3"/>
      <w:r w:rsidDel="00000000" w:rsidR="00000000" w:rsidRPr="00000000">
        <w:rPr>
          <w:rtl w:val="0"/>
        </w:rPr>
        <w:t xml:space="preserve">2. Onde surgem as duplicidades e qual é o escopo da despadronização?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raiz do problema é a descentralização sem verificação. Como existem cerca de 20 compradores atuando simultaneamente nas negociações, cada um cria seus próprios códigos de forma livre, sem consultar se a necessidade já está cadastrada na base.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escopo dessa despadronização afeta duas frentes principais: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Mão de Obra (Foco Principal):</w:t>
      </w:r>
      <w:r w:rsidDel="00000000" w:rsidR="00000000" w:rsidRPr="00000000">
        <w:rPr>
          <w:rtl w:val="0"/>
        </w:rPr>
        <w:t xml:space="preserve"> Códigos que representam funções diretas (ex: mecânico, supervisor, soldador) com modificadores de regime de trabalho.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Materiais e Locações (Foco Secundário):</w:t>
      </w:r>
      <w:r w:rsidDel="00000000" w:rsidR="00000000" w:rsidRPr="00000000">
        <w:rPr>
          <w:rtl w:val="0"/>
        </w:rPr>
        <w:t xml:space="preserve"> Códigos adicionais de materiais aplicados em serviços, equipamentos e locações (ex: mobilização/desmobilização) que se repetem muito entre fornecedores e precisam ser identificáveis.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iyezupt5m8m" w:id="4"/>
      <w:bookmarkEnd w:id="4"/>
      <w:r w:rsidDel="00000000" w:rsidR="00000000" w:rsidRPr="00000000">
        <w:rPr>
          <w:rtl w:val="0"/>
        </w:rPr>
        <w:t xml:space="preserve">3. Qual é o impacto real disso no negócio?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Impossibilidade de Consolidação e Soma:</w:t>
      </w:r>
      <w:r w:rsidDel="00000000" w:rsidR="00000000" w:rsidRPr="00000000">
        <w:rPr>
          <w:rtl w:val="0"/>
        </w:rPr>
        <w:t xml:space="preserve"> A ausência de padronização textual ou de código impede análises gerenciais básicas. É impossível, por exemplo, somar facilmente o total gasto com "mobilização" através de diferentes contratos, pois cada comprador nomeia o item de uma forma diferente.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Poluição do SAP:</w:t>
      </w:r>
      <w:r w:rsidDel="00000000" w:rsidR="00000000" w:rsidRPr="00000000">
        <w:rPr>
          <w:rtl w:val="0"/>
        </w:rPr>
        <w:t xml:space="preserve"> A base fica sobrecarregada com milhares de registros redundantes vinculados a fornecedores distintos que cadastram o mesmo serviço de formas variadas. Impedindo também, análises de custos rápidas para KPIs.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Operacional (Custos Ocultos):</w:t>
      </w:r>
      <w:r w:rsidDel="00000000" w:rsidR="00000000" w:rsidRPr="00000000">
        <w:rPr>
          <w:rtl w:val="0"/>
        </w:rPr>
        <w:t xml:space="preserve"> O time de compras gasta tempo com cadastros repetitivos e lidando com a desorganização sistêmica, desviando o foco do atendimento consultivo e das negociações estratégicas.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41d5893fahqo" w:id="5"/>
      <w:bookmarkEnd w:id="5"/>
      <w:r w:rsidDel="00000000" w:rsidR="00000000" w:rsidRPr="00000000">
        <w:rPr>
          <w:rtl w:val="0"/>
        </w:rPr>
        <w:t xml:space="preserve">4. A Nossa Solução (Limpeza Retroativa + Governança de Entrada)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Grupo 22 atacará o problema resolvendo o legado e estancando a criação futura de sujeira: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Saneamento (Trilha IA &amp; Dados):</w:t>
      </w:r>
      <w:r w:rsidDel="00000000" w:rsidR="00000000" w:rsidRPr="00000000">
        <w:rPr>
          <w:rtl w:val="0"/>
        </w:rPr>
        <w:t xml:space="preserve"> Uso de algoritmos de similaridade para varrer os 10 mil registros originais. O objetivo é padronizar a mão de obra com rigor e categorizar os materiais/locações de forma que se tornem perfeitamente "identificáveis" e agrupáveis para somas financeiras no futuro.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e Fluxo de Aprovação (Trilha Java):</w:t>
      </w:r>
      <w:r w:rsidDel="00000000" w:rsidR="00000000" w:rsidRPr="00000000">
        <w:rPr>
          <w:rtl w:val="0"/>
        </w:rPr>
        <w:t xml:space="preserve"> Um sistema interativo para os compradores no momento pós-negociação. Ao tentar cadastrar um novo serviço, o sistema consulta a base limpa e sugere opções válidas.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Autonomia com Governança:</w:t>
      </w:r>
      <w:r w:rsidDel="00000000" w:rsidR="00000000" w:rsidRPr="00000000">
        <w:rPr>
          <w:rtl w:val="0"/>
        </w:rPr>
        <w:t xml:space="preserve"> O comprador analisa a sugestão e decide utilizá-la. Caso ele julgue que, apesar da similaridade semântica, trata-se de um serviço diferente, ele pode seguir com a criação do novo código.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Alçada de Aprovação:</w:t>
      </w:r>
      <w:r w:rsidDel="00000000" w:rsidR="00000000" w:rsidRPr="00000000">
        <w:rPr>
          <w:rtl w:val="0"/>
        </w:rPr>
        <w:t xml:space="preserve"> Para não engessar o processo do comprador, mas garantir a organização, a criação de códigos que "bypassam" a sugestão do sistema passará por uma segunda pessoa (aprovador de governança). Isso garante a agilidade na ponta e a blindagem do banco de dados na raiz.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pt_BR"/>
      </w:rPr>
    </w:rPrDefault>
    <w:pPrDefault>
      <w:pPr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0"/>
      <w:bCs w:val="0"/>
      <w:i w:val="0"/>
      <w:iCs w:val="0"/>
      <w:color w:val="2563e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0"/>
      <w:bCs w:val="0"/>
      <w:i w:val="0"/>
      <w:iCs w:val="0"/>
      <w:color w:val="2563eb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