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6B70"/>
          <w:sz w:val="28"/>
        </w:rPr>
        <w:t>ESTUDO DE BENCHMARK</w:t>
      </w:r>
    </w:p>
    <w:p>
      <w:pPr>
        <w:jc w:val="center"/>
      </w:pPr>
      <w:r>
        <w:rPr>
          <w:b/>
          <w:color w:val="15324B"/>
          <w:sz w:val="54"/>
        </w:rPr>
        <w:t>Classificação de serviços na NBS</w:t>
      </w:r>
    </w:p>
    <w:p>
      <w:pPr>
        <w:jc w:val="center"/>
      </w:pPr>
      <w:r>
        <w:rPr>
          <w:color w:val="526574"/>
          <w:sz w:val="24"/>
        </w:rPr>
        <w:t>Comparação metodológica: trabalho humano, PostgreSQL com fuzzy matching e LLM</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5324B"/>
          </w:tcPr>
          <w:p>
            <w:r/>
            <w:r>
              <w:rPr>
                <w:rFonts w:ascii="Aptos" w:hAnsi="Aptos"/>
                <w:b/>
                <w:color w:val="FFFFFF"/>
                <w:sz w:val="18"/>
              </w:rPr>
              <w:t>Parâmetro</w:t>
            </w:r>
          </w:p>
        </w:tc>
        <w:tc>
          <w:tcPr>
            <w:tcW w:type="dxa" w:w="6912"/>
            <w:vAlign w:val="center"/>
            <w:shd w:fill="15324B"/>
          </w:tcPr>
          <w:p>
            <w:r/>
            <w:r>
              <w:rPr>
                <w:rFonts w:ascii="Aptos" w:hAnsi="Aptos"/>
                <w:b/>
                <w:color w:val="FFFFFF"/>
                <w:sz w:val="18"/>
              </w:rPr>
              <w:t>Definição do estudo</w:t>
            </w:r>
          </w:p>
        </w:tc>
      </w:tr>
      <w:tr>
        <w:tc>
          <w:tcPr>
            <w:tcW w:type="dxa" w:w="2880"/>
            <w:vAlign w:val="center"/>
          </w:tcPr>
          <w:p>
            <w:r/>
            <w:r>
              <w:rPr>
                <w:rFonts w:ascii="Aptos" w:hAnsi="Aptos"/>
                <w:b w:val="0"/>
                <w:sz w:val="18"/>
              </w:rPr>
              <w:t>Volume de entrada</w:t>
            </w:r>
          </w:p>
        </w:tc>
        <w:tc>
          <w:tcPr>
            <w:tcW w:type="dxa" w:w="6912"/>
            <w:vAlign w:val="center"/>
          </w:tcPr>
          <w:p>
            <w:r/>
            <w:r>
              <w:rPr>
                <w:rFonts w:ascii="Aptos" w:hAnsi="Aptos"/>
                <w:b w:val="0"/>
                <w:sz w:val="18"/>
              </w:rPr>
              <w:t>9.795 linhas de descrições de serviços</w:t>
            </w:r>
          </w:p>
        </w:tc>
      </w:tr>
      <w:tr>
        <w:tc>
          <w:tcPr>
            <w:tcW w:type="dxa" w:w="2880"/>
            <w:vAlign w:val="center"/>
            <w:shd w:fill="F2F6F8"/>
          </w:tcPr>
          <w:p>
            <w:r/>
            <w:r>
              <w:rPr>
                <w:rFonts w:ascii="Aptos" w:hAnsi="Aptos"/>
                <w:b w:val="0"/>
                <w:sz w:val="18"/>
              </w:rPr>
              <w:t>Objetivo</w:t>
            </w:r>
          </w:p>
        </w:tc>
        <w:tc>
          <w:tcPr>
            <w:tcW w:type="dxa" w:w="6912"/>
            <w:vAlign w:val="center"/>
            <w:shd w:fill="F2F6F8"/>
          </w:tcPr>
          <w:p>
            <w:r/>
            <w:r>
              <w:rPr>
                <w:rFonts w:ascii="Aptos" w:hAnsi="Aptos"/>
                <w:b w:val="0"/>
                <w:sz w:val="18"/>
              </w:rPr>
              <w:t>Estimar tempo, custo e qualidade da classificação de serviços em códigos NBS</w:t>
            </w:r>
          </w:p>
        </w:tc>
      </w:tr>
      <w:tr>
        <w:tc>
          <w:tcPr>
            <w:tcW w:type="dxa" w:w="2880"/>
            <w:vAlign w:val="center"/>
          </w:tcPr>
          <w:p>
            <w:r/>
            <w:r>
              <w:rPr>
                <w:rFonts w:ascii="Aptos" w:hAnsi="Aptos"/>
                <w:b w:val="0"/>
                <w:sz w:val="18"/>
              </w:rPr>
              <w:t>Arquitetura pretendida</w:t>
            </w:r>
          </w:p>
        </w:tc>
        <w:tc>
          <w:tcPr>
            <w:tcW w:type="dxa" w:w="6912"/>
            <w:vAlign w:val="center"/>
          </w:tcPr>
          <w:p>
            <w:r/>
            <w:r>
              <w:rPr>
                <w:rFonts w:ascii="Aptos" w:hAnsi="Aptos"/>
                <w:b w:val="0"/>
                <w:sz w:val="18"/>
              </w:rPr>
              <w:t>PostgreSQL com fuzzy matching; a LLM é apenas uma referência comparativa</w:t>
            </w:r>
          </w:p>
        </w:tc>
      </w:tr>
      <w:tr>
        <w:tc>
          <w:tcPr>
            <w:tcW w:type="dxa" w:w="2880"/>
            <w:vAlign w:val="center"/>
            <w:shd w:fill="F2F6F8"/>
          </w:tcPr>
          <w:p>
            <w:r/>
            <w:r>
              <w:rPr>
                <w:rFonts w:ascii="Aptos" w:hAnsi="Aptos"/>
                <w:b w:val="0"/>
                <w:sz w:val="18"/>
              </w:rPr>
              <w:t>Prioridade</w:t>
            </w:r>
          </w:p>
        </w:tc>
        <w:tc>
          <w:tcPr>
            <w:tcW w:type="dxa" w:w="6912"/>
            <w:vAlign w:val="center"/>
            <w:shd w:fill="F2F6F8"/>
          </w:tcPr>
          <w:p>
            <w:r/>
            <w:r>
              <w:rPr>
                <w:rFonts w:ascii="Aptos" w:hAnsi="Aptos"/>
                <w:b w:val="0"/>
                <w:sz w:val="18"/>
              </w:rPr>
              <w:t>Equilíbrio entre velocidade, custo e precisão</w:t>
            </w:r>
          </w:p>
        </w:tc>
      </w:tr>
      <w:tr>
        <w:tc>
          <w:tcPr>
            <w:tcW w:type="dxa" w:w="2880"/>
            <w:vAlign w:val="center"/>
          </w:tcPr>
          <w:p>
            <w:r/>
            <w:r>
              <w:rPr>
                <w:rFonts w:ascii="Aptos" w:hAnsi="Aptos"/>
                <w:b w:val="0"/>
                <w:sz w:val="18"/>
              </w:rPr>
              <w:t>Status</w:t>
            </w:r>
          </w:p>
        </w:tc>
        <w:tc>
          <w:tcPr>
            <w:tcW w:type="dxa" w:w="6912"/>
            <w:vAlign w:val="center"/>
          </w:tcPr>
          <w:p>
            <w:r/>
            <w:r>
              <w:rPr>
                <w:rFonts w:ascii="Aptos" w:hAnsi="Aptos"/>
                <w:b w:val="0"/>
                <w:sz w:val="18"/>
              </w:rPr>
              <w:t>Plano metodológico. Tempos e custos finais dependem de benchmark real</w:t>
            </w:r>
          </w:p>
        </w:tc>
      </w:tr>
    </w:tbl>
    <w:p/>
    <w:p>
      <w:pPr>
        <w:jc w:val="center"/>
      </w:pPr>
      <w:r>
        <w:rPr>
          <w:i/>
          <w:color w:val="526574"/>
          <w:sz w:val="18"/>
        </w:rPr>
        <w:t>Documento de planejamento — valores ilustrativos estão identificados como hipóteses.</w:t>
      </w:r>
    </w:p>
    <w:p>
      <w:r>
        <w:br w:type="page"/>
      </w:r>
    </w:p>
    <w:p>
      <w:pPr>
        <w:pStyle w:val="Heading1"/>
      </w:pPr>
      <w:r>
        <w:t>1. Resumo executivo</w:t>
      </w:r>
    </w:p>
    <w:p>
      <w:r>
        <w:t>Este documento define um plano de benchmark para classificar 9.795 descrições de serviços na Nomenclatura Brasileira de Serviços (NBS). O estudo compara o esforço de classificação humana, o processamento de PostgreSQL com fuzzy matching e, como referência, uma abordagem com modelo de linguagem (LLM). A arquitetura em avaliação para produção é PostgreSQL com fuzzy matching.</w:t>
      </w:r>
    </w:p>
    <w:p>
      <w:r>
        <w:t>A avaliação não deve considerar apenas o tempo de execução. O resultado relevante é o tempo e o custo para obter códigos NBS corretos, rastreáveis e validados, incluindo a revisão humana dos casos ambíguos.</w:t>
      </w:r>
    </w:p>
    <w:p>
      <w:pPr>
        <w:pStyle w:val="Heading2"/>
      </w:pPr>
      <w:r>
        <w:t>Decisões já estabelecidas</w:t>
      </w:r>
    </w:p>
    <w:p>
      <w:pPr>
        <w:pStyle w:val="ListBullet"/>
      </w:pPr>
      <w:r>
        <w:t>O benchmark considera as 9.795 linhas individualmente; não assume redução de volume por deduplicação.</w:t>
      </w:r>
    </w:p>
    <w:p>
      <w:pPr>
        <w:pStyle w:val="ListBullet"/>
      </w:pPr>
      <w:r>
        <w:t>O PostgreSQL com fuzzy matching é a solução técnica principal em avaliação.</w:t>
      </w:r>
    </w:p>
    <w:p>
      <w:pPr>
        <w:pStyle w:val="ListBullet"/>
      </w:pPr>
      <w:r>
        <w:t>A LLM será usada como comparação, não como parte obrigatória da arquitetura final.</w:t>
      </w:r>
    </w:p>
    <w:p>
      <w:pPr>
        <w:pStyle w:val="ListBullet"/>
      </w:pPr>
      <w:r>
        <w:t>A prioridade é equilibrar velocidade, custo e precisão.</w:t>
      </w:r>
    </w:p>
    <w:p>
      <w:pPr>
        <w:pStyle w:val="ListBullet"/>
      </w:pPr>
      <w:r>
        <w:t>A descrição original deve ser preservada para auditoria; a normalização deve ocorrer em campo separado.</w:t>
      </w:r>
    </w:p>
    <w:p>
      <w:pPr>
        <w:pStyle w:val="Heading1"/>
      </w:pPr>
      <w:r>
        <w:t>2. Perguntas que o benchmark deve responder</w:t>
      </w:r>
    </w:p>
    <w:p>
      <w:pPr>
        <w:pStyle w:val="ListBullet"/>
      </w:pPr>
      <w:r>
        <w:t>Quanto tempo uma pessoa leva para classificar as 9.795 linhas, incluindo consulta à NBS e registro da decisão?</w:t>
      </w:r>
    </w:p>
    <w:p>
      <w:pPr>
        <w:pStyle w:val="ListBullet"/>
      </w:pPr>
      <w:r>
        <w:t>Quanto tempo o PostgreSQL leva para preparar a base, gerar candidatos e gravar os resultados?</w:t>
      </w:r>
    </w:p>
    <w:p>
      <w:pPr>
        <w:pStyle w:val="ListBullet"/>
      </w:pPr>
      <w:r>
        <w:t>Qual é a acurácia das sugestões e qual proporção pode ser aprovada sem revisão?</w:t>
      </w:r>
    </w:p>
    <w:p>
      <w:pPr>
        <w:pStyle w:val="ListBullet"/>
      </w:pPr>
      <w:r>
        <w:t>Quanto trabalho humano continua necessário para revisar resultados ambíguos?</w:t>
      </w:r>
    </w:p>
    <w:p>
      <w:pPr>
        <w:pStyle w:val="ListBullet"/>
      </w:pPr>
      <w:r>
        <w:t>Qual é o custo de implantação e o custo operacional por lote?</w:t>
      </w:r>
    </w:p>
    <w:p>
      <w:pPr>
        <w:pStyle w:val="ListBullet"/>
      </w:pPr>
      <w:r>
        <w:t>Quais tipos de descrição provocam erros: abreviações, termos genéricos, descrições curtas, diferenças de escopo ou informação de horário/unidade?</w:t>
      </w:r>
    </w:p>
    <w:p>
      <w:pPr>
        <w:pStyle w:val="Heading1"/>
      </w:pPr>
      <w:r>
        <w:t>3. Escopo e princípios</w:t>
      </w:r>
    </w:p>
    <w:p>
      <w:r>
        <w:t>A unidade de processamento deste benchmark é uma linha de entrada. Mesmo que existam descrições repetidas, o escopo inicial contabiliza as 9.795 linhas. Uma otimização futura poderá classificar descrições únicas e propagar resultados, mas deverá ser medida como cenário separado para não alterar silenciosamente a base de comparação.</w:t>
      </w:r>
    </w:p>
    <w:p>
      <w:r>
        <w:t>A NBS é uma nomenclatura estruturada. Similaridade textual é um mecanismo de recuperação de candidatos, não prova de equivalência semântica ou tributária. O código final deve respeitar o nível hierárquico e a versão oficial da nomenclatura definidos pelo responsável pelo projeto.</w:t>
      </w:r>
    </w:p>
    <w:p>
      <w:pPr>
        <w:pStyle w:val="Heading1"/>
      </w:pPr>
      <w:r>
        <w:t>4. Preparação dos dados</w:t>
      </w:r>
    </w:p>
    <w:p>
      <w:pPr>
        <w:pStyle w:val="Heading2"/>
      </w:pPr>
      <w:r>
        <w:t>4.1 Catálogo NBS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5324B"/>
          </w:tcPr>
          <w:p>
            <w:r/>
            <w:r>
              <w:rPr>
                <w:rFonts w:ascii="Aptos" w:hAnsi="Aptos"/>
                <w:b/>
                <w:color w:val="FFFFFF"/>
                <w:sz w:val="18"/>
              </w:rPr>
              <w:t>Campo recomendado</w:t>
            </w:r>
          </w:p>
        </w:tc>
        <w:tc>
          <w:tcPr>
            <w:tcW w:type="dxa" w:w="6912"/>
            <w:vAlign w:val="center"/>
            <w:shd w:fill="15324B"/>
          </w:tcPr>
          <w:p>
            <w:r/>
            <w:r>
              <w:rPr>
                <w:rFonts w:ascii="Aptos" w:hAnsi="Aptos"/>
                <w:b/>
                <w:color w:val="FFFFFF"/>
                <w:sz w:val="18"/>
              </w:rPr>
              <w:t>Uso</w:t>
            </w:r>
          </w:p>
        </w:tc>
      </w:tr>
      <w:tr>
        <w:tc>
          <w:tcPr>
            <w:tcW w:type="dxa" w:w="2880"/>
            <w:vAlign w:val="center"/>
          </w:tcPr>
          <w:p>
            <w:r/>
            <w:r>
              <w:rPr>
                <w:rFonts w:ascii="Aptos" w:hAnsi="Aptos"/>
                <w:b w:val="0"/>
                <w:sz w:val="18"/>
              </w:rPr>
              <w:t>codigo_nbs</w:t>
            </w:r>
          </w:p>
        </w:tc>
        <w:tc>
          <w:tcPr>
            <w:tcW w:type="dxa" w:w="6912"/>
            <w:vAlign w:val="center"/>
          </w:tcPr>
          <w:p>
            <w:r/>
            <w:r>
              <w:rPr>
                <w:rFonts w:ascii="Aptos" w:hAnsi="Aptos"/>
                <w:b w:val="0"/>
                <w:sz w:val="18"/>
              </w:rPr>
              <w:t>Código oficial do item NBS</w:t>
            </w:r>
          </w:p>
        </w:tc>
      </w:tr>
      <w:tr>
        <w:tc>
          <w:tcPr>
            <w:tcW w:type="dxa" w:w="2880"/>
            <w:vAlign w:val="center"/>
            <w:shd w:fill="F2F6F8"/>
          </w:tcPr>
          <w:p>
            <w:r/>
            <w:r>
              <w:rPr>
                <w:rFonts w:ascii="Aptos" w:hAnsi="Aptos"/>
                <w:b w:val="0"/>
                <w:sz w:val="18"/>
              </w:rPr>
              <w:t>descricao_nbs</w:t>
            </w:r>
          </w:p>
        </w:tc>
        <w:tc>
          <w:tcPr>
            <w:tcW w:type="dxa" w:w="6912"/>
            <w:vAlign w:val="center"/>
            <w:shd w:fill="F2F6F8"/>
          </w:tcPr>
          <w:p>
            <w:r/>
            <w:r>
              <w:rPr>
                <w:rFonts w:ascii="Aptos" w:hAnsi="Aptos"/>
                <w:b w:val="0"/>
                <w:sz w:val="18"/>
              </w:rPr>
              <w:t>Descrição oficial do item</w:t>
            </w:r>
          </w:p>
        </w:tc>
      </w:tr>
      <w:tr>
        <w:tc>
          <w:tcPr>
            <w:tcW w:type="dxa" w:w="2880"/>
            <w:vAlign w:val="center"/>
          </w:tcPr>
          <w:p>
            <w:r/>
            <w:r>
              <w:rPr>
                <w:rFonts w:ascii="Aptos" w:hAnsi="Aptos"/>
                <w:b w:val="0"/>
                <w:sz w:val="18"/>
              </w:rPr>
              <w:t>nivel_hierarquico</w:t>
            </w:r>
          </w:p>
        </w:tc>
        <w:tc>
          <w:tcPr>
            <w:tcW w:type="dxa" w:w="6912"/>
            <w:vAlign w:val="center"/>
          </w:tcPr>
          <w:p>
            <w:r/>
            <w:r>
              <w:rPr>
                <w:rFonts w:ascii="Aptos" w:hAnsi="Aptos"/>
                <w:b w:val="0"/>
                <w:sz w:val="18"/>
              </w:rPr>
              <w:t>Evita comparar níveis incompatíveis</w:t>
            </w:r>
          </w:p>
        </w:tc>
      </w:tr>
      <w:tr>
        <w:tc>
          <w:tcPr>
            <w:tcW w:type="dxa" w:w="2880"/>
            <w:vAlign w:val="center"/>
            <w:shd w:fill="F2F6F8"/>
          </w:tcPr>
          <w:p>
            <w:r/>
            <w:r>
              <w:rPr>
                <w:rFonts w:ascii="Aptos" w:hAnsi="Aptos"/>
                <w:b w:val="0"/>
                <w:sz w:val="18"/>
              </w:rPr>
              <w:t>versao_nbs</w:t>
            </w:r>
          </w:p>
        </w:tc>
        <w:tc>
          <w:tcPr>
            <w:tcW w:type="dxa" w:w="6912"/>
            <w:vAlign w:val="center"/>
            <w:shd w:fill="F2F6F8"/>
          </w:tcPr>
          <w:p>
            <w:r/>
            <w:r>
              <w:rPr>
                <w:rFonts w:ascii="Aptos" w:hAnsi="Aptos"/>
                <w:b w:val="0"/>
                <w:sz w:val="18"/>
              </w:rPr>
              <w:t>Rastreia a versão do catálogo</w:t>
            </w:r>
          </w:p>
        </w:tc>
      </w:tr>
      <w:tr>
        <w:tc>
          <w:tcPr>
            <w:tcW w:type="dxa" w:w="2880"/>
            <w:vAlign w:val="center"/>
          </w:tcPr>
          <w:p>
            <w:r/>
            <w:r>
              <w:rPr>
                <w:rFonts w:ascii="Aptos" w:hAnsi="Aptos"/>
                <w:b w:val="0"/>
                <w:sz w:val="18"/>
              </w:rPr>
              <w:t>ativo/vigente</w:t>
            </w:r>
          </w:p>
        </w:tc>
        <w:tc>
          <w:tcPr>
            <w:tcW w:type="dxa" w:w="6912"/>
            <w:vAlign w:val="center"/>
          </w:tcPr>
          <w:p>
            <w:r/>
            <w:r>
              <w:rPr>
                <w:rFonts w:ascii="Aptos" w:hAnsi="Aptos"/>
                <w:b w:val="0"/>
                <w:sz w:val="18"/>
              </w:rPr>
              <w:t>Indica validade, quando essa informação existir na fonte oficial</w:t>
            </w:r>
          </w:p>
        </w:tc>
      </w:tr>
    </w:tbl>
    <w:p/>
    <w:p>
      <w:pPr>
        <w:pStyle w:val="Heading2"/>
      </w:pPr>
      <w:r>
        <w:t>4.2 Dados de serviços e rastreabilidade</w:t>
      </w:r>
    </w:p>
    <w:p>
      <w:pPr>
        <w:pStyle w:val="ListBullet"/>
      </w:pPr>
      <w:r>
        <w:t>id_linha: identificador estável da linha original.</w:t>
      </w:r>
    </w:p>
    <w:p>
      <w:pPr>
        <w:pStyle w:val="ListBullet"/>
      </w:pPr>
      <w:r>
        <w:t>descricao_original: texto original preservado integralmente.</w:t>
      </w:r>
    </w:p>
    <w:p>
      <w:pPr>
        <w:pStyle w:val="ListBullet"/>
      </w:pPr>
      <w:r>
        <w:t>descricao_normalizada: campo auxiliar usado para busca; não substitui o original.</w:t>
      </w:r>
    </w:p>
    <w:p>
      <w:pPr>
        <w:pStyle w:val="ListBullet"/>
      </w:pPr>
      <w:r>
        <w:t>codigo_nbs_sugerido e candidatos alternativos.</w:t>
      </w:r>
    </w:p>
    <w:p>
      <w:pPr>
        <w:pStyle w:val="ListBullet"/>
      </w:pPr>
      <w:r>
        <w:t>score_similaridade, método, parâmetros e versão da regra.</w:t>
      </w:r>
    </w:p>
    <w:p>
      <w:pPr>
        <w:pStyle w:val="ListBullet"/>
      </w:pPr>
      <w:r>
        <w:t>status: aprovado automaticamente, revisão necessária, sem candidato confiável ou rejeitado.</w:t>
      </w:r>
    </w:p>
    <w:p>
      <w:pPr>
        <w:pStyle w:val="ListBullet"/>
      </w:pPr>
      <w:r>
        <w:t>codigo_nbs_validado, responsável/revisor e justificativa, quando houver validação humana.</w:t>
      </w:r>
    </w:p>
    <w:p>
      <w:pPr>
        <w:pStyle w:val="Heading1"/>
      </w:pPr>
      <w:r>
        <w:t>5. Métodos comparados</w:t>
      </w:r>
    </w:p>
    <w:p>
      <w:pPr>
        <w:pStyle w:val="Heading2"/>
      </w:pPr>
      <w:r>
        <w:t>5.1 Classificação humana</w:t>
      </w:r>
    </w:p>
    <w:p>
      <w:r>
        <w:t>O avaliador consulta a nomenclatura, interpreta a descrição, escolhe o código e registra a decisão. O tempo cronometrado deve incluir leitura, pesquisa, decisão e registro, mas pausas e atividades externas devem ser registradas separadamente. Recomenda-se fornecer as mesmas instruções e a mesma versão do catálogo a todos.</w:t>
      </w:r>
    </w:p>
    <w:p>
      <w:pPr>
        <w:pStyle w:val="Heading2"/>
      </w:pPr>
      <w:r>
        <w:t>5.2 PostgreSQL com fuzzy matching</w:t>
      </w:r>
    </w:p>
    <w:p>
      <w:r>
        <w:t>A primeira implementação sugerida utiliza a extensão pg_trgm para comparar trigramas de texto, ranquear candidatos e retornar os melhores resultados. O catálogo deve ser indexado e a configuração de busca congelada antes do teste final.</w:t>
      </w:r>
    </w:p>
    <w:p>
      <w:r>
        <w:t>A função similarity() de pg_trgm não é similaridade de cosseno. Se o cosseno for avaliado futuramente, deverá ser tratado como experimento separado, com representação vetorial definida (por exemplo, TF-IDF) e resultados identificados.</w:t>
      </w:r>
    </w:p>
    <w:p>
      <w:r>
        <w:t>Exemplo conceitual de consulta (adaptar nomes de tabela, colunas e parâmetros ao esquema real):</w:t>
      </w:r>
    </w:p>
    <w:p>
      <w:r>
        <w:rPr>
          <w:rFonts w:ascii="Consolas" w:hAnsi="Consolas"/>
          <w:sz w:val="16"/>
        </w:rPr>
        <w:t>CREATE EXTENSION IF NOT EXISTS pg_trgm;</w:t>
        <w:br/>
        <w:br/>
        <w:t>SELECT</w:t>
        <w:br/>
        <w:t xml:space="preserve">    codigo_nbs,</w:t>
        <w:br/>
        <w:t xml:space="preserve">    descricao_nbs,</w:t>
        <w:br/>
        <w:t xml:space="preserve">    similarity(descricao_normalizada, :descricao_servico) AS score</w:t>
        <w:br/>
        <w:t>FROM catalogo_nbs</w:t>
        <w:br/>
        <w:t>ORDER BY</w:t>
        <w:br/>
        <w:t xml:space="preserve">    descricao_normalizada % :descricao_servico DESC,</w:t>
        <w:br/>
        <w:t xml:space="preserve">    similarity(descricao_normalizada, :descricao_servico) DESC</w:t>
        <w:br/>
        <w:t>LIMIT 3;</w:t>
      </w:r>
    </w:p>
    <w:p>
      <w:r>
        <w:t>O operador %, o limiar de similaridade e o índice devem ser configurados e documentados. O score não deve ser interpretado como probabilidade de acerto.</w:t>
      </w:r>
    </w:p>
    <w:p>
      <w:pPr>
        <w:pStyle w:val="Heading2"/>
      </w:pPr>
      <w:r>
        <w:t>5.3 LLM como referência comparativa</w:t>
      </w:r>
    </w:p>
    <w:p>
      <w:r>
        <w:t>A LLM deve receber a mesma descrição original e um conjunto de candidatos NBS obtido por procedimento previamente definido. Registrar modelo/versão, parâmetros, tamanho de lote, latência, tokens, erros, novas tentativas, custo e necessidade de revisão. A LLM não deve receber informação extra que torne a comparação injusta.</w:t>
      </w:r>
    </w:p>
    <w:p>
      <w:pPr>
        <w:pStyle w:val="Heading1"/>
      </w:pPr>
      <w:r>
        <w:t>6. Desenho experimental</w:t>
      </w:r>
    </w:p>
    <w:p>
      <w:pPr>
        <w:pStyle w:val="ListNumber"/>
      </w:pPr>
      <w:r>
        <w:t>Congelar a versão da NBS, as regras de normalização, os parâmetros e a configuração de hardware/software.</w:t>
      </w:r>
    </w:p>
    <w:p>
      <w:pPr>
        <w:pStyle w:val="ListNumber"/>
      </w:pPr>
      <w:r>
        <w:t>Criar um conjunto de referência independente, com códigos revisados por profissional qualificado.</w:t>
      </w:r>
    </w:p>
    <w:p>
      <w:pPr>
        <w:pStyle w:val="ListNumber"/>
      </w:pPr>
      <w:r>
        <w:t>Separar amostra de desenvolvimento/calibração da amostra final de avaliação.</w:t>
      </w:r>
    </w:p>
    <w:p>
      <w:pPr>
        <w:pStyle w:val="ListNumber"/>
      </w:pPr>
      <w:r>
        <w:t>Usar as mesmas descrições e critérios para os três métodos.</w:t>
      </w:r>
    </w:p>
    <w:p>
      <w:pPr>
        <w:pStyle w:val="ListNumber"/>
      </w:pPr>
      <w:r>
        <w:t>Executar o PostgreSQL pelo menos cinco vezes; registrar primeira execução e execuções seguintes separadamente.</w:t>
      </w:r>
    </w:p>
    <w:p>
      <w:pPr>
        <w:pStyle w:val="ListNumber"/>
      </w:pPr>
      <w:r>
        <w:t>Distinguir cache frio e cache aquecido quando for possível controlar essas condições.</w:t>
      </w:r>
    </w:p>
    <w:p>
      <w:pPr>
        <w:pStyle w:val="ListNumber"/>
      </w:pPr>
      <w:r>
        <w:t>Registrar tempo de preparação, tempo de classificação, gravação dos resultados e revisão humana separadamente.</w:t>
      </w:r>
    </w:p>
    <w:p>
      <w:pPr>
        <w:pStyle w:val="ListNumber"/>
      </w:pPr>
      <w:r>
        <w:t>Não ajustar limiares usando os mesmos casos que serão usados para reportar a precisão final.</w:t>
      </w:r>
    </w:p>
    <w:p>
      <w:pPr>
        <w:pStyle w:val="Heading1"/>
      </w:pPr>
      <w:r>
        <w:t>7. Estimativa de esforço humano</w:t>
      </w:r>
    </w:p>
    <w:p>
      <w:r>
        <w:t>Para N = 9.795 linhas e tempo médio observado t em segundos:</w:t>
      </w:r>
    </w:p>
    <w:p>
      <w:pPr>
        <w:jc w:val="center"/>
      </w:pPr>
      <w:r>
        <w:rPr>
          <w:b/>
          <w:sz w:val="26"/>
        </w:rPr>
        <w:t>Horas humanas = (N × t) / 3.600</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5324B"/>
          </w:tcPr>
          <w:p>
            <w:r/>
            <w:r>
              <w:rPr>
                <w:rFonts w:ascii="Aptos" w:hAnsi="Aptos"/>
                <w:b/>
                <w:color w:val="FFFFFF"/>
                <w:sz w:val="18"/>
              </w:rPr>
              <w:t>Tempo médio por linha</w:t>
            </w:r>
          </w:p>
        </w:tc>
        <w:tc>
          <w:tcPr>
            <w:tcW w:type="dxa" w:w="3168"/>
            <w:vAlign w:val="center"/>
            <w:shd w:fill="15324B"/>
          </w:tcPr>
          <w:p>
            <w:r/>
            <w:r>
              <w:rPr>
                <w:rFonts w:ascii="Aptos" w:hAnsi="Aptos"/>
                <w:b/>
                <w:color w:val="FFFFFF"/>
                <w:sz w:val="18"/>
              </w:rPr>
              <w:t>Horas estimadas</w:t>
            </w:r>
          </w:p>
        </w:tc>
        <w:tc>
          <w:tcPr>
            <w:tcW w:type="dxa" w:w="3312"/>
            <w:vAlign w:val="center"/>
            <w:shd w:fill="15324B"/>
          </w:tcPr>
          <w:p>
            <w:r/>
            <w:r>
              <w:rPr>
                <w:rFonts w:ascii="Aptos" w:hAnsi="Aptos"/>
                <w:b/>
                <w:color w:val="FFFFFF"/>
                <w:sz w:val="18"/>
              </w:rPr>
              <w:t>Dias de 8 h</w:t>
            </w:r>
          </w:p>
        </w:tc>
      </w:tr>
      <w:tr>
        <w:tc>
          <w:tcPr>
            <w:tcW w:type="dxa" w:w="3312"/>
            <w:vAlign w:val="center"/>
          </w:tcPr>
          <w:p>
            <w:r/>
            <w:r>
              <w:rPr>
                <w:rFonts w:ascii="Aptos" w:hAnsi="Aptos"/>
                <w:b w:val="0"/>
                <w:sz w:val="18"/>
              </w:rPr>
              <w:t>15 segundos</w:t>
            </w:r>
          </w:p>
        </w:tc>
        <w:tc>
          <w:tcPr>
            <w:tcW w:type="dxa" w:w="3168"/>
            <w:vAlign w:val="center"/>
          </w:tcPr>
          <w:p>
            <w:r/>
            <w:r>
              <w:rPr>
                <w:rFonts w:ascii="Aptos" w:hAnsi="Aptos"/>
                <w:b w:val="0"/>
                <w:sz w:val="18"/>
              </w:rPr>
              <w:t>40,8</w:t>
            </w:r>
          </w:p>
        </w:tc>
        <w:tc>
          <w:tcPr>
            <w:tcW w:type="dxa" w:w="3312"/>
            <w:vAlign w:val="center"/>
          </w:tcPr>
          <w:p>
            <w:r/>
            <w:r>
              <w:rPr>
                <w:rFonts w:ascii="Aptos" w:hAnsi="Aptos"/>
                <w:b w:val="0"/>
                <w:sz w:val="18"/>
              </w:rPr>
              <w:t>5,1</w:t>
            </w:r>
          </w:p>
        </w:tc>
      </w:tr>
      <w:tr>
        <w:tc>
          <w:tcPr>
            <w:tcW w:type="dxa" w:w="3312"/>
            <w:vAlign w:val="center"/>
            <w:shd w:fill="F2F6F8"/>
          </w:tcPr>
          <w:p>
            <w:r/>
            <w:r>
              <w:rPr>
                <w:rFonts w:ascii="Aptos" w:hAnsi="Aptos"/>
                <w:b w:val="0"/>
                <w:sz w:val="18"/>
              </w:rPr>
              <w:t>30 segundos</w:t>
            </w:r>
          </w:p>
        </w:tc>
        <w:tc>
          <w:tcPr>
            <w:tcW w:type="dxa" w:w="3168"/>
            <w:vAlign w:val="center"/>
            <w:shd w:fill="F2F6F8"/>
          </w:tcPr>
          <w:p>
            <w:r/>
            <w:r>
              <w:rPr>
                <w:rFonts w:ascii="Aptos" w:hAnsi="Aptos"/>
                <w:b w:val="0"/>
                <w:sz w:val="18"/>
              </w:rPr>
              <w:t>81,6</w:t>
            </w:r>
          </w:p>
        </w:tc>
        <w:tc>
          <w:tcPr>
            <w:tcW w:type="dxa" w:w="3312"/>
            <w:vAlign w:val="center"/>
            <w:shd w:fill="F2F6F8"/>
          </w:tcPr>
          <w:p>
            <w:r/>
            <w:r>
              <w:rPr>
                <w:rFonts w:ascii="Aptos" w:hAnsi="Aptos"/>
                <w:b w:val="0"/>
                <w:sz w:val="18"/>
              </w:rPr>
              <w:t>10,2</w:t>
            </w:r>
          </w:p>
        </w:tc>
      </w:tr>
      <w:tr>
        <w:tc>
          <w:tcPr>
            <w:tcW w:type="dxa" w:w="3312"/>
            <w:vAlign w:val="center"/>
          </w:tcPr>
          <w:p>
            <w:r/>
            <w:r>
              <w:rPr>
                <w:rFonts w:ascii="Aptos" w:hAnsi="Aptos"/>
                <w:b w:val="0"/>
                <w:sz w:val="18"/>
              </w:rPr>
              <w:t>60 segundos</w:t>
            </w:r>
          </w:p>
        </w:tc>
        <w:tc>
          <w:tcPr>
            <w:tcW w:type="dxa" w:w="3168"/>
            <w:vAlign w:val="center"/>
          </w:tcPr>
          <w:p>
            <w:r/>
            <w:r>
              <w:rPr>
                <w:rFonts w:ascii="Aptos" w:hAnsi="Aptos"/>
                <w:b w:val="0"/>
                <w:sz w:val="18"/>
              </w:rPr>
              <w:t>163,3</w:t>
            </w:r>
          </w:p>
        </w:tc>
        <w:tc>
          <w:tcPr>
            <w:tcW w:type="dxa" w:w="3312"/>
            <w:vAlign w:val="center"/>
          </w:tcPr>
          <w:p>
            <w:r/>
            <w:r>
              <w:rPr>
                <w:rFonts w:ascii="Aptos" w:hAnsi="Aptos"/>
                <w:b w:val="0"/>
                <w:sz w:val="18"/>
              </w:rPr>
              <w:t>20,4</w:t>
            </w:r>
          </w:p>
        </w:tc>
      </w:tr>
      <w:tr>
        <w:tc>
          <w:tcPr>
            <w:tcW w:type="dxa" w:w="3312"/>
            <w:vAlign w:val="center"/>
            <w:shd w:fill="F2F6F8"/>
          </w:tcPr>
          <w:p>
            <w:r/>
            <w:r>
              <w:rPr>
                <w:rFonts w:ascii="Aptos" w:hAnsi="Aptos"/>
                <w:b w:val="0"/>
                <w:sz w:val="18"/>
              </w:rPr>
              <w:t>90 segundos</w:t>
            </w:r>
          </w:p>
        </w:tc>
        <w:tc>
          <w:tcPr>
            <w:tcW w:type="dxa" w:w="3168"/>
            <w:vAlign w:val="center"/>
            <w:shd w:fill="F2F6F8"/>
          </w:tcPr>
          <w:p>
            <w:r/>
            <w:r>
              <w:rPr>
                <w:rFonts w:ascii="Aptos" w:hAnsi="Aptos"/>
                <w:b w:val="0"/>
                <w:sz w:val="18"/>
              </w:rPr>
              <w:t>244,9</w:t>
            </w:r>
          </w:p>
        </w:tc>
        <w:tc>
          <w:tcPr>
            <w:tcW w:type="dxa" w:w="3312"/>
            <w:vAlign w:val="center"/>
            <w:shd w:fill="F2F6F8"/>
          </w:tcPr>
          <w:p>
            <w:r/>
            <w:r>
              <w:rPr>
                <w:rFonts w:ascii="Aptos" w:hAnsi="Aptos"/>
                <w:b w:val="0"/>
                <w:sz w:val="18"/>
              </w:rPr>
              <w:t>30,6</w:t>
            </w:r>
          </w:p>
        </w:tc>
      </w:tr>
      <w:tr>
        <w:tc>
          <w:tcPr>
            <w:tcW w:type="dxa" w:w="3312"/>
            <w:vAlign w:val="center"/>
          </w:tcPr>
          <w:p>
            <w:r/>
            <w:r>
              <w:rPr>
                <w:rFonts w:ascii="Aptos" w:hAnsi="Aptos"/>
                <w:b w:val="0"/>
                <w:sz w:val="18"/>
              </w:rPr>
              <w:t>120 segundos</w:t>
            </w:r>
          </w:p>
        </w:tc>
        <w:tc>
          <w:tcPr>
            <w:tcW w:type="dxa" w:w="3168"/>
            <w:vAlign w:val="center"/>
          </w:tcPr>
          <w:p>
            <w:r/>
            <w:r>
              <w:rPr>
                <w:rFonts w:ascii="Aptos" w:hAnsi="Aptos"/>
                <w:b w:val="0"/>
                <w:sz w:val="18"/>
              </w:rPr>
              <w:t>326,5</w:t>
            </w:r>
          </w:p>
        </w:tc>
        <w:tc>
          <w:tcPr>
            <w:tcW w:type="dxa" w:w="3312"/>
            <w:vAlign w:val="center"/>
          </w:tcPr>
          <w:p>
            <w:r/>
            <w:r>
              <w:rPr>
                <w:rFonts w:ascii="Aptos" w:hAnsi="Aptos"/>
                <w:b w:val="0"/>
                <w:sz w:val="18"/>
              </w:rPr>
              <w:t>40,8</w:t>
            </w:r>
          </w:p>
        </w:tc>
      </w:tr>
    </w:tbl>
    <w:p/>
    <w:p>
      <w:r>
        <w:t>Os valores da tabela são cenários hipotéticos, não medições. A estimativa definitiva deve usar tempo observado em amostra representativa. Reportar média, mediana, percentil 90 e dispersão.</w:t>
      </w:r>
    </w:p>
    <w:p>
      <w:pPr>
        <w:pStyle w:val="Heading1"/>
      </w:pPr>
      <w:r>
        <w:t>8. Medição do PostgreSQL</w:t>
      </w:r>
    </w:p>
    <w:p>
      <w:r>
        <w:t>Registrar pelo menos:</w:t>
      </w:r>
    </w:p>
    <w:p>
      <w:pPr>
        <w:pStyle w:val="ListBullet"/>
      </w:pPr>
      <w:r>
        <w:t>Tempo de carga/preparação do catálogo, normalização e criação de índices.</w:t>
      </w:r>
    </w:p>
    <w:p>
      <w:pPr>
        <w:pStyle w:val="ListBullet"/>
      </w:pPr>
      <w:r>
        <w:t>Tempo total para processar 9.795 linhas, incluindo gravação dos resultados.</w:t>
      </w:r>
    </w:p>
    <w:p>
      <w:pPr>
        <w:pStyle w:val="ListBullet"/>
      </w:pPr>
      <w:r>
        <w:t>Tempo por consulta/lote, mediana e percentil 90.</w:t>
      </w:r>
    </w:p>
    <w:p>
      <w:pPr>
        <w:pStyle w:val="ListBullet"/>
      </w:pPr>
      <w:r>
        <w:t>Linhas por segundo, CPU, memória e armazenamento.</w:t>
      </w:r>
    </w:p>
    <w:p>
      <w:pPr>
        <w:pStyle w:val="ListBullet"/>
      </w:pPr>
      <w:r>
        <w:t>Número de candidatos avaliados e quantidade de resultados sem confiança suficiente.</w:t>
      </w:r>
    </w:p>
    <w:p>
      <w:pPr>
        <w:pStyle w:val="ListBullet"/>
      </w:pPr>
      <w:r>
        <w:t>Tempo humano de revisão e retrabalho após a execução.</w:t>
      </w:r>
    </w:p>
    <w:p>
      <w:r>
        <w:t>Speedup técnico = horas humanas estimadas / horas de execução do PostgreSQL. Essa métrica compara apenas execução técnica. Para uma comparação de negócio, reportar também o tempo total até obter classificações validadas, incluindo revisão.</w:t>
      </w:r>
    </w:p>
    <w:p>
      <w:pPr>
        <w:pStyle w:val="Heading1"/>
      </w:pPr>
      <w:r>
        <w:t>9. Medição da LLM</w:t>
      </w:r>
    </w:p>
    <w:p>
      <w:r>
        <w:t>Tempo total da LLM = fila + requisições + tentativas adicionais + validação. Registrar também o número de chamadas, descrições por lote, tokens de entrada/saída, latência, erros e custo da API. Não comparar a latência de uma única chamada com o tempo completo do banco.</w:t>
      </w:r>
    </w:p>
    <w:p>
      <w:pPr>
        <w:pStyle w:val="Heading1"/>
      </w:pPr>
      <w:r>
        <w:t>10. Qualidade e amostragem</w:t>
      </w:r>
    </w:p>
    <w:p>
      <w:r>
        <w:t>Como referência inicial, para população de 9.795 linhas, 95% de confiança, margem de erro de ±5 pontos percentuais e proporção conservadora de 50%, uma amostra aleatória simples fica em torno de 370 linhas. Essa estimativa é apropriada para uma proporção global sob as premissas indicadas; não garante avaliação suficiente de subgrupos raros.</w:t>
      </w:r>
    </w:p>
    <w:p>
      <w:r>
        <w:t>Além da amostra aleatória, selecionar casos difíceis para análise diagnóstica: baixa similaridade, descrições curtas, abreviações, vocabulário específico, termos genéricos e casos em que candidatos diferem em escopo. Resultados dessa amostra adicional devem ser reportados separadamente, não misturados ingenuamente à estimativa aleatória global.</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5324B"/>
          </w:tcPr>
          <w:p>
            <w:r/>
            <w:r>
              <w:rPr>
                <w:rFonts w:ascii="Aptos" w:hAnsi="Aptos"/>
                <w:b/>
                <w:color w:val="FFFFFF"/>
                <w:sz w:val="18"/>
              </w:rPr>
              <w:t>Métrica</w:t>
            </w:r>
          </w:p>
        </w:tc>
        <w:tc>
          <w:tcPr>
            <w:tcW w:type="dxa" w:w="6912"/>
            <w:vAlign w:val="center"/>
            <w:shd w:fill="15324B"/>
          </w:tcPr>
          <w:p>
            <w:r/>
            <w:r>
              <w:rPr>
                <w:rFonts w:ascii="Aptos" w:hAnsi="Aptos"/>
                <w:b/>
                <w:color w:val="FFFFFF"/>
                <w:sz w:val="18"/>
              </w:rPr>
              <w:t>Definição</w:t>
            </w:r>
          </w:p>
        </w:tc>
      </w:tr>
      <w:tr>
        <w:tc>
          <w:tcPr>
            <w:tcW w:type="dxa" w:w="2880"/>
            <w:vAlign w:val="center"/>
          </w:tcPr>
          <w:p>
            <w:r/>
            <w:r>
              <w:rPr>
                <w:rFonts w:ascii="Aptos" w:hAnsi="Aptos"/>
                <w:b w:val="0"/>
                <w:sz w:val="18"/>
              </w:rPr>
              <w:t>Acurácia Top-1</w:t>
            </w:r>
          </w:p>
        </w:tc>
        <w:tc>
          <w:tcPr>
            <w:tcW w:type="dxa" w:w="6912"/>
            <w:vAlign w:val="center"/>
          </w:tcPr>
          <w:p>
            <w:r/>
            <w:r>
              <w:rPr>
                <w:rFonts w:ascii="Aptos" w:hAnsi="Aptos"/>
                <w:b w:val="0"/>
                <w:sz w:val="18"/>
              </w:rPr>
              <w:t>Percentual em que o primeiro candidato corresponde ao código de referência.</w:t>
            </w:r>
          </w:p>
        </w:tc>
      </w:tr>
      <w:tr>
        <w:tc>
          <w:tcPr>
            <w:tcW w:type="dxa" w:w="2880"/>
            <w:vAlign w:val="center"/>
            <w:shd w:fill="F2F6F8"/>
          </w:tcPr>
          <w:p>
            <w:r/>
            <w:r>
              <w:rPr>
                <w:rFonts w:ascii="Aptos" w:hAnsi="Aptos"/>
                <w:b w:val="0"/>
                <w:sz w:val="18"/>
              </w:rPr>
              <w:t>Acurácia Top-3</w:t>
            </w:r>
          </w:p>
        </w:tc>
        <w:tc>
          <w:tcPr>
            <w:tcW w:type="dxa" w:w="6912"/>
            <w:vAlign w:val="center"/>
            <w:shd w:fill="F2F6F8"/>
          </w:tcPr>
          <w:p>
            <w:r/>
            <w:r>
              <w:rPr>
                <w:rFonts w:ascii="Aptos" w:hAnsi="Aptos"/>
                <w:b w:val="0"/>
                <w:sz w:val="18"/>
              </w:rPr>
              <w:t>Percentual em que o código de referência aparece entre os três primeiros candidatos.</w:t>
            </w:r>
          </w:p>
        </w:tc>
      </w:tr>
      <w:tr>
        <w:tc>
          <w:tcPr>
            <w:tcW w:type="dxa" w:w="2880"/>
            <w:vAlign w:val="center"/>
          </w:tcPr>
          <w:p>
            <w:r/>
            <w:r>
              <w:rPr>
                <w:rFonts w:ascii="Aptos" w:hAnsi="Aptos"/>
                <w:b w:val="0"/>
                <w:sz w:val="18"/>
              </w:rPr>
              <w:t>Precisão automática</w:t>
            </w:r>
          </w:p>
        </w:tc>
        <w:tc>
          <w:tcPr>
            <w:tcW w:type="dxa" w:w="6912"/>
            <w:vAlign w:val="center"/>
          </w:tcPr>
          <w:p>
            <w:r/>
            <w:r>
              <w:rPr>
                <w:rFonts w:ascii="Aptos" w:hAnsi="Aptos"/>
                <w:b w:val="0"/>
                <w:sz w:val="18"/>
              </w:rPr>
              <w:t>Percentual de classificações aprovadas automaticamente que estão corretas.</w:t>
            </w:r>
          </w:p>
        </w:tc>
      </w:tr>
      <w:tr>
        <w:tc>
          <w:tcPr>
            <w:tcW w:type="dxa" w:w="2880"/>
            <w:vAlign w:val="center"/>
            <w:shd w:fill="F2F6F8"/>
          </w:tcPr>
          <w:p>
            <w:r/>
            <w:r>
              <w:rPr>
                <w:rFonts w:ascii="Aptos" w:hAnsi="Aptos"/>
                <w:b w:val="0"/>
                <w:sz w:val="18"/>
              </w:rPr>
              <w:t>Cobertura automática</w:t>
            </w:r>
          </w:p>
        </w:tc>
        <w:tc>
          <w:tcPr>
            <w:tcW w:type="dxa" w:w="6912"/>
            <w:vAlign w:val="center"/>
            <w:shd w:fill="F2F6F8"/>
          </w:tcPr>
          <w:p>
            <w:r/>
            <w:r>
              <w:rPr>
                <w:rFonts w:ascii="Aptos" w:hAnsi="Aptos"/>
                <w:b w:val="0"/>
                <w:sz w:val="18"/>
              </w:rPr>
              <w:t>Percentual das linhas aprovadas sem revisão humana.</w:t>
            </w:r>
          </w:p>
        </w:tc>
      </w:tr>
      <w:tr>
        <w:tc>
          <w:tcPr>
            <w:tcW w:type="dxa" w:w="2880"/>
            <w:vAlign w:val="center"/>
          </w:tcPr>
          <w:p>
            <w:r/>
            <w:r>
              <w:rPr>
                <w:rFonts w:ascii="Aptos" w:hAnsi="Aptos"/>
                <w:b w:val="0"/>
                <w:sz w:val="18"/>
              </w:rPr>
              <w:t>Taxa de revisão</w:t>
            </w:r>
          </w:p>
        </w:tc>
        <w:tc>
          <w:tcPr>
            <w:tcW w:type="dxa" w:w="6912"/>
            <w:vAlign w:val="center"/>
          </w:tcPr>
          <w:p>
            <w:r/>
            <w:r>
              <w:rPr>
                <w:rFonts w:ascii="Aptos" w:hAnsi="Aptos"/>
                <w:b w:val="0"/>
                <w:sz w:val="18"/>
              </w:rPr>
              <w:t>Percentual de linhas encaminhadas para análise humana.</w:t>
            </w:r>
          </w:p>
        </w:tc>
      </w:tr>
      <w:tr>
        <w:tc>
          <w:tcPr>
            <w:tcW w:type="dxa" w:w="2880"/>
            <w:vAlign w:val="center"/>
            <w:shd w:fill="F2F6F8"/>
          </w:tcPr>
          <w:p>
            <w:r/>
            <w:r>
              <w:rPr>
                <w:rFonts w:ascii="Aptos" w:hAnsi="Aptos"/>
                <w:b w:val="0"/>
                <w:sz w:val="18"/>
              </w:rPr>
              <w:t>Preservação de informação</w:t>
            </w:r>
          </w:p>
        </w:tc>
        <w:tc>
          <w:tcPr>
            <w:tcW w:type="dxa" w:w="6912"/>
            <w:vAlign w:val="center"/>
            <w:shd w:fill="F2F6F8"/>
          </w:tcPr>
          <w:p>
            <w:r/>
            <w:r>
              <w:rPr>
                <w:rFonts w:ascii="Aptos" w:hAnsi="Aptos"/>
                <w:b w:val="0"/>
                <w:sz w:val="18"/>
              </w:rPr>
              <w:t>Verificação de que diferenças relevantes da descrição original não foram perdidas.</w:t>
            </w:r>
          </w:p>
        </w:tc>
      </w:tr>
    </w:tbl>
    <w:p/>
    <w:p>
      <w:r>
        <w:t>O código de referência deve ser determinado independentemente do sistema avaliado. Para casos ambíguos, recomenda-se dupla revisão e resolução de divergências por especialista.</w:t>
      </w:r>
    </w:p>
    <w:p>
      <w:pPr>
        <w:pStyle w:val="Heading1"/>
      </w:pPr>
      <w:r>
        <w:t>11. Cálculo de custos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5324B"/>
          </w:tcPr>
          <w:p>
            <w:r/>
            <w:r>
              <w:rPr>
                <w:rFonts w:ascii="Aptos" w:hAnsi="Aptos"/>
                <w:b/>
                <w:color w:val="FFFFFF"/>
                <w:sz w:val="18"/>
              </w:rPr>
              <w:t>Componente</w:t>
            </w:r>
          </w:p>
        </w:tc>
        <w:tc>
          <w:tcPr>
            <w:tcW w:type="dxa" w:w="6912"/>
            <w:vAlign w:val="center"/>
            <w:shd w:fill="15324B"/>
          </w:tcPr>
          <w:p>
            <w:r/>
            <w:r>
              <w:rPr>
                <w:rFonts w:ascii="Aptos" w:hAnsi="Aptos"/>
                <w:b/>
                <w:color w:val="FFFFFF"/>
                <w:sz w:val="18"/>
              </w:rPr>
              <w:t>Fórmula/itens</w:t>
            </w:r>
          </w:p>
        </w:tc>
      </w:tr>
      <w:tr>
        <w:tc>
          <w:tcPr>
            <w:tcW w:type="dxa" w:w="2880"/>
            <w:vAlign w:val="center"/>
          </w:tcPr>
          <w:p>
            <w:r/>
            <w:r>
              <w:rPr>
                <w:rFonts w:ascii="Aptos" w:hAnsi="Aptos"/>
                <w:b w:val="0"/>
                <w:sz w:val="18"/>
              </w:rPr>
              <w:t>Trabalho humano</w:t>
            </w:r>
          </w:p>
        </w:tc>
        <w:tc>
          <w:tcPr>
            <w:tcW w:type="dxa" w:w="6912"/>
            <w:vAlign w:val="center"/>
          </w:tcPr>
          <w:p>
            <w:r/>
            <w:r>
              <w:rPr>
                <w:rFonts w:ascii="Aptos" w:hAnsi="Aptos"/>
                <w:b w:val="0"/>
                <w:sz w:val="18"/>
              </w:rPr>
              <w:t>Horas humanas × custo completo por hora</w:t>
            </w:r>
          </w:p>
        </w:tc>
      </w:tr>
      <w:tr>
        <w:tc>
          <w:tcPr>
            <w:tcW w:type="dxa" w:w="2880"/>
            <w:vAlign w:val="center"/>
            <w:shd w:fill="F2F6F8"/>
          </w:tcPr>
          <w:p>
            <w:r/>
            <w:r>
              <w:rPr>
                <w:rFonts w:ascii="Aptos" w:hAnsi="Aptos"/>
                <w:b w:val="0"/>
                <w:sz w:val="18"/>
              </w:rPr>
              <w:t>PostgreSQL operacional</w:t>
            </w:r>
          </w:p>
        </w:tc>
        <w:tc>
          <w:tcPr>
            <w:tcW w:type="dxa" w:w="6912"/>
            <w:vAlign w:val="center"/>
            <w:shd w:fill="F2F6F8"/>
          </w:tcPr>
          <w:p>
            <w:r/>
            <w:r>
              <w:rPr>
                <w:rFonts w:ascii="Aptos" w:hAnsi="Aptos"/>
                <w:b w:val="0"/>
                <w:sz w:val="18"/>
              </w:rPr>
              <w:t>Infraestrutura + revisão humana + retrabalho + manutenção alocada</w:t>
            </w:r>
          </w:p>
        </w:tc>
      </w:tr>
      <w:tr>
        <w:tc>
          <w:tcPr>
            <w:tcW w:type="dxa" w:w="2880"/>
            <w:vAlign w:val="center"/>
          </w:tcPr>
          <w:p>
            <w:r/>
            <w:r>
              <w:rPr>
                <w:rFonts w:ascii="Aptos" w:hAnsi="Aptos"/>
                <w:b w:val="0"/>
                <w:sz w:val="18"/>
              </w:rPr>
              <w:t>PostgreSQL total inicial</w:t>
            </w:r>
          </w:p>
        </w:tc>
        <w:tc>
          <w:tcPr>
            <w:tcW w:type="dxa" w:w="6912"/>
            <w:vAlign w:val="center"/>
          </w:tcPr>
          <w:p>
            <w:r/>
            <w:r>
              <w:rPr>
                <w:rFonts w:ascii="Aptos" w:hAnsi="Aptos"/>
                <w:b w:val="0"/>
                <w:sz w:val="18"/>
              </w:rPr>
              <w:t>Custo operacional + desenvolvimento + preparação/calibração</w:t>
            </w:r>
          </w:p>
        </w:tc>
      </w:tr>
      <w:tr>
        <w:tc>
          <w:tcPr>
            <w:tcW w:type="dxa" w:w="2880"/>
            <w:vAlign w:val="center"/>
            <w:shd w:fill="F2F6F8"/>
          </w:tcPr>
          <w:p>
            <w:r/>
            <w:r>
              <w:rPr>
                <w:rFonts w:ascii="Aptos" w:hAnsi="Aptos"/>
                <w:b w:val="0"/>
                <w:sz w:val="18"/>
              </w:rPr>
              <w:t>LLM</w:t>
            </w:r>
          </w:p>
        </w:tc>
        <w:tc>
          <w:tcPr>
            <w:tcW w:type="dxa" w:w="6912"/>
            <w:vAlign w:val="center"/>
            <w:shd w:fill="F2F6F8"/>
          </w:tcPr>
          <w:p>
            <w:r/>
            <w:r>
              <w:rPr>
                <w:rFonts w:ascii="Aptos" w:hAnsi="Aptos"/>
                <w:b w:val="0"/>
                <w:sz w:val="18"/>
              </w:rPr>
              <w:t>API/tokens + infraestrutura + revisão humana + retrabalho</w:t>
            </w:r>
          </w:p>
        </w:tc>
      </w:tr>
    </w:tbl>
    <w:p/>
    <w:p>
      <w:r>
        <w:t>Separar custo de implantação (desenvolvimento, preparação e calibração) de custo operacional por lote. Para uso recorrente, reportar custo por lote e custo acumulado em um horizonte definido. Incluir o custo de erros e retrabalho, não apenas o custo de execução.</w:t>
      </w:r>
    </w:p>
    <w:p>
      <w:pPr>
        <w:pStyle w:val="Heading1"/>
      </w:pPr>
      <w:r>
        <w:t>12. Registro de resultados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15324B"/>
          </w:tcPr>
          <w:p>
            <w:r/>
            <w:r>
              <w:rPr>
                <w:rFonts w:ascii="Aptos" w:hAnsi="Aptos"/>
                <w:b/>
                <w:color w:val="FFFFFF"/>
                <w:sz w:val="18"/>
              </w:rPr>
              <w:t>Indicador</w:t>
            </w:r>
          </w:p>
        </w:tc>
        <w:tc>
          <w:tcPr>
            <w:tcW w:type="dxa" w:w="2448"/>
            <w:vAlign w:val="center"/>
            <w:shd w:fill="15324B"/>
          </w:tcPr>
          <w:p>
            <w:r/>
            <w:r>
              <w:rPr>
                <w:rFonts w:ascii="Aptos" w:hAnsi="Aptos"/>
                <w:b/>
                <w:color w:val="FFFFFF"/>
                <w:sz w:val="18"/>
              </w:rPr>
              <w:t>Humano</w:t>
            </w:r>
          </w:p>
        </w:tc>
        <w:tc>
          <w:tcPr>
            <w:tcW w:type="dxa" w:w="2736"/>
            <w:vAlign w:val="center"/>
            <w:shd w:fill="15324B"/>
          </w:tcPr>
          <w:p>
            <w:r/>
            <w:r>
              <w:rPr>
                <w:rFonts w:ascii="Aptos" w:hAnsi="Aptos"/>
                <w:b/>
                <w:color w:val="FFFFFF"/>
                <w:sz w:val="18"/>
              </w:rPr>
              <w:t>PostgreSQL/FM</w:t>
            </w:r>
          </w:p>
        </w:tc>
        <w:tc>
          <w:tcPr>
            <w:tcW w:type="dxa" w:w="2304"/>
            <w:vAlign w:val="center"/>
            <w:shd w:fill="15324B"/>
          </w:tcPr>
          <w:p>
            <w:r/>
            <w:r>
              <w:rPr>
                <w:rFonts w:ascii="Aptos" w:hAnsi="Aptos"/>
                <w:b/>
                <w:color w:val="FFFFFF"/>
                <w:sz w:val="18"/>
              </w:rPr>
              <w:t>LLM</w:t>
            </w:r>
          </w:p>
        </w:tc>
      </w:tr>
      <w:tr>
        <w:tc>
          <w:tcPr>
            <w:tcW w:type="dxa" w:w="2304"/>
            <w:vAlign w:val="center"/>
          </w:tcPr>
          <w:p>
            <w:r/>
            <w:r>
              <w:rPr>
                <w:rFonts w:ascii="Aptos" w:hAnsi="Aptos"/>
                <w:b w:val="0"/>
                <w:sz w:val="18"/>
              </w:rPr>
              <w:t>Tempo de preparação</w:t>
            </w:r>
          </w:p>
        </w:tc>
        <w:tc>
          <w:tcPr>
            <w:tcW w:type="dxa" w:w="2448"/>
            <w:vAlign w:val="center"/>
          </w:tcPr>
          <w:p>
            <w:r/>
            <w:r>
              <w:rPr>
                <w:rFonts w:ascii="Aptos" w:hAnsi="Aptos"/>
                <w:b w:val="0"/>
                <w:sz w:val="18"/>
              </w:rPr>
              <w:t>N/A ou treinamento</w:t>
            </w:r>
          </w:p>
        </w:tc>
        <w:tc>
          <w:tcPr>
            <w:tcW w:type="dxa" w:w="2736"/>
            <w:vAlign w:val="center"/>
          </w:tcPr>
          <w:p>
            <w:r/>
            <w:r>
              <w:rPr>
                <w:rFonts w:ascii="Aptos" w:hAnsi="Aptos"/>
                <w:b w:val="0"/>
                <w:sz w:val="18"/>
              </w:rPr>
              <w:t>Medir</w:t>
            </w:r>
          </w:p>
        </w:tc>
        <w:tc>
          <w:tcPr>
            <w:tcW w:type="dxa" w:w="2304"/>
            <w:vAlign w:val="center"/>
          </w:tcPr>
          <w:p>
            <w:r/>
            <w:r>
              <w:rPr>
                <w:rFonts w:ascii="Aptos" w:hAnsi="Aptos"/>
                <w:b w:val="0"/>
                <w:sz w:val="18"/>
              </w:rPr>
              <w:t>Preparação de prompt/candidatos</w:t>
            </w:r>
          </w:p>
        </w:tc>
      </w:tr>
      <w:tr>
        <w:tc>
          <w:tcPr>
            <w:tcW w:type="dxa" w:w="2304"/>
            <w:vAlign w:val="center"/>
            <w:shd w:fill="F2F6F8"/>
          </w:tcPr>
          <w:p>
            <w:r/>
            <w:r>
              <w:rPr>
                <w:rFonts w:ascii="Aptos" w:hAnsi="Aptos"/>
                <w:b w:val="0"/>
                <w:sz w:val="18"/>
              </w:rPr>
              <w:t>Tempo de classificação</w:t>
            </w:r>
          </w:p>
        </w:tc>
        <w:tc>
          <w:tcPr>
            <w:tcW w:type="dxa" w:w="2448"/>
            <w:vAlign w:val="center"/>
            <w:shd w:fill="F2F6F8"/>
          </w:tcPr>
          <w:p>
            <w:r/>
            <w:r>
              <w:rPr>
                <w:rFonts w:ascii="Aptos" w:hAnsi="Aptos"/>
                <w:b w:val="0"/>
                <w:sz w:val="18"/>
              </w:rPr>
              <w:t>Cronometrar</w:t>
            </w:r>
          </w:p>
        </w:tc>
        <w:tc>
          <w:tcPr>
            <w:tcW w:type="dxa" w:w="2736"/>
            <w:vAlign w:val="center"/>
            <w:shd w:fill="F2F6F8"/>
          </w:tcPr>
          <w:p>
            <w:r/>
            <w:r>
              <w:rPr>
                <w:rFonts w:ascii="Aptos" w:hAnsi="Aptos"/>
                <w:b w:val="0"/>
                <w:sz w:val="18"/>
              </w:rPr>
              <w:t>Medir</w:t>
            </w:r>
          </w:p>
        </w:tc>
        <w:tc>
          <w:tcPr>
            <w:tcW w:type="dxa" w:w="2304"/>
            <w:vAlign w:val="center"/>
            <w:shd w:fill="F2F6F8"/>
          </w:tcPr>
          <w:p>
            <w:r/>
            <w:r>
              <w:rPr>
                <w:rFonts w:ascii="Aptos" w:hAnsi="Aptos"/>
                <w:b w:val="0"/>
                <w:sz w:val="18"/>
              </w:rPr>
              <w:t>Medir</w:t>
            </w:r>
          </w:p>
        </w:tc>
      </w:tr>
      <w:tr>
        <w:tc>
          <w:tcPr>
            <w:tcW w:type="dxa" w:w="2304"/>
            <w:vAlign w:val="center"/>
          </w:tcPr>
          <w:p>
            <w:r/>
            <w:r>
              <w:rPr>
                <w:rFonts w:ascii="Aptos" w:hAnsi="Aptos"/>
                <w:b w:val="0"/>
                <w:sz w:val="18"/>
              </w:rPr>
              <w:t>Tempo de revisão</w:t>
            </w:r>
          </w:p>
        </w:tc>
        <w:tc>
          <w:tcPr>
            <w:tcW w:type="dxa" w:w="2448"/>
            <w:vAlign w:val="center"/>
          </w:tcPr>
          <w:p>
            <w:r/>
            <w:r>
              <w:rPr>
                <w:rFonts w:ascii="Aptos" w:hAnsi="Aptos"/>
                <w:b w:val="0"/>
                <w:sz w:val="18"/>
              </w:rPr>
              <w:t>Revisão de referência separada</w:t>
            </w:r>
          </w:p>
        </w:tc>
        <w:tc>
          <w:tcPr>
            <w:tcW w:type="dxa" w:w="2736"/>
            <w:vAlign w:val="center"/>
          </w:tcPr>
          <w:p>
            <w:r/>
            <w:r>
              <w:rPr>
                <w:rFonts w:ascii="Aptos" w:hAnsi="Aptos"/>
                <w:b w:val="0"/>
                <w:sz w:val="18"/>
              </w:rPr>
              <w:t>Medir</w:t>
            </w:r>
          </w:p>
        </w:tc>
        <w:tc>
          <w:tcPr>
            <w:tcW w:type="dxa" w:w="2304"/>
            <w:vAlign w:val="center"/>
          </w:tcPr>
          <w:p>
            <w:r/>
            <w:r>
              <w:rPr>
                <w:rFonts w:ascii="Aptos" w:hAnsi="Aptos"/>
                <w:b w:val="0"/>
                <w:sz w:val="18"/>
              </w:rPr>
              <w:t>Medir</w:t>
            </w:r>
          </w:p>
        </w:tc>
      </w:tr>
      <w:tr>
        <w:tc>
          <w:tcPr>
            <w:tcW w:type="dxa" w:w="2304"/>
            <w:vAlign w:val="center"/>
            <w:shd w:fill="F2F6F8"/>
          </w:tcPr>
          <w:p>
            <w:r/>
            <w:r>
              <w:rPr>
                <w:rFonts w:ascii="Aptos" w:hAnsi="Aptos"/>
                <w:b w:val="0"/>
                <w:sz w:val="18"/>
              </w:rPr>
              <w:t>Custo total</w:t>
            </w:r>
          </w:p>
        </w:tc>
        <w:tc>
          <w:tcPr>
            <w:tcW w:type="dxa" w:w="2448"/>
            <w:vAlign w:val="center"/>
            <w:shd w:fill="F2F6F8"/>
          </w:tcPr>
          <w:p>
            <w:r/>
            <w:r>
              <w:rPr>
                <w:rFonts w:ascii="Aptos" w:hAnsi="Aptos"/>
                <w:b w:val="0"/>
                <w:sz w:val="18"/>
              </w:rPr>
              <w:t>Horas × custo/hora</w:t>
            </w:r>
          </w:p>
        </w:tc>
        <w:tc>
          <w:tcPr>
            <w:tcW w:type="dxa" w:w="2736"/>
            <w:vAlign w:val="center"/>
            <w:shd w:fill="F2F6F8"/>
          </w:tcPr>
          <w:p>
            <w:r/>
            <w:r>
              <w:rPr>
                <w:rFonts w:ascii="Aptos" w:hAnsi="Aptos"/>
                <w:b w:val="0"/>
                <w:sz w:val="18"/>
              </w:rPr>
              <w:t>Infra + desenvolvimento + revisão</w:t>
            </w:r>
          </w:p>
        </w:tc>
        <w:tc>
          <w:tcPr>
            <w:tcW w:type="dxa" w:w="2304"/>
            <w:vAlign w:val="center"/>
            <w:shd w:fill="F2F6F8"/>
          </w:tcPr>
          <w:p>
            <w:r/>
            <w:r>
              <w:rPr>
                <w:rFonts w:ascii="Aptos" w:hAnsi="Aptos"/>
                <w:b w:val="0"/>
                <w:sz w:val="18"/>
              </w:rPr>
              <w:t>API + infra + revisão</w:t>
            </w:r>
          </w:p>
        </w:tc>
      </w:tr>
      <w:tr>
        <w:tc>
          <w:tcPr>
            <w:tcW w:type="dxa" w:w="2304"/>
            <w:vAlign w:val="center"/>
          </w:tcPr>
          <w:p>
            <w:r/>
            <w:r>
              <w:rPr>
                <w:rFonts w:ascii="Aptos" w:hAnsi="Aptos"/>
                <w:b w:val="0"/>
                <w:sz w:val="18"/>
              </w:rPr>
              <w:t>Acurácia Top-1</w:t>
            </w:r>
          </w:p>
        </w:tc>
        <w:tc>
          <w:tcPr>
            <w:tcW w:type="dxa" w:w="2448"/>
            <w:vAlign w:val="center"/>
          </w:tcPr>
          <w:p>
            <w:r/>
            <w:r>
              <w:rPr>
                <w:rFonts w:ascii="Aptos" w:hAnsi="Aptos"/>
                <w:b w:val="0"/>
                <w:sz w:val="18"/>
              </w:rPr>
              <w:t>Medir contra referência</w:t>
            </w:r>
          </w:p>
        </w:tc>
        <w:tc>
          <w:tcPr>
            <w:tcW w:type="dxa" w:w="2736"/>
            <w:vAlign w:val="center"/>
          </w:tcPr>
          <w:p>
            <w:r/>
            <w:r>
              <w:rPr>
                <w:rFonts w:ascii="Aptos" w:hAnsi="Aptos"/>
                <w:b w:val="0"/>
                <w:sz w:val="18"/>
              </w:rPr>
              <w:t>Medir contra referência</w:t>
            </w:r>
          </w:p>
        </w:tc>
        <w:tc>
          <w:tcPr>
            <w:tcW w:type="dxa" w:w="2304"/>
            <w:vAlign w:val="center"/>
          </w:tcPr>
          <w:p>
            <w:r/>
            <w:r>
              <w:rPr>
                <w:rFonts w:ascii="Aptos" w:hAnsi="Aptos"/>
                <w:b w:val="0"/>
                <w:sz w:val="18"/>
              </w:rPr>
              <w:t>Medir contra referência</w:t>
            </w:r>
          </w:p>
        </w:tc>
      </w:tr>
      <w:tr>
        <w:tc>
          <w:tcPr>
            <w:tcW w:type="dxa" w:w="2304"/>
            <w:vAlign w:val="center"/>
            <w:shd w:fill="F2F6F8"/>
          </w:tcPr>
          <w:p>
            <w:r/>
            <w:r>
              <w:rPr>
                <w:rFonts w:ascii="Aptos" w:hAnsi="Aptos"/>
                <w:b w:val="0"/>
                <w:sz w:val="18"/>
              </w:rPr>
              <w:t>Acurácia Top-3</w:t>
            </w:r>
          </w:p>
        </w:tc>
        <w:tc>
          <w:tcPr>
            <w:tcW w:type="dxa" w:w="2448"/>
            <w:vAlign w:val="center"/>
            <w:shd w:fill="F2F6F8"/>
          </w:tcPr>
          <w:p>
            <w:r/>
            <w:r>
              <w:rPr>
                <w:rFonts w:ascii="Aptos" w:hAnsi="Aptos"/>
                <w:b w:val="0"/>
                <w:sz w:val="18"/>
              </w:rPr>
              <w:t>Opcional</w:t>
            </w:r>
          </w:p>
        </w:tc>
        <w:tc>
          <w:tcPr>
            <w:tcW w:type="dxa" w:w="2736"/>
            <w:vAlign w:val="center"/>
            <w:shd w:fill="F2F6F8"/>
          </w:tcPr>
          <w:p>
            <w:r/>
            <w:r>
              <w:rPr>
                <w:rFonts w:ascii="Aptos" w:hAnsi="Aptos"/>
                <w:b w:val="0"/>
                <w:sz w:val="18"/>
              </w:rPr>
              <w:t>Medir</w:t>
            </w:r>
          </w:p>
        </w:tc>
        <w:tc>
          <w:tcPr>
            <w:tcW w:type="dxa" w:w="2304"/>
            <w:vAlign w:val="center"/>
            <w:shd w:fill="F2F6F8"/>
          </w:tcPr>
          <w:p>
            <w:r/>
            <w:r>
              <w:rPr>
                <w:rFonts w:ascii="Aptos" w:hAnsi="Aptos"/>
                <w:b w:val="0"/>
                <w:sz w:val="18"/>
              </w:rPr>
              <w:t>Medir</w:t>
            </w:r>
          </w:p>
        </w:tc>
      </w:tr>
      <w:tr>
        <w:tc>
          <w:tcPr>
            <w:tcW w:type="dxa" w:w="2304"/>
            <w:vAlign w:val="center"/>
          </w:tcPr>
          <w:p>
            <w:r/>
            <w:r>
              <w:rPr>
                <w:rFonts w:ascii="Aptos" w:hAnsi="Aptos"/>
                <w:b w:val="0"/>
                <w:sz w:val="18"/>
              </w:rPr>
              <w:t>Cobertura sem revisão</w:t>
            </w:r>
          </w:p>
        </w:tc>
        <w:tc>
          <w:tcPr>
            <w:tcW w:type="dxa" w:w="2448"/>
            <w:vAlign w:val="center"/>
          </w:tcPr>
          <w:p>
            <w:r/>
            <w:r>
              <w:rPr>
                <w:rFonts w:ascii="Aptos" w:hAnsi="Aptos"/>
                <w:b w:val="0"/>
                <w:sz w:val="18"/>
              </w:rPr>
              <w:t>N/A</w:t>
            </w:r>
          </w:p>
        </w:tc>
        <w:tc>
          <w:tcPr>
            <w:tcW w:type="dxa" w:w="2736"/>
            <w:vAlign w:val="center"/>
          </w:tcPr>
          <w:p>
            <w:r/>
            <w:r>
              <w:rPr>
                <w:rFonts w:ascii="Aptos" w:hAnsi="Aptos"/>
                <w:b w:val="0"/>
                <w:sz w:val="18"/>
              </w:rPr>
              <w:t>Medir</w:t>
            </w:r>
          </w:p>
        </w:tc>
        <w:tc>
          <w:tcPr>
            <w:tcW w:type="dxa" w:w="2304"/>
            <w:vAlign w:val="center"/>
          </w:tcPr>
          <w:p>
            <w:r/>
            <w:r>
              <w:rPr>
                <w:rFonts w:ascii="Aptos" w:hAnsi="Aptos"/>
                <w:b w:val="0"/>
                <w:sz w:val="18"/>
              </w:rPr>
              <w:t>Medir</w:t>
            </w:r>
          </w:p>
        </w:tc>
      </w:tr>
      <w:tr>
        <w:tc>
          <w:tcPr>
            <w:tcW w:type="dxa" w:w="2304"/>
            <w:vAlign w:val="center"/>
            <w:shd w:fill="F2F6F8"/>
          </w:tcPr>
          <w:p>
            <w:r/>
            <w:r>
              <w:rPr>
                <w:rFonts w:ascii="Aptos" w:hAnsi="Aptos"/>
                <w:b w:val="0"/>
                <w:sz w:val="18"/>
              </w:rPr>
              <w:t>Preservação de informação</w:t>
            </w:r>
          </w:p>
        </w:tc>
        <w:tc>
          <w:tcPr>
            <w:tcW w:type="dxa" w:w="2448"/>
            <w:vAlign w:val="center"/>
            <w:shd w:fill="F2F6F8"/>
          </w:tcPr>
          <w:p>
            <w:r/>
            <w:r>
              <w:rPr>
                <w:rFonts w:ascii="Aptos" w:hAnsi="Aptos"/>
                <w:b w:val="0"/>
                <w:sz w:val="18"/>
              </w:rPr>
              <w:t>Auditar</w:t>
            </w:r>
          </w:p>
        </w:tc>
        <w:tc>
          <w:tcPr>
            <w:tcW w:type="dxa" w:w="2736"/>
            <w:vAlign w:val="center"/>
            <w:shd w:fill="F2F6F8"/>
          </w:tcPr>
          <w:p>
            <w:r/>
            <w:r>
              <w:rPr>
                <w:rFonts w:ascii="Aptos" w:hAnsi="Aptos"/>
                <w:b w:val="0"/>
                <w:sz w:val="18"/>
              </w:rPr>
              <w:t>Auditar</w:t>
            </w:r>
          </w:p>
        </w:tc>
        <w:tc>
          <w:tcPr>
            <w:tcW w:type="dxa" w:w="2304"/>
            <w:vAlign w:val="center"/>
            <w:shd w:fill="F2F6F8"/>
          </w:tcPr>
          <w:p>
            <w:r/>
            <w:r>
              <w:rPr>
                <w:rFonts w:ascii="Aptos" w:hAnsi="Aptos"/>
                <w:b w:val="0"/>
                <w:sz w:val="18"/>
              </w:rPr>
              <w:t>Auditar</w:t>
            </w:r>
          </w:p>
        </w:tc>
      </w:tr>
    </w:tbl>
    <w:p/>
    <w:p>
      <w:pPr>
        <w:pStyle w:val="Heading1"/>
      </w:pPr>
      <w:r>
        <w:t>13. Riscos e controles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5324B"/>
          </w:tcPr>
          <w:p>
            <w:r/>
            <w:r>
              <w:rPr>
                <w:rFonts w:ascii="Aptos" w:hAnsi="Aptos"/>
                <w:b/>
                <w:color w:val="FFFFFF"/>
                <w:sz w:val="18"/>
              </w:rPr>
              <w:t>Risco</w:t>
            </w:r>
          </w:p>
        </w:tc>
        <w:tc>
          <w:tcPr>
            <w:tcW w:type="dxa" w:w="6624"/>
            <w:vAlign w:val="center"/>
            <w:shd w:fill="15324B"/>
          </w:tcPr>
          <w:p>
            <w:r/>
            <w:r>
              <w:rPr>
                <w:rFonts w:ascii="Aptos" w:hAnsi="Aptos"/>
                <w:b/>
                <w:color w:val="FFFFFF"/>
                <w:sz w:val="18"/>
              </w:rPr>
              <w:t>Controle recomendado</w:t>
            </w:r>
          </w:p>
        </w:tc>
      </w:tr>
      <w:tr>
        <w:tc>
          <w:tcPr>
            <w:tcW w:type="dxa" w:w="3168"/>
            <w:vAlign w:val="center"/>
          </w:tcPr>
          <w:p>
            <w:r/>
            <w:r>
              <w:rPr>
                <w:rFonts w:ascii="Aptos" w:hAnsi="Aptos"/>
                <w:b w:val="0"/>
                <w:sz w:val="18"/>
              </w:rPr>
              <w:t>Texto parecido, serviço diferente</w:t>
            </w:r>
          </w:p>
        </w:tc>
        <w:tc>
          <w:tcPr>
            <w:tcW w:type="dxa" w:w="6624"/>
            <w:vAlign w:val="center"/>
          </w:tcPr>
          <w:p>
            <w:r/>
            <w:r>
              <w:rPr>
                <w:rFonts w:ascii="Aptos" w:hAnsi="Aptos"/>
                <w:b w:val="0"/>
                <w:sz w:val="18"/>
              </w:rPr>
              <w:t>Validar códigos contra referência; revisar casos ambíguos.</w:t>
            </w:r>
          </w:p>
        </w:tc>
      </w:tr>
      <w:tr>
        <w:tc>
          <w:tcPr>
            <w:tcW w:type="dxa" w:w="3168"/>
            <w:vAlign w:val="center"/>
            <w:shd w:fill="F2F6F8"/>
          </w:tcPr>
          <w:p>
            <w:r/>
            <w:r>
              <w:rPr>
                <w:rFonts w:ascii="Aptos" w:hAnsi="Aptos"/>
                <w:b w:val="0"/>
                <w:sz w:val="18"/>
              </w:rPr>
              <w:t>Descrição original perde informação</w:t>
            </w:r>
          </w:p>
        </w:tc>
        <w:tc>
          <w:tcPr>
            <w:tcW w:type="dxa" w:w="6624"/>
            <w:vAlign w:val="center"/>
            <w:shd w:fill="F2F6F8"/>
          </w:tcPr>
          <w:p>
            <w:r/>
            <w:r>
              <w:rPr>
                <w:rFonts w:ascii="Aptos" w:hAnsi="Aptos"/>
                <w:b w:val="0"/>
                <w:sz w:val="18"/>
              </w:rPr>
              <w:t>Manter texto original imutável e normalização em coluna separada.</w:t>
            </w:r>
          </w:p>
        </w:tc>
      </w:tr>
      <w:tr>
        <w:tc>
          <w:tcPr>
            <w:tcW w:type="dxa" w:w="3168"/>
            <w:vAlign w:val="center"/>
          </w:tcPr>
          <w:p>
            <w:r/>
            <w:r>
              <w:rPr>
                <w:rFonts w:ascii="Aptos" w:hAnsi="Aptos"/>
                <w:b w:val="0"/>
                <w:sz w:val="18"/>
              </w:rPr>
              <w:t>Comparação injusta</w:t>
            </w:r>
          </w:p>
        </w:tc>
        <w:tc>
          <w:tcPr>
            <w:tcW w:type="dxa" w:w="6624"/>
            <w:vAlign w:val="center"/>
          </w:tcPr>
          <w:p>
            <w:r/>
            <w:r>
              <w:rPr>
                <w:rFonts w:ascii="Aptos" w:hAnsi="Aptos"/>
                <w:b w:val="0"/>
                <w:sz w:val="18"/>
              </w:rPr>
              <w:t>Mesmos dados, catálogo, critérios e conjunto de avaliação.</w:t>
            </w:r>
          </w:p>
        </w:tc>
      </w:tr>
      <w:tr>
        <w:tc>
          <w:tcPr>
            <w:tcW w:type="dxa" w:w="3168"/>
            <w:vAlign w:val="center"/>
            <w:shd w:fill="F2F6F8"/>
          </w:tcPr>
          <w:p>
            <w:r/>
            <w:r>
              <w:rPr>
                <w:rFonts w:ascii="Aptos" w:hAnsi="Aptos"/>
                <w:b w:val="0"/>
                <w:sz w:val="18"/>
              </w:rPr>
              <w:t>Limiar de score sem calibração</w:t>
            </w:r>
          </w:p>
        </w:tc>
        <w:tc>
          <w:tcPr>
            <w:tcW w:type="dxa" w:w="6624"/>
            <w:vAlign w:val="center"/>
            <w:shd w:fill="F2F6F8"/>
          </w:tcPr>
          <w:p>
            <w:r/>
            <w:r>
              <w:rPr>
                <w:rFonts w:ascii="Aptos" w:hAnsi="Aptos"/>
                <w:b w:val="0"/>
                <w:sz w:val="18"/>
              </w:rPr>
              <w:t>Escolher limiares em amostra de desenvolvimento e validar em amostra separada.</w:t>
            </w:r>
          </w:p>
        </w:tc>
      </w:tr>
      <w:tr>
        <w:tc>
          <w:tcPr>
            <w:tcW w:type="dxa" w:w="3168"/>
            <w:vAlign w:val="center"/>
          </w:tcPr>
          <w:p>
            <w:r/>
            <w:r>
              <w:rPr>
                <w:rFonts w:ascii="Aptos" w:hAnsi="Aptos"/>
                <w:b w:val="0"/>
                <w:sz w:val="18"/>
              </w:rPr>
              <w:t>Código NBS de nível incompatível</w:t>
            </w:r>
          </w:p>
        </w:tc>
        <w:tc>
          <w:tcPr>
            <w:tcW w:type="dxa" w:w="6624"/>
            <w:vAlign w:val="center"/>
          </w:tcPr>
          <w:p>
            <w:r/>
            <w:r>
              <w:rPr>
                <w:rFonts w:ascii="Aptos" w:hAnsi="Aptos"/>
                <w:b w:val="0"/>
                <w:sz w:val="18"/>
              </w:rPr>
              <w:t>Validar hierarquia e nível de classificação desejado.</w:t>
            </w:r>
          </w:p>
        </w:tc>
      </w:tr>
      <w:tr>
        <w:tc>
          <w:tcPr>
            <w:tcW w:type="dxa" w:w="3168"/>
            <w:vAlign w:val="center"/>
            <w:shd w:fill="F2F6F8"/>
          </w:tcPr>
          <w:p>
            <w:r/>
            <w:r>
              <w:rPr>
                <w:rFonts w:ascii="Aptos" w:hAnsi="Aptos"/>
                <w:b w:val="0"/>
                <w:sz w:val="18"/>
              </w:rPr>
              <w:t>Resultados não reproduzíveis</w:t>
            </w:r>
          </w:p>
        </w:tc>
        <w:tc>
          <w:tcPr>
            <w:tcW w:type="dxa" w:w="6624"/>
            <w:vAlign w:val="center"/>
            <w:shd w:fill="F2F6F8"/>
          </w:tcPr>
          <w:p>
            <w:r/>
            <w:r>
              <w:rPr>
                <w:rFonts w:ascii="Aptos" w:hAnsi="Aptos"/>
                <w:b w:val="0"/>
                <w:sz w:val="18"/>
              </w:rPr>
              <w:t>Versionar catálogo, SQL, parâmetros, hardware e logs de execução.</w:t>
            </w:r>
          </w:p>
        </w:tc>
      </w:tr>
      <w:tr>
        <w:tc>
          <w:tcPr>
            <w:tcW w:type="dxa" w:w="3168"/>
            <w:vAlign w:val="center"/>
          </w:tcPr>
          <w:p>
            <w:r/>
            <w:r>
              <w:rPr>
                <w:rFonts w:ascii="Aptos" w:hAnsi="Aptos"/>
                <w:b w:val="0"/>
                <w:sz w:val="18"/>
              </w:rPr>
              <w:t>Custo subestimado</w:t>
            </w:r>
          </w:p>
        </w:tc>
        <w:tc>
          <w:tcPr>
            <w:tcW w:type="dxa" w:w="6624"/>
            <w:vAlign w:val="center"/>
          </w:tcPr>
          <w:p>
            <w:r/>
            <w:r>
              <w:rPr>
                <w:rFonts w:ascii="Aptos" w:hAnsi="Aptos"/>
                <w:b w:val="0"/>
                <w:sz w:val="18"/>
              </w:rPr>
              <w:t>Incluir revisão, desenvolvimento, manutenção e retrabalho.</w:t>
            </w:r>
          </w:p>
        </w:tc>
      </w:tr>
    </w:tbl>
    <w:p/>
    <w:p>
      <w:pPr>
        <w:pStyle w:val="Heading1"/>
      </w:pPr>
      <w:r>
        <w:t>14. Plano de execução</w:t>
      </w:r>
    </w:p>
    <w:p>
      <w:pPr>
        <w:pStyle w:val="ListNumber"/>
      </w:pPr>
      <w:r>
        <w:t>Confirmar arquivo e versão do catálogo NBS e o nível de classificação pretendido.</w:t>
      </w:r>
    </w:p>
    <w:p>
      <w:pPr>
        <w:pStyle w:val="ListNumber"/>
      </w:pPr>
      <w:r>
        <w:t>Definir esquema de dados, preservação da descrição original e regras de normalização.</w:t>
      </w:r>
    </w:p>
    <w:p>
      <w:pPr>
        <w:pStyle w:val="ListNumber"/>
      </w:pPr>
      <w:r>
        <w:t>Construir conjunto de referência e plano de amostragem.</w:t>
      </w:r>
    </w:p>
    <w:p>
      <w:pPr>
        <w:pStyle w:val="ListNumber"/>
      </w:pPr>
      <w:r>
        <w:t>Executar estudo cronometrado humano.</w:t>
      </w:r>
    </w:p>
    <w:p>
      <w:pPr>
        <w:pStyle w:val="ListNumber"/>
      </w:pPr>
      <w:r>
        <w:t>Implementar e calibrar PostgreSQL + pg_trgm.</w:t>
      </w:r>
    </w:p>
    <w:p>
      <w:pPr>
        <w:pStyle w:val="ListNumber"/>
      </w:pPr>
      <w:r>
        <w:t>Executar benchmark técnico com pelo menos cinco execuções controladas.</w:t>
      </w:r>
    </w:p>
    <w:p>
      <w:pPr>
        <w:pStyle w:val="ListNumber"/>
      </w:pPr>
      <w:r>
        <w:t>Executar avaliação de qualidade e revisão dos casos ambíguos.</w:t>
      </w:r>
    </w:p>
    <w:p>
      <w:pPr>
        <w:pStyle w:val="ListNumber"/>
      </w:pPr>
      <w:r>
        <w:t>Opcionalmente, executar benchmark LLM sob protocolo equivalente.</w:t>
      </w:r>
    </w:p>
    <w:p>
      <w:pPr>
        <w:pStyle w:val="ListNumber"/>
      </w:pPr>
      <w:r>
        <w:t>Calcular custos, speedup técnico, tempo total validado e custo por classificação correta.</w:t>
      </w:r>
    </w:p>
    <w:p>
      <w:pPr>
        <w:pStyle w:val="ListNumber"/>
      </w:pPr>
      <w:r>
        <w:t>Documentar limitações e decidir limiares de automação com base nos resultados.</w:t>
      </w:r>
    </w:p>
    <w:p>
      <w:pPr>
        <w:pStyle w:val="Heading1"/>
      </w:pPr>
      <w:r>
        <w:t>15. Critério de decisão</w:t>
      </w:r>
    </w:p>
    <w:p>
      <w:r>
        <w:t>A recomendação final deve considerar conjuntamente precisão, cobertura automática, custo total e tempo até validação. Não aprovar automaticamente um limiar apenas porque o score textual é alto. O limiar deve demonstrar precisão suficiente na amostra independente, e os casos fora dos critérios devem permanecer pendentes de revisão.</w:t>
      </w:r>
    </w:p>
    <w:p>
      <w:pPr>
        <w:pStyle w:val="Heading1"/>
      </w:pPr>
      <w:r>
        <w:t>16. Limitações deste documento</w:t>
      </w:r>
    </w:p>
    <w:p>
      <w:r>
        <w:t>Este é um plano metodológico, não um relatório de resultados experimentais. Os tempos, custos e percentuais exemplificados são hipóteses de planejamento. Nenhum desempenho real de PostgreSQL, LLM ou trabalho humano foi medido nesta etapa. Os números finais devem ser substituídos por medições, com hardware, versões, parâmetros e condições documentados.</w:t>
      </w:r>
    </w:p>
    <w:p/>
    <w:p>
      <w:r>
        <w:rPr>
          <w:b/>
        </w:rPr>
        <w:t>Artefato complementar: calculadora HTML interativa</w:t>
      </w:r>
    </w:p>
    <w:p>
      <w:r>
        <w:t>O arquivo calculadora_benchmark_NBS.html permite alterar os parâmetros de tempo e custo diretamente no navegador. Ele é independente, não precisa de servidor e não envia dados para a internet.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