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269"/>
        <w:gridCol w:w="7229"/>
        <w:tblGridChange w:id="0">
          <w:tblGrid>
            <w:gridCol w:w="2269"/>
            <w:gridCol w:w="7229"/>
          </w:tblGrid>
        </w:tblGridChange>
      </w:tblGrid>
      <w:tr>
        <w:trPr>
          <w:trHeight w:val="560" w:hRule="atLeast"/>
        </w:trPr>
        <w:tc>
          <w:tcPr>
            <w:gridSpan w:val="2"/>
            <w:shd w:fill="5b9bd5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8"/>
                <w:szCs w:val="28"/>
                <w:rtl w:val="0"/>
              </w:rPr>
              <w:t xml:space="preserve">UC004 –Atualizar dados comprados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Função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Atualizar os dados já comprados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 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Mostrar um botão com o mesmo nome da função para mostrar ao jogador quantos objetivos o mesmo já completou;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nenhuma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Origem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 já ter comprado algum dado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 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Saídas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dados comprados e quantos faltam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 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Destino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Dados do jogador vão para o banco para que o objetivo possa ser alcançado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 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Após a compra de algum dado o jogador já pode acessar essa função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7" w:hRule="atLeast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Requer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 já ter comprado algum dado.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jogador já deve ter feito o cadastro no jogo, ter dinheiro pra comprar algum dado e Usuário já ter comprado algum dado.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Pós-condição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Jogador consegue ver quantos dados foram comprados.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Efeitos colaterais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Nenhum. 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