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UC007 –Salvar Moedas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Salvar as moedas do 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um botão com o mesmo nome da função para o jogador salvar a quantidade de moedas que ele tem no momento para seu perfil no jogo, para na próxima vez que ele logar ter a quantidade salva;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ter algum dinheiro para salvar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BitCoins salvos com sucesso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moedas vão para o perfil do jogador no Banco de Dados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o usuário tiver algum dinheiro ele ja pode salvar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ter algo para salvar.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jogador ter alguma quantidade de bitcoins.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jogador tem suas moedas salvas.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