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txtEndereco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txtBairro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txtCidade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txtUf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txtCep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txtTelefone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txtCelular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r w:rsidR="00A533A8">
              <w:rPr>
                <w:rFonts w:ascii="Arial" w:hAnsi="Arial" w:cs="Arial"/>
                <w:b/>
                <w:sz w:val="18"/>
              </w:rPr>
              <w:t>txtRepresentante</w:t>
            </w:r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txtCpfContato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txtEmail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txtRGRepresentante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txtResponsavel</w:t>
            </w:r>
            <w:r w:rsidR="009902E1">
              <w:rPr>
                <w:rFonts w:ascii="Arial" w:hAnsi="Arial" w:cs="Arial"/>
                <w:b/>
              </w:rPr>
              <w:t>Testes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txtNomeHomologador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txtDataInicio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txtDataFinal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</w:t>
            </w:r>
            <w:r>
              <w:rPr>
                <w:rFonts w:ascii="Arial" w:hAnsi="Arial" w:cs="Arial"/>
                <w:b/>
                <w:sz w:val="18"/>
              </w:rPr>
              <w:t>Md5NomeRelacao</w:t>
            </w:r>
            <w:r w:rsidRPr="00C34F76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012A345C" w:rsidR="0018486B" w:rsidRPr="00A110E8" w:rsidRDefault="00424AE4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_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0CA42EE1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_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03704A47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_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2A08488C" w:rsidR="0018486B" w:rsidRPr="00A110E8" w:rsidRDefault="00815E55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_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375289D0" w:rsidR="002D771C" w:rsidRPr="00A110E8" w:rsidRDefault="00424AE4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_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0934832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_w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526CF11D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_y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22A6F4CB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_z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${</w:t>
            </w:r>
            <w:proofErr w:type="spellStart"/>
            <w:r w:rsidR="00837494">
              <w:t>txtEnvelope</w:t>
            </w:r>
            <w:proofErr w:type="spellEnd"/>
            <w:r>
              <w:t>}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txtSo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txtBd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cs="Arial"/>
                <w:sz w:val="18"/>
                <w:szCs w:val="18"/>
              </w:rPr>
            </w:r>
            <w:r w:rsidR="00B65E8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ascii="Arial" w:hAnsi="Arial" w:cs="Arial"/>
                <w:sz w:val="18"/>
                <w:szCs w:val="18"/>
              </w:rPr>
            </w:r>
            <w:r w:rsidR="00B65E8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ascii="Arial" w:hAnsi="Arial" w:cs="Arial"/>
                <w:sz w:val="18"/>
                <w:szCs w:val="18"/>
              </w:rPr>
            </w:r>
            <w:r w:rsidR="00B65E8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FE756E">
              <w:rPr>
                <w:rFonts w:ascii="Arial" w:hAnsi="Arial" w:cs="Arial"/>
                <w:b/>
                <w:sz w:val="18"/>
              </w:rPr>
              <w:t>txtSGRequisitoExecutado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txtSPFuncao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</w:rPr>
              <w:t>txtSNRazaoSocialCnpj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txtSN</w:t>
            </w:r>
            <w:r w:rsidR="00953A80"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</w:t>
            </w:r>
            <w:r>
              <w:rPr>
                <w:rFonts w:ascii="Arial" w:hAnsi="Arial" w:cs="Arial"/>
                <w:b/>
                <w:sz w:val="18"/>
              </w:rPr>
              <w:t>txtSNNomeArquivoMd5</w:t>
            </w:r>
            <w:r w:rsidRPr="00953A80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680C3F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777F70A9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DED9B44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3461654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38EB13BE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txtEcfMarca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2D612841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txtEcfModelo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352235A" w14:textId="77777777" w:rsidR="00404526" w:rsidRDefault="00404526" w:rsidP="00953A80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122F017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42710A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1776DA69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EECAA38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7B4BF4A5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19A37C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AD3593E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391B046F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54A5D" w14:textId="77777777" w:rsidR="00DC6D03" w:rsidRDefault="00953A80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="00BD1C4E"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7777777" w:rsidR="00DC6D03" w:rsidRDefault="000055D1" w:rsidP="000055D1">
            <w:pPr>
              <w:pStyle w:val="Rodap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5A9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ascii="Arial" w:hAnsi="Arial" w:cs="Arial"/>
                <w:sz w:val="18"/>
                <w:szCs w:val="18"/>
              </w:rPr>
            </w:r>
            <w:r w:rsidR="00B65E8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65E86">
              <w:rPr>
                <w:rFonts w:ascii="Arial" w:hAnsi="Arial" w:cs="Arial"/>
                <w:sz w:val="18"/>
                <w:szCs w:val="18"/>
              </w:rPr>
            </w:r>
            <w:r w:rsidR="00B65E8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3640A9E0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r w:rsidR="00815E55">
              <w:rPr>
                <w:rFonts w:ascii="Arial" w:hAnsi="Arial"/>
                <w:b/>
                <w:sz w:val="28"/>
              </w:rPr>
              <w:t>Órgão</w:t>
            </w:r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77777777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</w:t>
            </w:r>
            <w:proofErr w:type="spellStart"/>
            <w:r w:rsidR="00EF1B49">
              <w:rPr>
                <w:rFonts w:ascii="Arial" w:hAnsi="Arial"/>
                <w:b/>
              </w:rPr>
              <w:t>txtD</w:t>
            </w:r>
            <w:r w:rsidR="00816FE1">
              <w:rPr>
                <w:rFonts w:ascii="Arial" w:hAnsi="Arial"/>
                <w:b/>
              </w:rPr>
              <w:t>ata</w:t>
            </w:r>
            <w:proofErr w:type="spellEnd"/>
            <w:r w:rsidR="00816FE1">
              <w:rPr>
                <w:rFonts w:ascii="Arial" w:hAnsi="Arial"/>
                <w:b/>
              </w:rPr>
              <w:t>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BACC1" w14:textId="77777777" w:rsidR="00B65E86" w:rsidRDefault="00B65E86" w:rsidP="00C7121F">
      <w:r>
        <w:separator/>
      </w:r>
    </w:p>
  </w:endnote>
  <w:endnote w:type="continuationSeparator" w:id="0">
    <w:p w14:paraId="0B89046F" w14:textId="77777777" w:rsidR="00B65E86" w:rsidRDefault="00B65E86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E3A2" w14:textId="77777777" w:rsidR="00B65E86" w:rsidRDefault="00B65E86" w:rsidP="00C7121F">
      <w:r>
        <w:separator/>
      </w:r>
    </w:p>
  </w:footnote>
  <w:footnote w:type="continuationSeparator" w:id="0">
    <w:p w14:paraId="0CF68C62" w14:textId="77777777" w:rsidR="00B65E86" w:rsidRDefault="00B65E86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24AE4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5E55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09D4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65E86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1654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43</cp:revision>
  <cp:lastPrinted>2013-12-19T15:43:00Z</cp:lastPrinted>
  <dcterms:created xsi:type="dcterms:W3CDTF">2015-09-28T17:53:00Z</dcterms:created>
  <dcterms:modified xsi:type="dcterms:W3CDTF">2021-11-17T13:16:00Z</dcterms:modified>
</cp:coreProperties>
</file>