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B82A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L0-STR-10</w:t>
      </w:r>
    </w:p>
    <w:p w14:paraId="15FAE054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MARCO DE DERIVA INSTITUCIONAL</w:t>
      </w:r>
    </w:p>
    <w:p w14:paraId="547CAB6A" w14:textId="77777777" w:rsidR="00470849" w:rsidRPr="00470849" w:rsidRDefault="00470849" w:rsidP="00470849">
      <w:r w:rsidRPr="00470849">
        <w:rPr>
          <w:b/>
          <w:bCs/>
        </w:rPr>
        <w:t>Marco de Gestión de Riesgo Sistémico y Alineación Ontológica</w:t>
      </w:r>
    </w:p>
    <w:p w14:paraId="4DC8E47D" w14:textId="77777777" w:rsidR="00470849" w:rsidRPr="00470849" w:rsidRDefault="00470849" w:rsidP="00470849">
      <w:r w:rsidRPr="00470849">
        <w:t>Clasificación: L0 — STR</w:t>
      </w:r>
      <w:r w:rsidRPr="00470849">
        <w:br/>
        <w:t>Naturaleza: Permanente</w:t>
      </w:r>
      <w:r w:rsidRPr="00470849">
        <w:br/>
        <w:t>Tipo: Marco</w:t>
      </w:r>
      <w:r w:rsidRPr="00470849">
        <w:br/>
        <w:t>Carácter: Riesgo Sistémico</w:t>
      </w:r>
      <w:r w:rsidRPr="00470849">
        <w:br/>
        <w:t>Dependencia: L0-STR-09</w:t>
      </w:r>
      <w:r w:rsidRPr="00470849">
        <w:br/>
        <w:t>Formato: Digital</w:t>
      </w:r>
      <w:r w:rsidRPr="00470849">
        <w:br/>
        <w:t>Estado: Activo</w:t>
      </w:r>
    </w:p>
    <w:p w14:paraId="2EF2673A" w14:textId="77777777" w:rsidR="00470849" w:rsidRPr="00470849" w:rsidRDefault="00470849" w:rsidP="00470849">
      <w:r w:rsidRPr="00470849">
        <w:pict w14:anchorId="3EBD6344">
          <v:rect id="_x0000_i1025" style="width:0;height:1.5pt" o:hralign="center" o:hrstd="t" o:hr="t" fillcolor="#a0a0a0" stroked="f"/>
        </w:pict>
      </w:r>
    </w:p>
    <w:p w14:paraId="246EF16A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I. DECLARACIÓN FUNDAMENTAL</w:t>
      </w:r>
    </w:p>
    <w:p w14:paraId="4F304513" w14:textId="77777777" w:rsidR="00470849" w:rsidRPr="00470849" w:rsidRDefault="00470849" w:rsidP="00470849">
      <w:r w:rsidRPr="00470849">
        <w:t>ICICSO reconoce que las estructuras institucionales pueden experimentar desviaciones progresivas respecto a su diseño ontológico original.</w:t>
      </w:r>
    </w:p>
    <w:p w14:paraId="09D6D461" w14:textId="77777777" w:rsidR="00470849" w:rsidRPr="00470849" w:rsidRDefault="00470849" w:rsidP="00470849">
      <w:r w:rsidRPr="00470849">
        <w:t>La deriva institucional constituye un riesgo sistémico.</w:t>
      </w:r>
    </w:p>
    <w:p w14:paraId="119E44FD" w14:textId="77777777" w:rsidR="00470849" w:rsidRPr="00470849" w:rsidRDefault="00470849" w:rsidP="00470849">
      <w:r w:rsidRPr="00470849">
        <w:t>Este Marco establece los principios estructurales para identificar, contener y corregir desviaciones acumulativas que comprometan coherencia ontológica, integridad científica o alineación normativa.</w:t>
      </w:r>
    </w:p>
    <w:p w14:paraId="7FC956C7" w14:textId="77777777" w:rsidR="00470849" w:rsidRPr="00470849" w:rsidRDefault="00470849" w:rsidP="00470849">
      <w:r w:rsidRPr="00470849">
        <w:t>La preservación del diseño fundacional es obligación permanente.</w:t>
      </w:r>
    </w:p>
    <w:p w14:paraId="6A130B53" w14:textId="77777777" w:rsidR="00470849" w:rsidRPr="00470849" w:rsidRDefault="00470849" w:rsidP="00470849">
      <w:r w:rsidRPr="00470849">
        <w:pict w14:anchorId="02960092">
          <v:rect id="_x0000_i1026" style="width:0;height:1.5pt" o:hralign="center" o:hrstd="t" o:hr="t" fillcolor="#a0a0a0" stroked="f"/>
        </w:pict>
      </w:r>
    </w:p>
    <w:p w14:paraId="77A652E1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II. DEFINICIÓN DE DERIVA INSTITUCIONAL</w:t>
      </w:r>
    </w:p>
    <w:p w14:paraId="42C678E0" w14:textId="77777777" w:rsidR="00470849" w:rsidRPr="00470849" w:rsidRDefault="00470849" w:rsidP="00470849">
      <w:r w:rsidRPr="00470849">
        <w:t xml:space="preserve">Se entiende por </w:t>
      </w:r>
      <w:r w:rsidRPr="00470849">
        <w:rPr>
          <w:b/>
          <w:bCs/>
        </w:rPr>
        <w:t>deriva institucional</w:t>
      </w:r>
      <w:r w:rsidRPr="00470849">
        <w:t xml:space="preserve"> cualquier desviación progresiva, explícita o implícita, que:</w:t>
      </w:r>
    </w:p>
    <w:p w14:paraId="5317FC05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Altere la identidad ontológica del sistema.</w:t>
      </w:r>
    </w:p>
    <w:p w14:paraId="5A2C3311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Distorsione principios estructurales fundacionales.</w:t>
      </w:r>
    </w:p>
    <w:p w14:paraId="6CAFF88D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Introduzca incoherencias acumulativas.</w:t>
      </w:r>
    </w:p>
    <w:p w14:paraId="35DF3036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Genere desalineación entre conocimiento vigente y configuración institucional.</w:t>
      </w:r>
    </w:p>
    <w:p w14:paraId="4E494C2D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Desplace prioridades estructurales sin declaración formal.</w:t>
      </w:r>
    </w:p>
    <w:p w14:paraId="6CFC3BE7" w14:textId="77777777" w:rsidR="00470849" w:rsidRPr="00470849" w:rsidRDefault="00470849" w:rsidP="00470849">
      <w:pPr>
        <w:numPr>
          <w:ilvl w:val="0"/>
          <w:numId w:val="1"/>
        </w:numPr>
      </w:pPr>
      <w:r w:rsidRPr="00470849">
        <w:t>Produzca contradicciones entre marcos rectores.</w:t>
      </w:r>
    </w:p>
    <w:p w14:paraId="2392F9CA" w14:textId="77777777" w:rsidR="00470849" w:rsidRPr="00470849" w:rsidRDefault="00470849" w:rsidP="00470849">
      <w:r w:rsidRPr="00470849">
        <w:t>La deriva puede ser incremental, silenciosa o acumulativa.</w:t>
      </w:r>
    </w:p>
    <w:p w14:paraId="58859160" w14:textId="77777777" w:rsidR="00470849" w:rsidRPr="00470849" w:rsidRDefault="00470849" w:rsidP="00470849">
      <w:r w:rsidRPr="00470849">
        <w:pict w14:anchorId="4FA0A4D9">
          <v:rect id="_x0000_i1027" style="width:0;height:1.5pt" o:hralign="center" o:hrstd="t" o:hr="t" fillcolor="#a0a0a0" stroked="f"/>
        </w:pict>
      </w:r>
    </w:p>
    <w:p w14:paraId="1726E54C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III. ALINEACIÓN ONTOLÓGICA</w:t>
      </w:r>
    </w:p>
    <w:p w14:paraId="4A374AC8" w14:textId="77777777" w:rsidR="00470849" w:rsidRPr="00470849" w:rsidRDefault="00470849" w:rsidP="00470849">
      <w:r w:rsidRPr="00470849">
        <w:t xml:space="preserve">Se entiende por </w:t>
      </w:r>
      <w:r w:rsidRPr="00470849">
        <w:rPr>
          <w:b/>
          <w:bCs/>
        </w:rPr>
        <w:t>alineación ontológica</w:t>
      </w:r>
      <w:r w:rsidRPr="00470849">
        <w:t xml:space="preserve"> la coherencia entre los principios fundacionales del sistema y su configuración estructural vigente.</w:t>
      </w:r>
    </w:p>
    <w:p w14:paraId="463CC102" w14:textId="77777777" w:rsidR="00470849" w:rsidRPr="00470849" w:rsidRDefault="00470849" w:rsidP="00470849">
      <w:r w:rsidRPr="00470849">
        <w:lastRenderedPageBreak/>
        <w:t>Toda entidad estructural debe mantener coherencia con:</w:t>
      </w:r>
    </w:p>
    <w:p w14:paraId="23C54837" w14:textId="77777777" w:rsidR="00470849" w:rsidRPr="00470849" w:rsidRDefault="00470849" w:rsidP="00470849">
      <w:pPr>
        <w:numPr>
          <w:ilvl w:val="0"/>
          <w:numId w:val="2"/>
        </w:numPr>
      </w:pPr>
      <w:r w:rsidRPr="00470849">
        <w:t>Charter Ontológico (L0-STR-01)</w:t>
      </w:r>
    </w:p>
    <w:p w14:paraId="62701B54" w14:textId="77777777" w:rsidR="00470849" w:rsidRPr="00470849" w:rsidRDefault="00470849" w:rsidP="00470849">
      <w:pPr>
        <w:numPr>
          <w:ilvl w:val="0"/>
          <w:numId w:val="2"/>
        </w:numPr>
      </w:pPr>
      <w:r w:rsidRPr="00470849">
        <w:t>Declaración de Supremacía Clínica (L0-STR-02)</w:t>
      </w:r>
    </w:p>
    <w:p w14:paraId="01D54BF2" w14:textId="77777777" w:rsidR="00470849" w:rsidRPr="00470849" w:rsidRDefault="00470849" w:rsidP="00470849">
      <w:pPr>
        <w:numPr>
          <w:ilvl w:val="0"/>
          <w:numId w:val="2"/>
        </w:numPr>
      </w:pPr>
      <w:r w:rsidRPr="00470849">
        <w:t>Marco de Separación Ciencia–Economía (L0-STR-04)</w:t>
      </w:r>
    </w:p>
    <w:p w14:paraId="6ECF4200" w14:textId="77777777" w:rsidR="00470849" w:rsidRPr="00470849" w:rsidRDefault="00470849" w:rsidP="00470849">
      <w:pPr>
        <w:numPr>
          <w:ilvl w:val="0"/>
          <w:numId w:val="2"/>
        </w:numPr>
        <w:rPr>
          <w:lang w:val="en-US"/>
        </w:rPr>
      </w:pPr>
      <w:r w:rsidRPr="00470849">
        <w:rPr>
          <w:lang w:val="en-US"/>
        </w:rPr>
        <w:t>Knowledge Lifecycle Governance Framework (L0-STR-09)</w:t>
      </w:r>
    </w:p>
    <w:p w14:paraId="2023F7F6" w14:textId="77777777" w:rsidR="00470849" w:rsidRPr="00470849" w:rsidRDefault="00470849" w:rsidP="00470849">
      <w:r w:rsidRPr="00470849">
        <w:t>La alineación ontológica es condición permanente de legitimidad institucional.</w:t>
      </w:r>
    </w:p>
    <w:p w14:paraId="1EEC4973" w14:textId="77777777" w:rsidR="00470849" w:rsidRPr="00470849" w:rsidRDefault="00470849" w:rsidP="00470849">
      <w:r w:rsidRPr="00470849">
        <w:pict w14:anchorId="60E1016F">
          <v:rect id="_x0000_i1028" style="width:0;height:1.5pt" o:hralign="center" o:hrstd="t" o:hr="t" fillcolor="#a0a0a0" stroked="f"/>
        </w:pict>
      </w:r>
    </w:p>
    <w:p w14:paraId="69CA7347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IV. IDENTIFICACIÓN DE DERIVA</w:t>
      </w:r>
    </w:p>
    <w:p w14:paraId="16B554F8" w14:textId="77777777" w:rsidR="00470849" w:rsidRPr="00470849" w:rsidRDefault="00470849" w:rsidP="00470849">
      <w:r w:rsidRPr="00470849">
        <w:t>La deriva institucional es susceptible de identificación estructural cuando se evidencien:</w:t>
      </w:r>
    </w:p>
    <w:p w14:paraId="45897055" w14:textId="77777777" w:rsidR="00470849" w:rsidRPr="00470849" w:rsidRDefault="00470849" w:rsidP="00470849">
      <w:pPr>
        <w:numPr>
          <w:ilvl w:val="0"/>
          <w:numId w:val="3"/>
        </w:numPr>
      </w:pPr>
      <w:r w:rsidRPr="00470849">
        <w:t>Inconsistencias normativas acumulativas.</w:t>
      </w:r>
    </w:p>
    <w:p w14:paraId="44A7363C" w14:textId="77777777" w:rsidR="00470849" w:rsidRPr="00470849" w:rsidRDefault="00470849" w:rsidP="00470849">
      <w:pPr>
        <w:numPr>
          <w:ilvl w:val="0"/>
          <w:numId w:val="3"/>
        </w:numPr>
      </w:pPr>
      <w:r w:rsidRPr="00470849">
        <w:t>Desalineación entre principios fundacionales y práctica estructural.</w:t>
      </w:r>
    </w:p>
    <w:p w14:paraId="5DD86EF7" w14:textId="77777777" w:rsidR="00470849" w:rsidRPr="00470849" w:rsidRDefault="00470849" w:rsidP="00470849">
      <w:pPr>
        <w:numPr>
          <w:ilvl w:val="0"/>
          <w:numId w:val="3"/>
        </w:numPr>
      </w:pPr>
      <w:r w:rsidRPr="00470849">
        <w:t>Contradicciones entre marcos vigentes.</w:t>
      </w:r>
    </w:p>
    <w:p w14:paraId="5325EB65" w14:textId="77777777" w:rsidR="00470849" w:rsidRPr="00470849" w:rsidRDefault="00470849" w:rsidP="00470849">
      <w:pPr>
        <w:numPr>
          <w:ilvl w:val="0"/>
          <w:numId w:val="3"/>
        </w:numPr>
      </w:pPr>
      <w:r w:rsidRPr="00470849">
        <w:t>Desplazamientos no declarados de prioridades ontológicas.</w:t>
      </w:r>
    </w:p>
    <w:p w14:paraId="70C47095" w14:textId="77777777" w:rsidR="00470849" w:rsidRPr="00470849" w:rsidRDefault="00470849" w:rsidP="00470849">
      <w:pPr>
        <w:numPr>
          <w:ilvl w:val="0"/>
          <w:numId w:val="3"/>
        </w:numPr>
      </w:pPr>
      <w:r w:rsidRPr="00470849">
        <w:t>Evoluciones del conocimiento no adecuadamente gobernadas.</w:t>
      </w:r>
    </w:p>
    <w:p w14:paraId="3B1FFDBD" w14:textId="77777777" w:rsidR="00470849" w:rsidRPr="00470849" w:rsidRDefault="00470849" w:rsidP="00470849">
      <w:r w:rsidRPr="00470849">
        <w:t>La identificación no presume error; evalúa coherencia sistémica.</w:t>
      </w:r>
    </w:p>
    <w:p w14:paraId="55560E01" w14:textId="77777777" w:rsidR="00470849" w:rsidRPr="00470849" w:rsidRDefault="00470849" w:rsidP="00470849">
      <w:r w:rsidRPr="00470849">
        <w:pict w14:anchorId="3300DFAF">
          <v:rect id="_x0000_i1029" style="width:0;height:1.5pt" o:hralign="center" o:hrstd="t" o:hr="t" fillcolor="#a0a0a0" stroked="f"/>
        </w:pict>
      </w:r>
    </w:p>
    <w:p w14:paraId="61642E1A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V. CORRECCIÓN ESTRUCTURAL</w:t>
      </w:r>
    </w:p>
    <w:p w14:paraId="5B49914E" w14:textId="77777777" w:rsidR="00470849" w:rsidRPr="00470849" w:rsidRDefault="00470849" w:rsidP="00470849">
      <w:r w:rsidRPr="00470849">
        <w:t>La identificación de deriva exige revisión estructural formal.</w:t>
      </w:r>
    </w:p>
    <w:p w14:paraId="305852D3" w14:textId="77777777" w:rsidR="00470849" w:rsidRPr="00470849" w:rsidRDefault="00470849" w:rsidP="00470849">
      <w:r w:rsidRPr="00470849">
        <w:t>Toda corrección:</w:t>
      </w:r>
    </w:p>
    <w:p w14:paraId="476E3B4C" w14:textId="77777777" w:rsidR="00470849" w:rsidRPr="00470849" w:rsidRDefault="00470849" w:rsidP="00470849">
      <w:pPr>
        <w:numPr>
          <w:ilvl w:val="0"/>
          <w:numId w:val="4"/>
        </w:numPr>
      </w:pPr>
      <w:r w:rsidRPr="00470849">
        <w:t>Se realiza conforme al Protocolo de Gestión de Cambios (L0-STR-07).</w:t>
      </w:r>
    </w:p>
    <w:p w14:paraId="6AE5B9DC" w14:textId="77777777" w:rsidR="00470849" w:rsidRPr="00470849" w:rsidRDefault="00470849" w:rsidP="00470849">
      <w:pPr>
        <w:numPr>
          <w:ilvl w:val="0"/>
          <w:numId w:val="4"/>
        </w:numPr>
      </w:pPr>
      <w:r w:rsidRPr="00470849">
        <w:t>Respeta el sistema de versionado institucional (L0-STR-06).</w:t>
      </w:r>
    </w:p>
    <w:p w14:paraId="0A18124E" w14:textId="77777777" w:rsidR="00470849" w:rsidRPr="00470849" w:rsidRDefault="00470849" w:rsidP="00470849">
      <w:pPr>
        <w:numPr>
          <w:ilvl w:val="0"/>
          <w:numId w:val="4"/>
        </w:numPr>
      </w:pPr>
      <w:r w:rsidRPr="00470849">
        <w:t>Preserva integridad histórica conforme a la Política de Inmutabilidad (L0-STR-05).</w:t>
      </w:r>
    </w:p>
    <w:p w14:paraId="5882E4AB" w14:textId="77777777" w:rsidR="00470849" w:rsidRPr="00470849" w:rsidRDefault="00470849" w:rsidP="00470849">
      <w:pPr>
        <w:numPr>
          <w:ilvl w:val="0"/>
          <w:numId w:val="4"/>
        </w:numPr>
      </w:pPr>
      <w:r w:rsidRPr="00470849">
        <w:t>Mantiene trazabilidad completa del proceso correctivo.</w:t>
      </w:r>
    </w:p>
    <w:p w14:paraId="308B6603" w14:textId="77777777" w:rsidR="00470849" w:rsidRPr="00470849" w:rsidRDefault="00470849" w:rsidP="00470849">
      <w:r w:rsidRPr="00470849">
        <w:t>La corrección restaura alineación sin eliminar evidencia histórica de la desviación.</w:t>
      </w:r>
    </w:p>
    <w:p w14:paraId="6ED55E86" w14:textId="77777777" w:rsidR="00470849" w:rsidRPr="00470849" w:rsidRDefault="00470849" w:rsidP="00470849">
      <w:r w:rsidRPr="00470849">
        <w:pict w14:anchorId="439206AE">
          <v:rect id="_x0000_i1030" style="width:0;height:1.5pt" o:hralign="center" o:hrstd="t" o:hr="t" fillcolor="#a0a0a0" stroked="f"/>
        </w:pict>
      </w:r>
    </w:p>
    <w:p w14:paraId="0A9827EE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VI. DERIVA Y CICLO DE VIDA DEL CONOCIMIENTO</w:t>
      </w:r>
    </w:p>
    <w:p w14:paraId="0A4082A5" w14:textId="77777777" w:rsidR="00470849" w:rsidRPr="00470849" w:rsidRDefault="00470849" w:rsidP="00470849">
      <w:r w:rsidRPr="00470849">
        <w:t xml:space="preserve">La evolución del conocimiento institucional puede generar deriva si no se gestiona conforme al Knowledge </w:t>
      </w:r>
      <w:proofErr w:type="spellStart"/>
      <w:r w:rsidRPr="00470849">
        <w:t>Lifecycle</w:t>
      </w:r>
      <w:proofErr w:type="spellEnd"/>
      <w:r w:rsidRPr="00470849">
        <w:t xml:space="preserve"> </w:t>
      </w:r>
      <w:proofErr w:type="spellStart"/>
      <w:r w:rsidRPr="00470849">
        <w:t>Governance</w:t>
      </w:r>
      <w:proofErr w:type="spellEnd"/>
      <w:r w:rsidRPr="00470849">
        <w:t xml:space="preserve"> Framework (L0-STR-09).</w:t>
      </w:r>
    </w:p>
    <w:p w14:paraId="67E0BBB8" w14:textId="77777777" w:rsidR="00470849" w:rsidRPr="00470849" w:rsidRDefault="00470849" w:rsidP="00470849">
      <w:r w:rsidRPr="00470849">
        <w:lastRenderedPageBreak/>
        <w:t>La gobernanza del conocimiento actúa como mecanismo preventivo frente a deriva epistemológica y desalineación estructural.</w:t>
      </w:r>
    </w:p>
    <w:p w14:paraId="338E827F" w14:textId="77777777" w:rsidR="00470849" w:rsidRPr="00470849" w:rsidRDefault="00470849" w:rsidP="00470849">
      <w:r w:rsidRPr="00470849">
        <w:pict w14:anchorId="54170D56">
          <v:rect id="_x0000_i1031" style="width:0;height:1.5pt" o:hralign="center" o:hrstd="t" o:hr="t" fillcolor="#a0a0a0" stroked="f"/>
        </w:pict>
      </w:r>
    </w:p>
    <w:p w14:paraId="7D311740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VII. RIESGO SISTÉMICO</w:t>
      </w:r>
    </w:p>
    <w:p w14:paraId="5F55FFA3" w14:textId="77777777" w:rsidR="00470849" w:rsidRPr="00470849" w:rsidRDefault="00470849" w:rsidP="00470849">
      <w:r w:rsidRPr="00470849">
        <w:t>La deriva no gestionada puede:</w:t>
      </w:r>
    </w:p>
    <w:p w14:paraId="013D0721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Comprometer coherencia científica.</w:t>
      </w:r>
    </w:p>
    <w:p w14:paraId="1D473A95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Introducir sesgos acumulativos.</w:t>
      </w:r>
    </w:p>
    <w:p w14:paraId="509F2572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Erosionar principios fundacionales.</w:t>
      </w:r>
    </w:p>
    <w:p w14:paraId="046C580D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Fragmentar jerarquía normativa.</w:t>
      </w:r>
    </w:p>
    <w:p w14:paraId="4B7AAD69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Debilitar legitimidad institucional.</w:t>
      </w:r>
    </w:p>
    <w:p w14:paraId="3C5B61F2" w14:textId="77777777" w:rsidR="00470849" w:rsidRPr="00470849" w:rsidRDefault="00470849" w:rsidP="00470849">
      <w:pPr>
        <w:numPr>
          <w:ilvl w:val="0"/>
          <w:numId w:val="5"/>
        </w:numPr>
      </w:pPr>
      <w:r w:rsidRPr="00470849">
        <w:t>Generar inestabilidad estructural progresiva.</w:t>
      </w:r>
    </w:p>
    <w:p w14:paraId="18C961B9" w14:textId="77777777" w:rsidR="00470849" w:rsidRPr="00470849" w:rsidRDefault="00470849" w:rsidP="00470849">
      <w:r w:rsidRPr="00470849">
        <w:t>La gestión de deriva es función permanente de preservación sistémica.</w:t>
      </w:r>
    </w:p>
    <w:p w14:paraId="00B6C3C3" w14:textId="77777777" w:rsidR="00470849" w:rsidRPr="00470849" w:rsidRDefault="00470849" w:rsidP="00470849">
      <w:r w:rsidRPr="00470849">
        <w:pict w14:anchorId="13678B10">
          <v:rect id="_x0000_i1032" style="width:0;height:1.5pt" o:hralign="center" o:hrstd="t" o:hr="t" fillcolor="#a0a0a0" stroked="f"/>
        </w:pict>
      </w:r>
    </w:p>
    <w:p w14:paraId="7E80C33D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VIII. ALCANCE</w:t>
      </w:r>
    </w:p>
    <w:p w14:paraId="2CCEEC3B" w14:textId="77777777" w:rsidR="00470849" w:rsidRPr="00470849" w:rsidRDefault="00470849" w:rsidP="00470849">
      <w:r w:rsidRPr="00470849">
        <w:t>Este Marco aplica a:</w:t>
      </w:r>
    </w:p>
    <w:p w14:paraId="19495633" w14:textId="77777777" w:rsidR="00470849" w:rsidRPr="00470849" w:rsidRDefault="00470849" w:rsidP="00470849">
      <w:pPr>
        <w:numPr>
          <w:ilvl w:val="0"/>
          <w:numId w:val="6"/>
        </w:numPr>
      </w:pPr>
      <w:r w:rsidRPr="00470849">
        <w:t>Documentos estructurales L0–L9.</w:t>
      </w:r>
    </w:p>
    <w:p w14:paraId="2D7C8FEF" w14:textId="77777777" w:rsidR="00470849" w:rsidRPr="00470849" w:rsidRDefault="00470849" w:rsidP="00470849">
      <w:pPr>
        <w:numPr>
          <w:ilvl w:val="0"/>
          <w:numId w:val="6"/>
        </w:numPr>
      </w:pPr>
      <w:r w:rsidRPr="00470849">
        <w:t>Entidades de conocimiento institucional.</w:t>
      </w:r>
    </w:p>
    <w:p w14:paraId="1EAAA083" w14:textId="77777777" w:rsidR="00470849" w:rsidRPr="00470849" w:rsidRDefault="00470849" w:rsidP="00470849">
      <w:pPr>
        <w:numPr>
          <w:ilvl w:val="0"/>
          <w:numId w:val="6"/>
        </w:numPr>
      </w:pPr>
      <w:r w:rsidRPr="00470849">
        <w:t>Marcos rectores, políticas y protocolos.</w:t>
      </w:r>
    </w:p>
    <w:p w14:paraId="12DC8F85" w14:textId="77777777" w:rsidR="00470849" w:rsidRPr="00470849" w:rsidRDefault="00470849" w:rsidP="00470849">
      <w:pPr>
        <w:numPr>
          <w:ilvl w:val="0"/>
          <w:numId w:val="6"/>
        </w:numPr>
      </w:pPr>
      <w:r w:rsidRPr="00470849">
        <w:t>Configuración normativa global.</w:t>
      </w:r>
    </w:p>
    <w:p w14:paraId="327A9132" w14:textId="77777777" w:rsidR="00470849" w:rsidRPr="00470849" w:rsidRDefault="00470849" w:rsidP="00470849">
      <w:pPr>
        <w:numPr>
          <w:ilvl w:val="0"/>
          <w:numId w:val="6"/>
        </w:numPr>
      </w:pPr>
      <w:r w:rsidRPr="00470849">
        <w:t>Relaciones entre dominios estructurales.</w:t>
      </w:r>
    </w:p>
    <w:p w14:paraId="232107A1" w14:textId="77777777" w:rsidR="00470849" w:rsidRPr="00470849" w:rsidRDefault="00470849" w:rsidP="00470849">
      <w:r w:rsidRPr="00470849">
        <w:t>Toda desviación con impacto estructural está sujeta a este Marco.</w:t>
      </w:r>
    </w:p>
    <w:p w14:paraId="452E6482" w14:textId="77777777" w:rsidR="00470849" w:rsidRPr="00470849" w:rsidRDefault="00470849" w:rsidP="00470849">
      <w:r w:rsidRPr="00470849">
        <w:pict w14:anchorId="064EB118">
          <v:rect id="_x0000_i1033" style="width:0;height:1.5pt" o:hralign="center" o:hrstd="t" o:hr="t" fillcolor="#a0a0a0" stroked="f"/>
        </w:pict>
      </w:r>
    </w:p>
    <w:p w14:paraId="1FD2B1D6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IX. LÍMITES</w:t>
      </w:r>
    </w:p>
    <w:p w14:paraId="70FD13B7" w14:textId="77777777" w:rsidR="00470849" w:rsidRPr="00470849" w:rsidRDefault="00470849" w:rsidP="00470849">
      <w:r w:rsidRPr="00470849">
        <w:t>Este Marco no define:</w:t>
      </w:r>
    </w:p>
    <w:p w14:paraId="37EA3D6E" w14:textId="77777777" w:rsidR="00470849" w:rsidRPr="00470849" w:rsidRDefault="00470849" w:rsidP="00470849">
      <w:pPr>
        <w:numPr>
          <w:ilvl w:val="0"/>
          <w:numId w:val="7"/>
        </w:numPr>
      </w:pPr>
      <w:r w:rsidRPr="00470849">
        <w:t>Indicadores cuantitativos específicos.</w:t>
      </w:r>
    </w:p>
    <w:p w14:paraId="304378CF" w14:textId="77777777" w:rsidR="00470849" w:rsidRPr="00470849" w:rsidRDefault="00470849" w:rsidP="00470849">
      <w:pPr>
        <w:numPr>
          <w:ilvl w:val="0"/>
          <w:numId w:val="7"/>
        </w:numPr>
      </w:pPr>
      <w:r w:rsidRPr="00470849">
        <w:t>Algoritmos de monitoreo.</w:t>
      </w:r>
    </w:p>
    <w:p w14:paraId="277E5A7E" w14:textId="77777777" w:rsidR="00470849" w:rsidRPr="00470849" w:rsidRDefault="00470849" w:rsidP="00470849">
      <w:pPr>
        <w:numPr>
          <w:ilvl w:val="0"/>
          <w:numId w:val="7"/>
        </w:numPr>
      </w:pPr>
      <w:r w:rsidRPr="00470849">
        <w:t>Frecuencias operativas de revisión.</w:t>
      </w:r>
    </w:p>
    <w:p w14:paraId="35625D94" w14:textId="77777777" w:rsidR="00470849" w:rsidRPr="00470849" w:rsidRDefault="00470849" w:rsidP="00470849">
      <w:pPr>
        <w:numPr>
          <w:ilvl w:val="0"/>
          <w:numId w:val="7"/>
        </w:numPr>
      </w:pPr>
      <w:r w:rsidRPr="00470849">
        <w:t>Órganos nominales de evaluación.</w:t>
      </w:r>
    </w:p>
    <w:p w14:paraId="19ACCD63" w14:textId="77777777" w:rsidR="00470849" w:rsidRPr="00470849" w:rsidRDefault="00470849" w:rsidP="00470849">
      <w:pPr>
        <w:numPr>
          <w:ilvl w:val="0"/>
          <w:numId w:val="7"/>
        </w:numPr>
      </w:pPr>
      <w:r w:rsidRPr="00470849">
        <w:t>Procedimientos técnicos detallados.</w:t>
      </w:r>
    </w:p>
    <w:p w14:paraId="1550018B" w14:textId="77777777" w:rsidR="00470849" w:rsidRPr="00470849" w:rsidRDefault="00470849" w:rsidP="00470849">
      <w:r w:rsidRPr="00470849">
        <w:lastRenderedPageBreak/>
        <w:t>Define el principio rector de preservación de alineación ontológica y control de riesgo sistémico estructural.</w:t>
      </w:r>
    </w:p>
    <w:p w14:paraId="3957FC46" w14:textId="77777777" w:rsidR="00470849" w:rsidRPr="00470849" w:rsidRDefault="00470849" w:rsidP="00470849">
      <w:r w:rsidRPr="00470849">
        <w:pict w14:anchorId="13EC95C0">
          <v:rect id="_x0000_i1034" style="width:0;height:1.5pt" o:hralign="center" o:hrstd="t" o:hr="t" fillcolor="#a0a0a0" stroked="f"/>
        </w:pict>
      </w:r>
    </w:p>
    <w:p w14:paraId="7F75EDE8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X. PERMANENCIA Y JERARQUÍA</w:t>
      </w:r>
    </w:p>
    <w:p w14:paraId="6A34CD5F" w14:textId="77777777" w:rsidR="00470849" w:rsidRPr="00470849" w:rsidRDefault="00470849" w:rsidP="00470849">
      <w:r w:rsidRPr="00470849">
        <w:t>Este Marco:</w:t>
      </w:r>
    </w:p>
    <w:p w14:paraId="06B7AB87" w14:textId="77777777" w:rsidR="00470849" w:rsidRPr="00470849" w:rsidRDefault="00470849" w:rsidP="00470849">
      <w:pPr>
        <w:numPr>
          <w:ilvl w:val="0"/>
          <w:numId w:val="8"/>
        </w:numPr>
      </w:pPr>
      <w:r w:rsidRPr="00470849">
        <w:t>Es permanente.</w:t>
      </w:r>
    </w:p>
    <w:p w14:paraId="4F3C10BD" w14:textId="77777777" w:rsidR="00470849" w:rsidRPr="00470849" w:rsidRDefault="00470849" w:rsidP="00470849">
      <w:pPr>
        <w:numPr>
          <w:ilvl w:val="0"/>
          <w:numId w:val="8"/>
        </w:numPr>
      </w:pPr>
      <w:r w:rsidRPr="00470849">
        <w:t>Es estructural.</w:t>
      </w:r>
    </w:p>
    <w:p w14:paraId="4E5B136D" w14:textId="77777777" w:rsidR="00470849" w:rsidRPr="00470849" w:rsidRDefault="00470849" w:rsidP="00470849">
      <w:pPr>
        <w:numPr>
          <w:ilvl w:val="0"/>
          <w:numId w:val="8"/>
        </w:numPr>
      </w:pPr>
      <w:r w:rsidRPr="00470849">
        <w:t>Es rector en materia de alineación institucional.</w:t>
      </w:r>
    </w:p>
    <w:p w14:paraId="1705249A" w14:textId="77777777" w:rsidR="00470849" w:rsidRPr="00470849" w:rsidRDefault="00470849" w:rsidP="00470849">
      <w:pPr>
        <w:numPr>
          <w:ilvl w:val="0"/>
          <w:numId w:val="8"/>
        </w:numPr>
      </w:pPr>
      <w:r w:rsidRPr="00470849">
        <w:t>Es superior a interpretaciones parciales que alteren coherencia sistémica.</w:t>
      </w:r>
    </w:p>
    <w:p w14:paraId="3B59DFEB" w14:textId="77777777" w:rsidR="00470849" w:rsidRPr="00470849" w:rsidRDefault="00470849" w:rsidP="00470849">
      <w:pPr>
        <w:numPr>
          <w:ilvl w:val="0"/>
          <w:numId w:val="8"/>
        </w:numPr>
      </w:pPr>
      <w:r w:rsidRPr="00470849">
        <w:t>Solo puede modificarse mediante reforma estructural formal conforme al sistema institucional de versionado.</w:t>
      </w:r>
    </w:p>
    <w:p w14:paraId="01F00827" w14:textId="77777777" w:rsidR="00470849" w:rsidRPr="00470849" w:rsidRDefault="00470849" w:rsidP="00470849">
      <w:r w:rsidRPr="00470849">
        <w:pict w14:anchorId="7639AAC8">
          <v:rect id="_x0000_i1035" style="width:0;height:1.5pt" o:hralign="center" o:hrstd="t" o:hr="t" fillcolor="#a0a0a0" stroked="f"/>
        </w:pict>
      </w:r>
    </w:p>
    <w:p w14:paraId="7075621C" w14:textId="77777777" w:rsidR="00470849" w:rsidRPr="00470849" w:rsidRDefault="00470849" w:rsidP="00470849">
      <w:pPr>
        <w:rPr>
          <w:b/>
          <w:bCs/>
        </w:rPr>
      </w:pPr>
      <w:r w:rsidRPr="00470849">
        <w:rPr>
          <w:b/>
          <w:bCs/>
        </w:rPr>
        <w:t>XI. DECLARACIÓN FINAL</w:t>
      </w:r>
    </w:p>
    <w:p w14:paraId="6241B0E0" w14:textId="77777777" w:rsidR="00470849" w:rsidRPr="00470849" w:rsidRDefault="00470849" w:rsidP="00470849">
      <w:r w:rsidRPr="00470849">
        <w:t>En ICICSO:</w:t>
      </w:r>
    </w:p>
    <w:p w14:paraId="0D2B7717" w14:textId="77777777" w:rsidR="00470849" w:rsidRPr="00470849" w:rsidRDefault="00470849" w:rsidP="00470849">
      <w:r w:rsidRPr="00470849">
        <w:t>La desviación acumulativa es riesgo estructural.</w:t>
      </w:r>
      <w:r w:rsidRPr="00470849">
        <w:br/>
        <w:t>La incoherencia progresiva es señal sistémica.</w:t>
      </w:r>
      <w:r w:rsidRPr="00470849">
        <w:br/>
        <w:t>La alineación ontológica es obligación permanente.</w:t>
      </w:r>
    </w:p>
    <w:p w14:paraId="3B5E01F4" w14:textId="770A6E7A" w:rsidR="00307835" w:rsidRDefault="00470849">
      <w:r w:rsidRPr="00470849">
        <w:t>Nada estructural puede alejarse del diseño fundacional sin revisión formal y trazable.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950"/>
    <w:multiLevelType w:val="multilevel"/>
    <w:tmpl w:val="C4A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04FB"/>
    <w:multiLevelType w:val="multilevel"/>
    <w:tmpl w:val="A67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2F96"/>
    <w:multiLevelType w:val="multilevel"/>
    <w:tmpl w:val="859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3D84"/>
    <w:multiLevelType w:val="multilevel"/>
    <w:tmpl w:val="5C2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03E3F"/>
    <w:multiLevelType w:val="multilevel"/>
    <w:tmpl w:val="801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5DA9"/>
    <w:multiLevelType w:val="multilevel"/>
    <w:tmpl w:val="BF8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24A5A"/>
    <w:multiLevelType w:val="multilevel"/>
    <w:tmpl w:val="580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91290"/>
    <w:multiLevelType w:val="multilevel"/>
    <w:tmpl w:val="B7E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1537">
    <w:abstractNumId w:val="4"/>
  </w:num>
  <w:num w:numId="2" w16cid:durableId="157160395">
    <w:abstractNumId w:val="5"/>
  </w:num>
  <w:num w:numId="3" w16cid:durableId="319358148">
    <w:abstractNumId w:val="1"/>
  </w:num>
  <w:num w:numId="4" w16cid:durableId="34815593">
    <w:abstractNumId w:val="0"/>
  </w:num>
  <w:num w:numId="5" w16cid:durableId="315106903">
    <w:abstractNumId w:val="2"/>
  </w:num>
  <w:num w:numId="6" w16cid:durableId="33235438">
    <w:abstractNumId w:val="3"/>
  </w:num>
  <w:num w:numId="7" w16cid:durableId="1950434233">
    <w:abstractNumId w:val="7"/>
  </w:num>
  <w:num w:numId="8" w16cid:durableId="1166358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81"/>
    <w:rsid w:val="000C55DB"/>
    <w:rsid w:val="001C2B78"/>
    <w:rsid w:val="00307835"/>
    <w:rsid w:val="00470849"/>
    <w:rsid w:val="00A10986"/>
    <w:rsid w:val="00E0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8E09"/>
  <w15:chartTrackingRefBased/>
  <w15:docId w15:val="{5E48AFE8-105B-4E59-9D4F-31AAA063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689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2026-02-19T18:03:00Z</dcterms:created>
  <dcterms:modified xsi:type="dcterms:W3CDTF">2026-02-19T18:06:00Z</dcterms:modified>
</cp:coreProperties>
</file>