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28AD" w14:textId="77777777" w:rsidR="006705E5" w:rsidRPr="006705E5" w:rsidRDefault="006705E5" w:rsidP="006705E5">
      <w:pPr>
        <w:rPr>
          <w:b/>
          <w:bCs/>
          <w:lang w:val="en-US"/>
        </w:rPr>
      </w:pPr>
      <w:r w:rsidRPr="006705E5">
        <w:rPr>
          <w:b/>
          <w:bCs/>
          <w:lang w:val="en-US"/>
        </w:rPr>
        <w:t>L1-EVD-04</w:t>
      </w:r>
    </w:p>
    <w:p w14:paraId="3E3B568E" w14:textId="77777777" w:rsidR="006705E5" w:rsidRPr="006705E5" w:rsidRDefault="006705E5" w:rsidP="006705E5">
      <w:pPr>
        <w:rPr>
          <w:b/>
          <w:bCs/>
          <w:lang w:val="en-US"/>
        </w:rPr>
      </w:pPr>
      <w:r w:rsidRPr="006705E5">
        <w:rPr>
          <w:b/>
          <w:bCs/>
          <w:lang w:val="en-US"/>
        </w:rPr>
        <w:t>INTER-GUIDELINE CONFLICT REGISTRY</w:t>
      </w:r>
    </w:p>
    <w:p w14:paraId="05745A09" w14:textId="77777777" w:rsidR="006705E5" w:rsidRPr="006705E5" w:rsidRDefault="006705E5" w:rsidP="006705E5">
      <w:r w:rsidRPr="006705E5">
        <w:rPr>
          <w:b/>
          <w:bCs/>
        </w:rPr>
        <w:t>Registro Estructural de Conflictos entre Guías Clínicas</w:t>
      </w:r>
    </w:p>
    <w:p w14:paraId="5BAEB394" w14:textId="77777777" w:rsidR="006705E5" w:rsidRPr="006705E5" w:rsidRDefault="006705E5" w:rsidP="006705E5">
      <w:r w:rsidRPr="006705E5">
        <w:t>Clasificación: L1 — EVD</w:t>
      </w:r>
      <w:r w:rsidRPr="006705E5">
        <w:br/>
        <w:t>Naturaleza: Agregado</w:t>
      </w:r>
      <w:r w:rsidRPr="006705E5">
        <w:br/>
        <w:t>Tipo: Registro Estructural</w:t>
      </w:r>
      <w:r w:rsidRPr="006705E5">
        <w:br/>
        <w:t>Carácter: Conflicto Científico</w:t>
      </w:r>
      <w:r w:rsidRPr="006705E5">
        <w:br/>
        <w:t>Dependencia: L1-EVD-03</w:t>
      </w:r>
      <w:r w:rsidRPr="006705E5">
        <w:br/>
        <w:t xml:space="preserve">Régimen: </w:t>
      </w:r>
      <w:proofErr w:type="spellStart"/>
      <w:r w:rsidRPr="006705E5">
        <w:t>Append-Only</w:t>
      </w:r>
      <w:proofErr w:type="spellEnd"/>
      <w:r w:rsidRPr="006705E5">
        <w:br/>
        <w:t>Integridad: Hash</w:t>
      </w:r>
      <w:r w:rsidRPr="006705E5">
        <w:br/>
        <w:t>Formato: Digital</w:t>
      </w:r>
      <w:r w:rsidRPr="006705E5">
        <w:br/>
        <w:t>Estado: Activo</w:t>
      </w:r>
    </w:p>
    <w:p w14:paraId="582C2A54" w14:textId="77777777" w:rsidR="006705E5" w:rsidRPr="006705E5" w:rsidRDefault="006705E5" w:rsidP="006705E5">
      <w:r w:rsidRPr="006705E5">
        <w:pict w14:anchorId="4B9C2421">
          <v:rect id="_x0000_i1025" style="width:0;height:1.5pt" o:hralign="center" o:hrstd="t" o:hr="t" fillcolor="#a0a0a0" stroked="f"/>
        </w:pict>
      </w:r>
    </w:p>
    <w:p w14:paraId="3160B222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I. PROPÓSITO</w:t>
      </w:r>
    </w:p>
    <w:p w14:paraId="659E7F1E" w14:textId="77777777" w:rsidR="006705E5" w:rsidRPr="006705E5" w:rsidRDefault="006705E5" w:rsidP="006705E5">
      <w:r w:rsidRPr="006705E5">
        <w:t>El Inter-</w:t>
      </w:r>
      <w:proofErr w:type="spellStart"/>
      <w:r w:rsidRPr="006705E5">
        <w:t>Guideline</w:t>
      </w:r>
      <w:proofErr w:type="spellEnd"/>
      <w:r w:rsidRPr="006705E5">
        <w:t xml:space="preserve"> </w:t>
      </w:r>
      <w:proofErr w:type="spellStart"/>
      <w:r w:rsidRPr="006705E5">
        <w:t>Conflict</w:t>
      </w:r>
      <w:proofErr w:type="spellEnd"/>
      <w:r w:rsidRPr="006705E5">
        <w:t xml:space="preserve"> </w:t>
      </w:r>
      <w:proofErr w:type="spellStart"/>
      <w:r w:rsidRPr="006705E5">
        <w:t>Registry</w:t>
      </w:r>
      <w:proofErr w:type="spellEnd"/>
      <w:r w:rsidRPr="006705E5">
        <w:t xml:space="preserve"> (IGCR) es el registro estructural agregado destinado a documentar divergencias formales entre guías clínicas incorporadas al sistema.</w:t>
      </w:r>
    </w:p>
    <w:p w14:paraId="0C7F87A8" w14:textId="77777777" w:rsidR="006705E5" w:rsidRPr="006705E5" w:rsidRDefault="006705E5" w:rsidP="006705E5">
      <w:r w:rsidRPr="006705E5">
        <w:t xml:space="preserve">Se entiende por </w:t>
      </w:r>
      <w:r w:rsidRPr="006705E5">
        <w:rPr>
          <w:b/>
          <w:bCs/>
        </w:rPr>
        <w:t>registro agregado</w:t>
      </w:r>
      <w:r w:rsidRPr="006705E5">
        <w:t xml:space="preserve"> una colección acumulativa de entradas independientes, no modificables retroactivamente y preservadas bajo integridad verificable.</w:t>
      </w:r>
    </w:p>
    <w:p w14:paraId="1383DEC6" w14:textId="77777777" w:rsidR="006705E5" w:rsidRPr="006705E5" w:rsidRDefault="006705E5" w:rsidP="006705E5">
      <w:r w:rsidRPr="006705E5">
        <w:t>El IGCR no resuelve conflictos; los documenta estructuralmente para permitir su tratamiento posterior en capas correspondientes.</w:t>
      </w:r>
    </w:p>
    <w:p w14:paraId="450601E2" w14:textId="77777777" w:rsidR="006705E5" w:rsidRPr="006705E5" w:rsidRDefault="006705E5" w:rsidP="006705E5">
      <w:r w:rsidRPr="006705E5">
        <w:pict w14:anchorId="4022D3FD">
          <v:rect id="_x0000_i1026" style="width:0;height:1.5pt" o:hralign="center" o:hrstd="t" o:hr="t" fillcolor="#a0a0a0" stroked="f"/>
        </w:pict>
      </w:r>
    </w:p>
    <w:p w14:paraId="12831E89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II. DEFINICIÓN DE CONFLICTO INTER-GUÍA</w:t>
      </w:r>
    </w:p>
    <w:p w14:paraId="4B3722AB" w14:textId="77777777" w:rsidR="006705E5" w:rsidRPr="006705E5" w:rsidRDefault="006705E5" w:rsidP="006705E5">
      <w:r w:rsidRPr="006705E5">
        <w:t xml:space="preserve">Existe conflicto </w:t>
      </w:r>
      <w:proofErr w:type="spellStart"/>
      <w:r w:rsidRPr="006705E5">
        <w:t>inter-guía</w:t>
      </w:r>
      <w:proofErr w:type="spellEnd"/>
      <w:r w:rsidRPr="006705E5">
        <w:t xml:space="preserve"> cuando dos o más (</w:t>
      </w:r>
      <w:proofErr w:type="gramStart"/>
      <w:r w:rsidRPr="006705E5">
        <w:t>2..</w:t>
      </w:r>
      <w:proofErr w:type="gramEnd"/>
      <w:r w:rsidRPr="006705E5">
        <w:t xml:space="preserve">n) guías clínicas formalmente representadas como </w:t>
      </w:r>
      <w:proofErr w:type="spellStart"/>
      <w:r w:rsidRPr="006705E5">
        <w:t>Evidence</w:t>
      </w:r>
      <w:proofErr w:type="spellEnd"/>
      <w:r w:rsidRPr="006705E5">
        <w:t xml:space="preserve"> </w:t>
      </w:r>
      <w:proofErr w:type="spellStart"/>
      <w:r w:rsidRPr="006705E5">
        <w:t>Objects</w:t>
      </w:r>
      <w:proofErr w:type="spellEnd"/>
      <w:r w:rsidRPr="006705E5">
        <w:t xml:space="preserve"> (EO) emiten recomendaciones incompatibles o estructuralmente divergentes.</w:t>
      </w:r>
    </w:p>
    <w:p w14:paraId="1D39DD1B" w14:textId="77777777" w:rsidR="006705E5" w:rsidRPr="006705E5" w:rsidRDefault="006705E5" w:rsidP="006705E5">
      <w:r w:rsidRPr="006705E5">
        <w:t>La divergencia debe ser:</w:t>
      </w:r>
    </w:p>
    <w:p w14:paraId="4FE40643" w14:textId="77777777" w:rsidR="006705E5" w:rsidRPr="006705E5" w:rsidRDefault="006705E5" w:rsidP="006705E5">
      <w:pPr>
        <w:numPr>
          <w:ilvl w:val="0"/>
          <w:numId w:val="1"/>
        </w:numPr>
      </w:pPr>
      <w:r w:rsidRPr="006705E5">
        <w:t>Explícita.</w:t>
      </w:r>
    </w:p>
    <w:p w14:paraId="79D10DAE" w14:textId="77777777" w:rsidR="006705E5" w:rsidRPr="006705E5" w:rsidRDefault="006705E5" w:rsidP="006705E5">
      <w:pPr>
        <w:numPr>
          <w:ilvl w:val="0"/>
          <w:numId w:val="1"/>
        </w:numPr>
      </w:pPr>
      <w:r w:rsidRPr="006705E5">
        <w:t>Verificable.</w:t>
      </w:r>
    </w:p>
    <w:p w14:paraId="6406C824" w14:textId="77777777" w:rsidR="006705E5" w:rsidRPr="006705E5" w:rsidRDefault="006705E5" w:rsidP="006705E5">
      <w:pPr>
        <w:numPr>
          <w:ilvl w:val="0"/>
          <w:numId w:val="1"/>
        </w:numPr>
      </w:pPr>
      <w:proofErr w:type="spellStart"/>
      <w:r w:rsidRPr="006705E5">
        <w:t>Referenciable</w:t>
      </w:r>
      <w:proofErr w:type="spellEnd"/>
      <w:r w:rsidRPr="006705E5">
        <w:t xml:space="preserve"> textualmente.</w:t>
      </w:r>
    </w:p>
    <w:p w14:paraId="7338F7B3" w14:textId="77777777" w:rsidR="006705E5" w:rsidRPr="006705E5" w:rsidRDefault="006705E5" w:rsidP="006705E5">
      <w:pPr>
        <w:numPr>
          <w:ilvl w:val="0"/>
          <w:numId w:val="1"/>
        </w:numPr>
      </w:pPr>
      <w:r w:rsidRPr="006705E5">
        <w:t>Documentada en versión específica identificable.</w:t>
      </w:r>
    </w:p>
    <w:p w14:paraId="6B837A12" w14:textId="77777777" w:rsidR="006705E5" w:rsidRPr="006705E5" w:rsidRDefault="006705E5" w:rsidP="006705E5">
      <w:r w:rsidRPr="006705E5">
        <w:t>No se registran discrepancias interpretativas implícitas ni diferencias triviales.</w:t>
      </w:r>
    </w:p>
    <w:p w14:paraId="2DEF020C" w14:textId="77777777" w:rsidR="006705E5" w:rsidRPr="006705E5" w:rsidRDefault="006705E5" w:rsidP="006705E5">
      <w:r w:rsidRPr="006705E5">
        <w:pict w14:anchorId="132B6E20">
          <v:rect id="_x0000_i1027" style="width:0;height:1.5pt" o:hralign="center" o:hrstd="t" o:hr="t" fillcolor="#a0a0a0" stroked="f"/>
        </w:pict>
      </w:r>
    </w:p>
    <w:p w14:paraId="452E436D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III. TIPOLOGÍA DE CONFLICTO</w:t>
      </w:r>
    </w:p>
    <w:p w14:paraId="1ADD87DD" w14:textId="77777777" w:rsidR="006705E5" w:rsidRPr="006705E5" w:rsidRDefault="006705E5" w:rsidP="006705E5">
      <w:r w:rsidRPr="006705E5">
        <w:t>El conflicto puede clasificarse descriptivamente como:</w:t>
      </w:r>
    </w:p>
    <w:p w14:paraId="3FB1E5E7" w14:textId="77777777" w:rsidR="006705E5" w:rsidRPr="006705E5" w:rsidRDefault="006705E5" w:rsidP="006705E5">
      <w:pPr>
        <w:numPr>
          <w:ilvl w:val="0"/>
          <w:numId w:val="2"/>
        </w:numPr>
      </w:pPr>
      <w:r w:rsidRPr="006705E5">
        <w:lastRenderedPageBreak/>
        <w:t>Divergencia de recomendación.</w:t>
      </w:r>
    </w:p>
    <w:p w14:paraId="26CDA6BC" w14:textId="77777777" w:rsidR="006705E5" w:rsidRPr="006705E5" w:rsidRDefault="006705E5" w:rsidP="006705E5">
      <w:pPr>
        <w:numPr>
          <w:ilvl w:val="0"/>
          <w:numId w:val="2"/>
        </w:numPr>
      </w:pPr>
      <w:r w:rsidRPr="006705E5">
        <w:t>Divergencia de umbral clínico.</w:t>
      </w:r>
    </w:p>
    <w:p w14:paraId="3A824FA4" w14:textId="77777777" w:rsidR="006705E5" w:rsidRPr="006705E5" w:rsidRDefault="006705E5" w:rsidP="006705E5">
      <w:pPr>
        <w:numPr>
          <w:ilvl w:val="0"/>
          <w:numId w:val="2"/>
        </w:numPr>
      </w:pPr>
      <w:r w:rsidRPr="006705E5">
        <w:t>Divergencia de indicación.</w:t>
      </w:r>
    </w:p>
    <w:p w14:paraId="34361C26" w14:textId="77777777" w:rsidR="006705E5" w:rsidRPr="006705E5" w:rsidRDefault="006705E5" w:rsidP="006705E5">
      <w:pPr>
        <w:numPr>
          <w:ilvl w:val="0"/>
          <w:numId w:val="2"/>
        </w:numPr>
      </w:pPr>
      <w:r w:rsidRPr="006705E5">
        <w:t>Divergencia de contraindicación.</w:t>
      </w:r>
    </w:p>
    <w:p w14:paraId="1AE2A1EB" w14:textId="77777777" w:rsidR="006705E5" w:rsidRPr="006705E5" w:rsidRDefault="006705E5" w:rsidP="006705E5">
      <w:pPr>
        <w:numPr>
          <w:ilvl w:val="0"/>
          <w:numId w:val="2"/>
        </w:numPr>
      </w:pPr>
      <w:r w:rsidRPr="006705E5">
        <w:t>Divergencia de nivel de evidencia.</w:t>
      </w:r>
    </w:p>
    <w:p w14:paraId="036A6C1F" w14:textId="77777777" w:rsidR="006705E5" w:rsidRPr="006705E5" w:rsidRDefault="006705E5" w:rsidP="006705E5">
      <w:pPr>
        <w:numPr>
          <w:ilvl w:val="0"/>
          <w:numId w:val="2"/>
        </w:numPr>
      </w:pPr>
      <w:r w:rsidRPr="006705E5">
        <w:t>Divergencia de fuerza de recomendación.</w:t>
      </w:r>
    </w:p>
    <w:p w14:paraId="24C29A22" w14:textId="77777777" w:rsidR="006705E5" w:rsidRPr="006705E5" w:rsidRDefault="006705E5" w:rsidP="006705E5">
      <w:pPr>
        <w:numPr>
          <w:ilvl w:val="0"/>
          <w:numId w:val="2"/>
        </w:numPr>
      </w:pPr>
      <w:r w:rsidRPr="006705E5">
        <w:t>Divergencia metodológica relevante.</w:t>
      </w:r>
    </w:p>
    <w:p w14:paraId="589FDF05" w14:textId="77777777" w:rsidR="006705E5" w:rsidRPr="006705E5" w:rsidRDefault="006705E5" w:rsidP="006705E5">
      <w:r w:rsidRPr="006705E5">
        <w:t>La clasificación es descriptiva y no implica jerarquización ni juicio de prevalencia.</w:t>
      </w:r>
    </w:p>
    <w:p w14:paraId="083BA666" w14:textId="77777777" w:rsidR="006705E5" w:rsidRPr="006705E5" w:rsidRDefault="006705E5" w:rsidP="006705E5">
      <w:r w:rsidRPr="006705E5">
        <w:pict w14:anchorId="042C739B">
          <v:rect id="_x0000_i1028" style="width:0;height:1.5pt" o:hralign="center" o:hrstd="t" o:hr="t" fillcolor="#a0a0a0" stroked="f"/>
        </w:pict>
      </w:r>
    </w:p>
    <w:p w14:paraId="736B59E3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IV. ACTIVACIÓN DEL REGISTRO</w:t>
      </w:r>
    </w:p>
    <w:p w14:paraId="78645A90" w14:textId="77777777" w:rsidR="006705E5" w:rsidRPr="006705E5" w:rsidRDefault="006705E5" w:rsidP="006705E5">
      <w:r w:rsidRPr="006705E5">
        <w:t>El registro se activa cuando:</w:t>
      </w:r>
    </w:p>
    <w:p w14:paraId="3CF34551" w14:textId="77777777" w:rsidR="006705E5" w:rsidRPr="006705E5" w:rsidRDefault="006705E5" w:rsidP="006705E5">
      <w:pPr>
        <w:numPr>
          <w:ilvl w:val="0"/>
          <w:numId w:val="3"/>
        </w:numPr>
      </w:pPr>
      <w:r w:rsidRPr="006705E5">
        <w:t>La incompatibilidad es formalmente identificada.</w:t>
      </w:r>
    </w:p>
    <w:p w14:paraId="5BB709C5" w14:textId="77777777" w:rsidR="006705E5" w:rsidRPr="006705E5" w:rsidRDefault="006705E5" w:rsidP="006705E5">
      <w:pPr>
        <w:numPr>
          <w:ilvl w:val="0"/>
          <w:numId w:val="3"/>
        </w:numPr>
      </w:pPr>
      <w:r w:rsidRPr="006705E5">
        <w:t>Las guías involucradas están validadas y representadas como EO.</w:t>
      </w:r>
    </w:p>
    <w:p w14:paraId="17FEA023" w14:textId="77777777" w:rsidR="006705E5" w:rsidRPr="006705E5" w:rsidRDefault="006705E5" w:rsidP="006705E5">
      <w:pPr>
        <w:numPr>
          <w:ilvl w:val="0"/>
          <w:numId w:val="3"/>
        </w:numPr>
      </w:pPr>
      <w:r w:rsidRPr="006705E5">
        <w:t>La divergencia se documenta mediante referencia textual precisa.</w:t>
      </w:r>
    </w:p>
    <w:p w14:paraId="1E5222D4" w14:textId="77777777" w:rsidR="006705E5" w:rsidRPr="006705E5" w:rsidRDefault="006705E5" w:rsidP="006705E5">
      <w:pPr>
        <w:numPr>
          <w:ilvl w:val="0"/>
          <w:numId w:val="3"/>
        </w:numPr>
      </w:pPr>
      <w:r w:rsidRPr="006705E5">
        <w:t>Se verifica incompatibilidad estructural objetiva.</w:t>
      </w:r>
    </w:p>
    <w:p w14:paraId="500ED6C3" w14:textId="77777777" w:rsidR="006705E5" w:rsidRPr="006705E5" w:rsidRDefault="006705E5" w:rsidP="006705E5">
      <w:r w:rsidRPr="006705E5">
        <w:t>La activación es formal y trazable.</w:t>
      </w:r>
    </w:p>
    <w:p w14:paraId="6451D612" w14:textId="77777777" w:rsidR="006705E5" w:rsidRPr="006705E5" w:rsidRDefault="006705E5" w:rsidP="006705E5">
      <w:r w:rsidRPr="006705E5">
        <w:pict w14:anchorId="385BBAB4">
          <v:rect id="_x0000_i1029" style="width:0;height:1.5pt" o:hralign="center" o:hrstd="t" o:hr="t" fillcolor="#a0a0a0" stroked="f"/>
        </w:pict>
      </w:r>
    </w:p>
    <w:p w14:paraId="328E6B93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V. ESTRUCTURA DE CADA ENTRADA</w:t>
      </w:r>
    </w:p>
    <w:p w14:paraId="1CC1A39F" w14:textId="77777777" w:rsidR="006705E5" w:rsidRPr="006705E5" w:rsidRDefault="006705E5" w:rsidP="006705E5">
      <w:r w:rsidRPr="006705E5">
        <w:t>Cada entrada del IGCR debe contener:</w:t>
      </w:r>
    </w:p>
    <w:p w14:paraId="4BAECD99" w14:textId="77777777" w:rsidR="006705E5" w:rsidRPr="006705E5" w:rsidRDefault="006705E5" w:rsidP="006705E5">
      <w:r w:rsidRPr="006705E5">
        <w:pict w14:anchorId="32166A7A">
          <v:rect id="_x0000_i1030" style="width:0;height:1.5pt" o:hralign="center" o:hrstd="t" o:hr="t" fillcolor="#a0a0a0" stroked="f"/>
        </w:pict>
      </w:r>
    </w:p>
    <w:p w14:paraId="0C124153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1️</w:t>
      </w:r>
      <w:r w:rsidRPr="006705E5">
        <w:rPr>
          <w:rFonts w:ascii="Segoe UI Symbol" w:hAnsi="Segoe UI Symbol" w:cs="Segoe UI Symbol"/>
          <w:b/>
          <w:bCs/>
        </w:rPr>
        <w:t>⃣</w:t>
      </w:r>
      <w:r w:rsidRPr="006705E5">
        <w:rPr>
          <w:b/>
          <w:bCs/>
        </w:rPr>
        <w:t xml:space="preserve"> Identificación (</w:t>
      </w:r>
      <w:proofErr w:type="gramStart"/>
      <w:r w:rsidRPr="006705E5">
        <w:rPr>
          <w:b/>
          <w:bCs/>
        </w:rPr>
        <w:t>1..</w:t>
      </w:r>
      <w:proofErr w:type="gramEnd"/>
      <w:r w:rsidRPr="006705E5">
        <w:rPr>
          <w:b/>
          <w:bCs/>
        </w:rPr>
        <w:t>1)</w:t>
      </w:r>
    </w:p>
    <w:p w14:paraId="3360BF5B" w14:textId="77777777" w:rsidR="006705E5" w:rsidRPr="006705E5" w:rsidRDefault="006705E5" w:rsidP="006705E5">
      <w:pPr>
        <w:numPr>
          <w:ilvl w:val="0"/>
          <w:numId w:val="4"/>
        </w:numPr>
      </w:pPr>
      <w:proofErr w:type="spellStart"/>
      <w:r w:rsidRPr="006705E5">
        <w:t>Conflict</w:t>
      </w:r>
      <w:proofErr w:type="spellEnd"/>
      <w:r w:rsidRPr="006705E5">
        <w:t>-ID único</w:t>
      </w:r>
    </w:p>
    <w:p w14:paraId="2199D45C" w14:textId="77777777" w:rsidR="006705E5" w:rsidRPr="006705E5" w:rsidRDefault="006705E5" w:rsidP="006705E5">
      <w:pPr>
        <w:numPr>
          <w:ilvl w:val="0"/>
          <w:numId w:val="4"/>
        </w:numPr>
      </w:pPr>
      <w:r w:rsidRPr="006705E5">
        <w:t>Fecha de registro</w:t>
      </w:r>
    </w:p>
    <w:p w14:paraId="2574A025" w14:textId="77777777" w:rsidR="006705E5" w:rsidRPr="006705E5" w:rsidRDefault="006705E5" w:rsidP="006705E5">
      <w:pPr>
        <w:numPr>
          <w:ilvl w:val="0"/>
          <w:numId w:val="4"/>
        </w:numPr>
      </w:pPr>
      <w:r w:rsidRPr="006705E5">
        <w:t>Responsable estructural</w:t>
      </w:r>
    </w:p>
    <w:p w14:paraId="0630734D" w14:textId="77777777" w:rsidR="006705E5" w:rsidRPr="006705E5" w:rsidRDefault="006705E5" w:rsidP="006705E5">
      <w:pPr>
        <w:numPr>
          <w:ilvl w:val="0"/>
          <w:numId w:val="4"/>
        </w:numPr>
      </w:pPr>
      <w:r w:rsidRPr="006705E5">
        <w:t>Hash de integridad</w:t>
      </w:r>
    </w:p>
    <w:p w14:paraId="0BC40BDF" w14:textId="77777777" w:rsidR="006705E5" w:rsidRPr="006705E5" w:rsidRDefault="006705E5" w:rsidP="006705E5">
      <w:pPr>
        <w:numPr>
          <w:ilvl w:val="0"/>
          <w:numId w:val="4"/>
        </w:numPr>
      </w:pPr>
      <w:r w:rsidRPr="006705E5">
        <w:t>Estado actual del conflicto</w:t>
      </w:r>
    </w:p>
    <w:p w14:paraId="7B0814A5" w14:textId="77777777" w:rsidR="006705E5" w:rsidRPr="006705E5" w:rsidRDefault="006705E5" w:rsidP="006705E5">
      <w:r w:rsidRPr="006705E5">
        <w:pict w14:anchorId="20FF910E">
          <v:rect id="_x0000_i1031" style="width:0;height:1.5pt" o:hralign="center" o:hrstd="t" o:hr="t" fillcolor="#a0a0a0" stroked="f"/>
        </w:pict>
      </w:r>
    </w:p>
    <w:p w14:paraId="000CE559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2️</w:t>
      </w:r>
      <w:r w:rsidRPr="006705E5">
        <w:rPr>
          <w:rFonts w:ascii="Segoe UI Symbol" w:hAnsi="Segoe UI Symbol" w:cs="Segoe UI Symbol"/>
          <w:b/>
          <w:bCs/>
        </w:rPr>
        <w:t>⃣</w:t>
      </w:r>
      <w:r w:rsidRPr="006705E5">
        <w:rPr>
          <w:b/>
          <w:bCs/>
        </w:rPr>
        <w:t xml:space="preserve"> Guías involucradas (</w:t>
      </w:r>
      <w:proofErr w:type="gramStart"/>
      <w:r w:rsidRPr="006705E5">
        <w:rPr>
          <w:b/>
          <w:bCs/>
        </w:rPr>
        <w:t>2..</w:t>
      </w:r>
      <w:proofErr w:type="gramEnd"/>
      <w:r w:rsidRPr="006705E5">
        <w:rPr>
          <w:b/>
          <w:bCs/>
        </w:rPr>
        <w:t>n)</w:t>
      </w:r>
    </w:p>
    <w:p w14:paraId="09C72DEC" w14:textId="77777777" w:rsidR="006705E5" w:rsidRPr="006705E5" w:rsidRDefault="006705E5" w:rsidP="006705E5">
      <w:pPr>
        <w:numPr>
          <w:ilvl w:val="0"/>
          <w:numId w:val="5"/>
        </w:numPr>
      </w:pPr>
      <w:r w:rsidRPr="006705E5">
        <w:t>EO-ID de cada guía</w:t>
      </w:r>
    </w:p>
    <w:p w14:paraId="39397F1E" w14:textId="77777777" w:rsidR="006705E5" w:rsidRPr="006705E5" w:rsidRDefault="006705E5" w:rsidP="006705E5">
      <w:pPr>
        <w:numPr>
          <w:ilvl w:val="0"/>
          <w:numId w:val="5"/>
        </w:numPr>
      </w:pPr>
      <w:r w:rsidRPr="006705E5">
        <w:lastRenderedPageBreak/>
        <w:t>Versiones específicas involucradas</w:t>
      </w:r>
    </w:p>
    <w:p w14:paraId="6DCE74DC" w14:textId="77777777" w:rsidR="006705E5" w:rsidRPr="006705E5" w:rsidRDefault="006705E5" w:rsidP="006705E5">
      <w:pPr>
        <w:numPr>
          <w:ilvl w:val="0"/>
          <w:numId w:val="5"/>
        </w:numPr>
      </w:pPr>
      <w:r w:rsidRPr="006705E5">
        <w:t>Entidad emisora</w:t>
      </w:r>
    </w:p>
    <w:p w14:paraId="2466172E" w14:textId="77777777" w:rsidR="006705E5" w:rsidRPr="006705E5" w:rsidRDefault="006705E5" w:rsidP="006705E5">
      <w:pPr>
        <w:numPr>
          <w:ilvl w:val="0"/>
          <w:numId w:val="5"/>
        </w:numPr>
      </w:pPr>
      <w:r w:rsidRPr="006705E5">
        <w:t>Jurisdicción si aplica</w:t>
      </w:r>
    </w:p>
    <w:p w14:paraId="7B9411E7" w14:textId="77777777" w:rsidR="006705E5" w:rsidRPr="006705E5" w:rsidRDefault="006705E5" w:rsidP="006705E5">
      <w:r w:rsidRPr="006705E5">
        <w:pict w14:anchorId="076C8B8C">
          <v:rect id="_x0000_i1032" style="width:0;height:1.5pt" o:hralign="center" o:hrstd="t" o:hr="t" fillcolor="#a0a0a0" stroked="f"/>
        </w:pict>
      </w:r>
    </w:p>
    <w:p w14:paraId="7A7FD515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3️</w:t>
      </w:r>
      <w:r w:rsidRPr="006705E5">
        <w:rPr>
          <w:rFonts w:ascii="Segoe UI Symbol" w:hAnsi="Segoe UI Symbol" w:cs="Segoe UI Symbol"/>
          <w:b/>
          <w:bCs/>
        </w:rPr>
        <w:t>⃣</w:t>
      </w:r>
      <w:r w:rsidRPr="006705E5">
        <w:rPr>
          <w:b/>
          <w:bCs/>
        </w:rPr>
        <w:t xml:space="preserve"> Naturaleza del conflicto</w:t>
      </w:r>
    </w:p>
    <w:p w14:paraId="151E84BC" w14:textId="77777777" w:rsidR="006705E5" w:rsidRPr="006705E5" w:rsidRDefault="006705E5" w:rsidP="006705E5">
      <w:pPr>
        <w:numPr>
          <w:ilvl w:val="0"/>
          <w:numId w:val="6"/>
        </w:numPr>
      </w:pPr>
      <w:r w:rsidRPr="006705E5">
        <w:t>Tipo de divergencia</w:t>
      </w:r>
    </w:p>
    <w:p w14:paraId="4ED6EEBF" w14:textId="77777777" w:rsidR="006705E5" w:rsidRPr="006705E5" w:rsidRDefault="006705E5" w:rsidP="006705E5">
      <w:pPr>
        <w:numPr>
          <w:ilvl w:val="0"/>
          <w:numId w:val="6"/>
        </w:numPr>
      </w:pPr>
      <w:r w:rsidRPr="006705E5">
        <w:t>Sección específica afectada</w:t>
      </w:r>
    </w:p>
    <w:p w14:paraId="2691F60C" w14:textId="77777777" w:rsidR="006705E5" w:rsidRPr="006705E5" w:rsidRDefault="006705E5" w:rsidP="006705E5">
      <w:pPr>
        <w:numPr>
          <w:ilvl w:val="0"/>
          <w:numId w:val="6"/>
        </w:numPr>
      </w:pPr>
      <w:r w:rsidRPr="006705E5">
        <w:t>Texto literal comparado</w:t>
      </w:r>
    </w:p>
    <w:p w14:paraId="4898E9F9" w14:textId="77777777" w:rsidR="006705E5" w:rsidRPr="006705E5" w:rsidRDefault="006705E5" w:rsidP="006705E5">
      <w:pPr>
        <w:numPr>
          <w:ilvl w:val="0"/>
          <w:numId w:val="6"/>
        </w:numPr>
      </w:pPr>
      <w:r w:rsidRPr="006705E5">
        <w:t>Descripción estructural del desacuerdo</w:t>
      </w:r>
    </w:p>
    <w:p w14:paraId="2D54D777" w14:textId="77777777" w:rsidR="006705E5" w:rsidRPr="006705E5" w:rsidRDefault="006705E5" w:rsidP="006705E5">
      <w:r w:rsidRPr="006705E5">
        <w:pict w14:anchorId="6A323BF2">
          <v:rect id="_x0000_i1033" style="width:0;height:1.5pt" o:hralign="center" o:hrstd="t" o:hr="t" fillcolor="#a0a0a0" stroked="f"/>
        </w:pict>
      </w:r>
    </w:p>
    <w:p w14:paraId="2ADABA30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4️</w:t>
      </w:r>
      <w:r w:rsidRPr="006705E5">
        <w:rPr>
          <w:rFonts w:ascii="Segoe UI Symbol" w:hAnsi="Segoe UI Symbol" w:cs="Segoe UI Symbol"/>
          <w:b/>
          <w:bCs/>
        </w:rPr>
        <w:t>⃣</w:t>
      </w:r>
      <w:r w:rsidRPr="006705E5">
        <w:rPr>
          <w:b/>
          <w:bCs/>
        </w:rPr>
        <w:t xml:space="preserve"> Contexto (</w:t>
      </w:r>
      <w:proofErr w:type="gramStart"/>
      <w:r w:rsidRPr="006705E5">
        <w:rPr>
          <w:b/>
          <w:bCs/>
        </w:rPr>
        <w:t>0..</w:t>
      </w:r>
      <w:proofErr w:type="gramEnd"/>
      <w:r w:rsidRPr="006705E5">
        <w:rPr>
          <w:b/>
          <w:bCs/>
        </w:rPr>
        <w:t>1)</w:t>
      </w:r>
    </w:p>
    <w:p w14:paraId="242581A1" w14:textId="77777777" w:rsidR="006705E5" w:rsidRPr="006705E5" w:rsidRDefault="006705E5" w:rsidP="006705E5">
      <w:pPr>
        <w:numPr>
          <w:ilvl w:val="0"/>
          <w:numId w:val="7"/>
        </w:numPr>
      </w:pPr>
      <w:r w:rsidRPr="006705E5">
        <w:t>Población objetivo implicada</w:t>
      </w:r>
    </w:p>
    <w:p w14:paraId="4DEACE2F" w14:textId="77777777" w:rsidR="006705E5" w:rsidRPr="006705E5" w:rsidRDefault="006705E5" w:rsidP="006705E5">
      <w:pPr>
        <w:numPr>
          <w:ilvl w:val="0"/>
          <w:numId w:val="7"/>
        </w:numPr>
      </w:pPr>
      <w:r w:rsidRPr="006705E5">
        <w:t>Entorno asistencial</w:t>
      </w:r>
    </w:p>
    <w:p w14:paraId="43F4D2F7" w14:textId="77777777" w:rsidR="006705E5" w:rsidRPr="006705E5" w:rsidRDefault="006705E5" w:rsidP="006705E5">
      <w:pPr>
        <w:numPr>
          <w:ilvl w:val="0"/>
          <w:numId w:val="7"/>
        </w:numPr>
      </w:pPr>
      <w:r w:rsidRPr="006705E5">
        <w:t>Fecha de publicación de cada guía</w:t>
      </w:r>
    </w:p>
    <w:p w14:paraId="224E2B2B" w14:textId="77777777" w:rsidR="006705E5" w:rsidRPr="006705E5" w:rsidRDefault="006705E5" w:rsidP="006705E5">
      <w:pPr>
        <w:numPr>
          <w:ilvl w:val="0"/>
          <w:numId w:val="7"/>
        </w:numPr>
      </w:pPr>
      <w:r w:rsidRPr="006705E5">
        <w:t>Marco regulatorio relevante si aplica</w:t>
      </w:r>
    </w:p>
    <w:p w14:paraId="2BDAD781" w14:textId="77777777" w:rsidR="006705E5" w:rsidRPr="006705E5" w:rsidRDefault="006705E5" w:rsidP="006705E5">
      <w:r w:rsidRPr="006705E5">
        <w:pict w14:anchorId="243294B3">
          <v:rect id="_x0000_i1034" style="width:0;height:1.5pt" o:hralign="center" o:hrstd="t" o:hr="t" fillcolor="#a0a0a0" stroked="f"/>
        </w:pict>
      </w:r>
    </w:p>
    <w:p w14:paraId="058A4343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VI. ESTADOS DEL CONFLICTO</w:t>
      </w:r>
    </w:p>
    <w:p w14:paraId="24431B30" w14:textId="77777777" w:rsidR="006705E5" w:rsidRPr="006705E5" w:rsidRDefault="006705E5" w:rsidP="006705E5">
      <w:r w:rsidRPr="006705E5">
        <w:t>Un conflicto puede encontrarse en estado:</w:t>
      </w:r>
    </w:p>
    <w:p w14:paraId="3D76BC9B" w14:textId="77777777" w:rsidR="006705E5" w:rsidRPr="006705E5" w:rsidRDefault="006705E5" w:rsidP="006705E5">
      <w:pPr>
        <w:numPr>
          <w:ilvl w:val="0"/>
          <w:numId w:val="8"/>
        </w:numPr>
      </w:pPr>
      <w:r w:rsidRPr="006705E5">
        <w:t>Detectado</w:t>
      </w:r>
    </w:p>
    <w:p w14:paraId="0F2E5AAE" w14:textId="77777777" w:rsidR="006705E5" w:rsidRPr="006705E5" w:rsidRDefault="006705E5" w:rsidP="006705E5">
      <w:pPr>
        <w:numPr>
          <w:ilvl w:val="0"/>
          <w:numId w:val="8"/>
        </w:numPr>
      </w:pPr>
      <w:r w:rsidRPr="006705E5">
        <w:t>En análisis</w:t>
      </w:r>
    </w:p>
    <w:p w14:paraId="00598CEC" w14:textId="77777777" w:rsidR="006705E5" w:rsidRPr="006705E5" w:rsidRDefault="006705E5" w:rsidP="006705E5">
      <w:pPr>
        <w:numPr>
          <w:ilvl w:val="0"/>
          <w:numId w:val="8"/>
        </w:numPr>
      </w:pPr>
      <w:r w:rsidRPr="006705E5">
        <w:t>Escalado</w:t>
      </w:r>
    </w:p>
    <w:p w14:paraId="067FE6B2" w14:textId="77777777" w:rsidR="006705E5" w:rsidRPr="006705E5" w:rsidRDefault="006705E5" w:rsidP="006705E5">
      <w:pPr>
        <w:numPr>
          <w:ilvl w:val="0"/>
          <w:numId w:val="8"/>
        </w:numPr>
      </w:pPr>
      <w:r w:rsidRPr="006705E5">
        <w:t>Documentado sin resolución</w:t>
      </w:r>
    </w:p>
    <w:p w14:paraId="73C1ED8A" w14:textId="77777777" w:rsidR="006705E5" w:rsidRPr="006705E5" w:rsidRDefault="006705E5" w:rsidP="006705E5">
      <w:pPr>
        <w:numPr>
          <w:ilvl w:val="0"/>
          <w:numId w:val="8"/>
        </w:numPr>
      </w:pPr>
      <w:r w:rsidRPr="006705E5">
        <w:t>Resuelto estructuralmente (con referencia externa)</w:t>
      </w:r>
    </w:p>
    <w:p w14:paraId="71C2BC27" w14:textId="77777777" w:rsidR="006705E5" w:rsidRPr="006705E5" w:rsidRDefault="006705E5" w:rsidP="006705E5">
      <w:pPr>
        <w:numPr>
          <w:ilvl w:val="0"/>
          <w:numId w:val="8"/>
        </w:numPr>
      </w:pPr>
      <w:r w:rsidRPr="006705E5">
        <w:t>Histórico</w:t>
      </w:r>
    </w:p>
    <w:p w14:paraId="56B92951" w14:textId="77777777" w:rsidR="006705E5" w:rsidRPr="006705E5" w:rsidRDefault="006705E5" w:rsidP="006705E5">
      <w:r w:rsidRPr="006705E5">
        <w:t>El estado puede evolucionar; la entrada no se elimina ni altera retroactivamente.</w:t>
      </w:r>
    </w:p>
    <w:p w14:paraId="1872D9BA" w14:textId="77777777" w:rsidR="006705E5" w:rsidRPr="006705E5" w:rsidRDefault="006705E5" w:rsidP="006705E5">
      <w:r w:rsidRPr="006705E5">
        <w:pict w14:anchorId="437F4C14">
          <v:rect id="_x0000_i1035" style="width:0;height:1.5pt" o:hralign="center" o:hrstd="t" o:hr="t" fillcolor="#a0a0a0" stroked="f"/>
        </w:pict>
      </w:r>
    </w:p>
    <w:p w14:paraId="09176B1F" w14:textId="77777777" w:rsidR="006705E5" w:rsidRPr="006705E5" w:rsidRDefault="006705E5" w:rsidP="006705E5">
      <w:pPr>
        <w:rPr>
          <w:b/>
          <w:bCs/>
          <w:lang w:val="en-US"/>
        </w:rPr>
      </w:pPr>
      <w:r w:rsidRPr="006705E5">
        <w:rPr>
          <w:b/>
          <w:bCs/>
          <w:lang w:val="en-US"/>
        </w:rPr>
        <w:t>VII. INTEGRIDAD, APPEND-ONLY Y HASH</w:t>
      </w:r>
    </w:p>
    <w:p w14:paraId="627540BA" w14:textId="77777777" w:rsidR="006705E5" w:rsidRPr="006705E5" w:rsidRDefault="006705E5" w:rsidP="006705E5">
      <w:r w:rsidRPr="006705E5">
        <w:t>Cada entrada:</w:t>
      </w:r>
    </w:p>
    <w:p w14:paraId="47410FD0" w14:textId="77777777" w:rsidR="006705E5" w:rsidRPr="006705E5" w:rsidRDefault="006705E5" w:rsidP="006705E5">
      <w:pPr>
        <w:numPr>
          <w:ilvl w:val="0"/>
          <w:numId w:val="9"/>
        </w:numPr>
      </w:pPr>
      <w:r w:rsidRPr="006705E5">
        <w:t xml:space="preserve">Opera bajo régimen </w:t>
      </w:r>
      <w:proofErr w:type="spellStart"/>
      <w:r w:rsidRPr="006705E5">
        <w:t>append-only</w:t>
      </w:r>
      <w:proofErr w:type="spellEnd"/>
      <w:r w:rsidRPr="006705E5">
        <w:t>.</w:t>
      </w:r>
    </w:p>
    <w:p w14:paraId="26087C26" w14:textId="77777777" w:rsidR="006705E5" w:rsidRPr="006705E5" w:rsidRDefault="006705E5" w:rsidP="006705E5">
      <w:pPr>
        <w:numPr>
          <w:ilvl w:val="0"/>
          <w:numId w:val="9"/>
        </w:numPr>
      </w:pPr>
      <w:r w:rsidRPr="006705E5">
        <w:lastRenderedPageBreak/>
        <w:t>Genera hash único verificable.</w:t>
      </w:r>
    </w:p>
    <w:p w14:paraId="2E8F92A0" w14:textId="77777777" w:rsidR="006705E5" w:rsidRPr="006705E5" w:rsidRDefault="006705E5" w:rsidP="006705E5">
      <w:pPr>
        <w:numPr>
          <w:ilvl w:val="0"/>
          <w:numId w:val="9"/>
        </w:numPr>
      </w:pPr>
      <w:r w:rsidRPr="006705E5">
        <w:t>No puede ser eliminada.</w:t>
      </w:r>
    </w:p>
    <w:p w14:paraId="54F8CF47" w14:textId="77777777" w:rsidR="006705E5" w:rsidRPr="006705E5" w:rsidRDefault="006705E5" w:rsidP="006705E5">
      <w:pPr>
        <w:numPr>
          <w:ilvl w:val="0"/>
          <w:numId w:val="9"/>
        </w:numPr>
      </w:pPr>
      <w:r w:rsidRPr="006705E5">
        <w:t>No puede ser modificada retroactivamente.</w:t>
      </w:r>
    </w:p>
    <w:p w14:paraId="6834B7C0" w14:textId="77777777" w:rsidR="006705E5" w:rsidRPr="006705E5" w:rsidRDefault="006705E5" w:rsidP="006705E5">
      <w:pPr>
        <w:numPr>
          <w:ilvl w:val="0"/>
          <w:numId w:val="9"/>
        </w:numPr>
      </w:pPr>
      <w:r w:rsidRPr="006705E5">
        <w:t>Puede vincularse a entradas posteriores relacionadas.</w:t>
      </w:r>
    </w:p>
    <w:p w14:paraId="497A1C3D" w14:textId="77777777" w:rsidR="006705E5" w:rsidRPr="006705E5" w:rsidRDefault="006705E5" w:rsidP="006705E5">
      <w:r w:rsidRPr="006705E5">
        <w:t>La integridad criptográfica es condición estructural del registro.</w:t>
      </w:r>
    </w:p>
    <w:p w14:paraId="6C9A21AE" w14:textId="77777777" w:rsidR="006705E5" w:rsidRPr="006705E5" w:rsidRDefault="006705E5" w:rsidP="006705E5">
      <w:r w:rsidRPr="006705E5">
        <w:pict w14:anchorId="059665D3">
          <v:rect id="_x0000_i1036" style="width:0;height:1.5pt" o:hralign="center" o:hrstd="t" o:hr="t" fillcolor="#a0a0a0" stroked="f"/>
        </w:pict>
      </w:r>
    </w:p>
    <w:p w14:paraId="700B0206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VIII. TRAZABILIDAD BIDIRECCIONAL</w:t>
      </w:r>
    </w:p>
    <w:p w14:paraId="71599D15" w14:textId="77777777" w:rsidR="006705E5" w:rsidRPr="006705E5" w:rsidRDefault="006705E5" w:rsidP="006705E5">
      <w:r w:rsidRPr="006705E5">
        <w:t>Debe garantizarse:</w:t>
      </w:r>
    </w:p>
    <w:p w14:paraId="15EC270B" w14:textId="77777777" w:rsidR="006705E5" w:rsidRPr="006705E5" w:rsidRDefault="006705E5" w:rsidP="006705E5">
      <w:pPr>
        <w:numPr>
          <w:ilvl w:val="0"/>
          <w:numId w:val="10"/>
        </w:numPr>
      </w:pPr>
      <w:r w:rsidRPr="006705E5">
        <w:t>Que cada conflicto referencie explícitamente los EO involucrados.</w:t>
      </w:r>
    </w:p>
    <w:p w14:paraId="1FA28094" w14:textId="77777777" w:rsidR="006705E5" w:rsidRPr="006705E5" w:rsidRDefault="006705E5" w:rsidP="006705E5">
      <w:pPr>
        <w:numPr>
          <w:ilvl w:val="0"/>
          <w:numId w:val="10"/>
        </w:numPr>
      </w:pPr>
      <w:r w:rsidRPr="006705E5">
        <w:t xml:space="preserve">Que cada EO pueda vincular </w:t>
      </w:r>
      <w:proofErr w:type="gramStart"/>
      <w:r w:rsidRPr="006705E5">
        <w:t>0..</w:t>
      </w:r>
      <w:proofErr w:type="gramEnd"/>
      <w:r w:rsidRPr="006705E5">
        <w:t>n conflictos asociados.</w:t>
      </w:r>
    </w:p>
    <w:p w14:paraId="382B6E5B" w14:textId="77777777" w:rsidR="006705E5" w:rsidRPr="006705E5" w:rsidRDefault="006705E5" w:rsidP="006705E5">
      <w:pPr>
        <w:numPr>
          <w:ilvl w:val="0"/>
          <w:numId w:val="10"/>
        </w:numPr>
      </w:pPr>
      <w:r w:rsidRPr="006705E5">
        <w:t>Que la relación sea verificable en ambos sentidos.</w:t>
      </w:r>
    </w:p>
    <w:p w14:paraId="7535628F" w14:textId="77777777" w:rsidR="006705E5" w:rsidRPr="006705E5" w:rsidRDefault="006705E5" w:rsidP="006705E5">
      <w:r w:rsidRPr="006705E5">
        <w:t>La trazabilidad bidireccional es obligatoria.</w:t>
      </w:r>
    </w:p>
    <w:p w14:paraId="1C130F6C" w14:textId="77777777" w:rsidR="006705E5" w:rsidRPr="006705E5" w:rsidRDefault="006705E5" w:rsidP="006705E5">
      <w:r w:rsidRPr="006705E5">
        <w:pict w14:anchorId="75CCF8DC">
          <v:rect id="_x0000_i1037" style="width:0;height:1.5pt" o:hralign="center" o:hrstd="t" o:hr="t" fillcolor="#a0a0a0" stroked="f"/>
        </w:pict>
      </w:r>
    </w:p>
    <w:p w14:paraId="2243654C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IX. PRINCIPIO DE NEUTRALIDAD</w:t>
      </w:r>
    </w:p>
    <w:p w14:paraId="0E91DDE5" w14:textId="77777777" w:rsidR="006705E5" w:rsidRPr="006705E5" w:rsidRDefault="006705E5" w:rsidP="006705E5">
      <w:r w:rsidRPr="006705E5">
        <w:t>El IGCR:</w:t>
      </w:r>
    </w:p>
    <w:p w14:paraId="0CFA4009" w14:textId="77777777" w:rsidR="006705E5" w:rsidRPr="006705E5" w:rsidRDefault="006705E5" w:rsidP="006705E5">
      <w:pPr>
        <w:numPr>
          <w:ilvl w:val="0"/>
          <w:numId w:val="11"/>
        </w:numPr>
      </w:pPr>
      <w:r w:rsidRPr="006705E5">
        <w:t>No determina prevalencia entre guías.</w:t>
      </w:r>
    </w:p>
    <w:p w14:paraId="77774254" w14:textId="77777777" w:rsidR="006705E5" w:rsidRPr="006705E5" w:rsidRDefault="006705E5" w:rsidP="006705E5">
      <w:pPr>
        <w:numPr>
          <w:ilvl w:val="0"/>
          <w:numId w:val="11"/>
        </w:numPr>
      </w:pPr>
      <w:r w:rsidRPr="006705E5">
        <w:t>No emite juicio de superioridad.</w:t>
      </w:r>
    </w:p>
    <w:p w14:paraId="35387F09" w14:textId="77777777" w:rsidR="006705E5" w:rsidRPr="006705E5" w:rsidRDefault="006705E5" w:rsidP="006705E5">
      <w:pPr>
        <w:numPr>
          <w:ilvl w:val="0"/>
          <w:numId w:val="11"/>
        </w:numPr>
      </w:pPr>
      <w:r w:rsidRPr="006705E5">
        <w:t>No pondera calidad metodológica.</w:t>
      </w:r>
    </w:p>
    <w:p w14:paraId="536E531C" w14:textId="77777777" w:rsidR="006705E5" w:rsidRPr="006705E5" w:rsidRDefault="006705E5" w:rsidP="006705E5">
      <w:pPr>
        <w:numPr>
          <w:ilvl w:val="0"/>
          <w:numId w:val="11"/>
        </w:numPr>
      </w:pPr>
      <w:r w:rsidRPr="006705E5">
        <w:t>No genera recomendaciones clínicas.</w:t>
      </w:r>
    </w:p>
    <w:p w14:paraId="4A774704" w14:textId="77777777" w:rsidR="006705E5" w:rsidRPr="006705E5" w:rsidRDefault="006705E5" w:rsidP="006705E5">
      <w:pPr>
        <w:numPr>
          <w:ilvl w:val="0"/>
          <w:numId w:val="11"/>
        </w:numPr>
      </w:pPr>
      <w:r w:rsidRPr="006705E5">
        <w:t>No ejecuta armonización.</w:t>
      </w:r>
    </w:p>
    <w:p w14:paraId="5CEC493B" w14:textId="77777777" w:rsidR="006705E5" w:rsidRPr="006705E5" w:rsidRDefault="006705E5" w:rsidP="006705E5">
      <w:r w:rsidRPr="006705E5">
        <w:t>Es un mecanismo de transparencia estructural del desacuerdo científico.</w:t>
      </w:r>
    </w:p>
    <w:p w14:paraId="6FC24209" w14:textId="77777777" w:rsidR="006705E5" w:rsidRPr="006705E5" w:rsidRDefault="006705E5" w:rsidP="006705E5">
      <w:r w:rsidRPr="006705E5">
        <w:pict w14:anchorId="53740C60">
          <v:rect id="_x0000_i1038" style="width:0;height:1.5pt" o:hralign="center" o:hrstd="t" o:hr="t" fillcolor="#a0a0a0" stroked="f"/>
        </w:pict>
      </w:r>
    </w:p>
    <w:p w14:paraId="0A6C38CD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X. RELACIÓN CON INFRAESTRUCTURA DE EVIDENCIA</w:t>
      </w:r>
    </w:p>
    <w:p w14:paraId="74CBC8BE" w14:textId="77777777" w:rsidR="006705E5" w:rsidRPr="006705E5" w:rsidRDefault="006705E5" w:rsidP="006705E5">
      <w:r w:rsidRPr="006705E5">
        <w:t>El IGCR:</w:t>
      </w:r>
    </w:p>
    <w:p w14:paraId="48E10AAC" w14:textId="77777777" w:rsidR="006705E5" w:rsidRPr="006705E5" w:rsidRDefault="006705E5" w:rsidP="006705E5">
      <w:pPr>
        <w:numPr>
          <w:ilvl w:val="0"/>
          <w:numId w:val="12"/>
        </w:numPr>
      </w:pPr>
      <w:r w:rsidRPr="006705E5">
        <w:t xml:space="preserve">Se alimenta exclusivamente de EO almacenados en el </w:t>
      </w:r>
      <w:proofErr w:type="spellStart"/>
      <w:r w:rsidRPr="006705E5">
        <w:t>Evidence</w:t>
      </w:r>
      <w:proofErr w:type="spellEnd"/>
      <w:r w:rsidRPr="006705E5">
        <w:t xml:space="preserve"> Lake.</w:t>
      </w:r>
    </w:p>
    <w:p w14:paraId="7C6346D1" w14:textId="77777777" w:rsidR="006705E5" w:rsidRPr="006705E5" w:rsidRDefault="006705E5" w:rsidP="006705E5">
      <w:pPr>
        <w:numPr>
          <w:ilvl w:val="0"/>
          <w:numId w:val="12"/>
        </w:numPr>
      </w:pPr>
      <w:r w:rsidRPr="006705E5">
        <w:t>No altera EO originales.</w:t>
      </w:r>
    </w:p>
    <w:p w14:paraId="07A0B412" w14:textId="77777777" w:rsidR="006705E5" w:rsidRPr="006705E5" w:rsidRDefault="006705E5" w:rsidP="006705E5">
      <w:pPr>
        <w:numPr>
          <w:ilvl w:val="0"/>
          <w:numId w:val="12"/>
        </w:numPr>
      </w:pPr>
      <w:r w:rsidRPr="006705E5">
        <w:t>No modifica SER subyacentes.</w:t>
      </w:r>
    </w:p>
    <w:p w14:paraId="3B28B8A2" w14:textId="77777777" w:rsidR="006705E5" w:rsidRPr="006705E5" w:rsidRDefault="006705E5" w:rsidP="006705E5">
      <w:pPr>
        <w:numPr>
          <w:ilvl w:val="0"/>
          <w:numId w:val="12"/>
        </w:numPr>
      </w:pPr>
      <w:r w:rsidRPr="006705E5">
        <w:t>Opera como capa de visibilidad estructural sobre divergencias.</w:t>
      </w:r>
    </w:p>
    <w:p w14:paraId="243FEB21" w14:textId="77777777" w:rsidR="006705E5" w:rsidRPr="006705E5" w:rsidRDefault="006705E5" w:rsidP="006705E5">
      <w:r w:rsidRPr="006705E5">
        <w:pict w14:anchorId="260BB3D7">
          <v:rect id="_x0000_i1039" style="width:0;height:1.5pt" o:hralign="center" o:hrstd="t" o:hr="t" fillcolor="#a0a0a0" stroked="f"/>
        </w:pict>
      </w:r>
    </w:p>
    <w:p w14:paraId="432C2761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lastRenderedPageBreak/>
        <w:t>XI. RELACIÓN CON RIESGO SISTÉMICO</w:t>
      </w:r>
    </w:p>
    <w:p w14:paraId="0FEF9EA4" w14:textId="77777777" w:rsidR="006705E5" w:rsidRPr="006705E5" w:rsidRDefault="006705E5" w:rsidP="006705E5">
      <w:r w:rsidRPr="006705E5">
        <w:t xml:space="preserve">La acumulación no gestionada de conflictos </w:t>
      </w:r>
      <w:proofErr w:type="spellStart"/>
      <w:r w:rsidRPr="006705E5">
        <w:t>inter-guía</w:t>
      </w:r>
      <w:proofErr w:type="spellEnd"/>
      <w:r w:rsidRPr="006705E5">
        <w:t xml:space="preserve"> puede constituir señal de riesgo estructural.</w:t>
      </w:r>
    </w:p>
    <w:p w14:paraId="76A5AA5A" w14:textId="77777777" w:rsidR="006705E5" w:rsidRPr="006705E5" w:rsidRDefault="006705E5" w:rsidP="006705E5">
      <w:r w:rsidRPr="006705E5">
        <w:t>El IGCR no gestiona la deriva institucional; la hace visible conforme a marcos superiores.</w:t>
      </w:r>
    </w:p>
    <w:p w14:paraId="4C85486A" w14:textId="77777777" w:rsidR="006705E5" w:rsidRPr="006705E5" w:rsidRDefault="006705E5" w:rsidP="006705E5">
      <w:r w:rsidRPr="006705E5">
        <w:pict w14:anchorId="29FF0757">
          <v:rect id="_x0000_i1040" style="width:0;height:1.5pt" o:hralign="center" o:hrstd="t" o:hr="t" fillcolor="#a0a0a0" stroked="f"/>
        </w:pict>
      </w:r>
    </w:p>
    <w:p w14:paraId="3037DEF4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XII. LÍMITES</w:t>
      </w:r>
    </w:p>
    <w:p w14:paraId="6A710550" w14:textId="77777777" w:rsidR="006705E5" w:rsidRPr="006705E5" w:rsidRDefault="006705E5" w:rsidP="006705E5">
      <w:r w:rsidRPr="006705E5">
        <w:t>Este Registro no:</w:t>
      </w:r>
    </w:p>
    <w:p w14:paraId="0CE5C3A1" w14:textId="77777777" w:rsidR="006705E5" w:rsidRPr="006705E5" w:rsidRDefault="006705E5" w:rsidP="006705E5">
      <w:pPr>
        <w:numPr>
          <w:ilvl w:val="0"/>
          <w:numId w:val="13"/>
        </w:numPr>
      </w:pPr>
      <w:r w:rsidRPr="006705E5">
        <w:t>Decide qué guía prevalece.</w:t>
      </w:r>
    </w:p>
    <w:p w14:paraId="658EAABD" w14:textId="77777777" w:rsidR="006705E5" w:rsidRPr="006705E5" w:rsidRDefault="006705E5" w:rsidP="006705E5">
      <w:pPr>
        <w:numPr>
          <w:ilvl w:val="0"/>
          <w:numId w:val="13"/>
        </w:numPr>
      </w:pPr>
      <w:r w:rsidRPr="006705E5">
        <w:t>Resuelve divergencias científicas.</w:t>
      </w:r>
    </w:p>
    <w:p w14:paraId="2D38F7CB" w14:textId="77777777" w:rsidR="006705E5" w:rsidRPr="006705E5" w:rsidRDefault="006705E5" w:rsidP="006705E5">
      <w:pPr>
        <w:numPr>
          <w:ilvl w:val="0"/>
          <w:numId w:val="13"/>
        </w:numPr>
      </w:pPr>
      <w:r w:rsidRPr="006705E5">
        <w:t>Modifica guías originales.</w:t>
      </w:r>
    </w:p>
    <w:p w14:paraId="7D86E622" w14:textId="77777777" w:rsidR="006705E5" w:rsidRPr="006705E5" w:rsidRDefault="006705E5" w:rsidP="006705E5">
      <w:pPr>
        <w:numPr>
          <w:ilvl w:val="0"/>
          <w:numId w:val="13"/>
        </w:numPr>
      </w:pPr>
      <w:r w:rsidRPr="006705E5">
        <w:t>Evalúa incertidumbre.</w:t>
      </w:r>
    </w:p>
    <w:p w14:paraId="3B3799D1" w14:textId="77777777" w:rsidR="006705E5" w:rsidRPr="006705E5" w:rsidRDefault="006705E5" w:rsidP="006705E5">
      <w:pPr>
        <w:numPr>
          <w:ilvl w:val="0"/>
          <w:numId w:val="13"/>
        </w:numPr>
      </w:pPr>
      <w:r w:rsidRPr="006705E5">
        <w:t>Genera consenso.</w:t>
      </w:r>
    </w:p>
    <w:p w14:paraId="5F14BD51" w14:textId="77777777" w:rsidR="006705E5" w:rsidRPr="006705E5" w:rsidRDefault="006705E5" w:rsidP="006705E5">
      <w:pPr>
        <w:numPr>
          <w:ilvl w:val="0"/>
          <w:numId w:val="13"/>
        </w:numPr>
      </w:pPr>
      <w:r w:rsidRPr="006705E5">
        <w:t>Sustituye procesos de armonización.</w:t>
      </w:r>
    </w:p>
    <w:p w14:paraId="39AFB6D3" w14:textId="77777777" w:rsidR="006705E5" w:rsidRPr="006705E5" w:rsidRDefault="006705E5" w:rsidP="006705E5">
      <w:r w:rsidRPr="006705E5">
        <w:t>Define exclusivamente el registro estructural del conflicto científico.</w:t>
      </w:r>
    </w:p>
    <w:p w14:paraId="250593CC" w14:textId="77777777" w:rsidR="006705E5" w:rsidRPr="006705E5" w:rsidRDefault="006705E5" w:rsidP="006705E5">
      <w:r w:rsidRPr="006705E5">
        <w:pict w14:anchorId="37C94BFA">
          <v:rect id="_x0000_i1041" style="width:0;height:1.5pt" o:hralign="center" o:hrstd="t" o:hr="t" fillcolor="#a0a0a0" stroked="f"/>
        </w:pict>
      </w:r>
    </w:p>
    <w:p w14:paraId="6203B619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XIII. PERMANENCIA Y JERARQUÍA</w:t>
      </w:r>
    </w:p>
    <w:p w14:paraId="436DD7BD" w14:textId="77777777" w:rsidR="006705E5" w:rsidRPr="006705E5" w:rsidRDefault="006705E5" w:rsidP="006705E5">
      <w:r w:rsidRPr="006705E5">
        <w:t>Este Registro:</w:t>
      </w:r>
    </w:p>
    <w:p w14:paraId="67FA54C2" w14:textId="77777777" w:rsidR="006705E5" w:rsidRPr="006705E5" w:rsidRDefault="006705E5" w:rsidP="006705E5">
      <w:pPr>
        <w:numPr>
          <w:ilvl w:val="0"/>
          <w:numId w:val="14"/>
        </w:numPr>
      </w:pPr>
      <w:r w:rsidRPr="006705E5">
        <w:t>Es permanente.</w:t>
      </w:r>
    </w:p>
    <w:p w14:paraId="09929449" w14:textId="77777777" w:rsidR="006705E5" w:rsidRPr="006705E5" w:rsidRDefault="006705E5" w:rsidP="006705E5">
      <w:pPr>
        <w:numPr>
          <w:ilvl w:val="0"/>
          <w:numId w:val="14"/>
        </w:numPr>
      </w:pPr>
      <w:r w:rsidRPr="006705E5">
        <w:t>Es acumulativo.</w:t>
      </w:r>
    </w:p>
    <w:p w14:paraId="574F6705" w14:textId="77777777" w:rsidR="006705E5" w:rsidRPr="006705E5" w:rsidRDefault="006705E5" w:rsidP="006705E5">
      <w:pPr>
        <w:numPr>
          <w:ilvl w:val="0"/>
          <w:numId w:val="14"/>
        </w:numPr>
      </w:pPr>
      <w:r w:rsidRPr="006705E5">
        <w:t>Es obligatorio ante detección formal de conflicto.</w:t>
      </w:r>
    </w:p>
    <w:p w14:paraId="1C3014FE" w14:textId="77777777" w:rsidR="006705E5" w:rsidRPr="006705E5" w:rsidRDefault="006705E5" w:rsidP="006705E5">
      <w:pPr>
        <w:numPr>
          <w:ilvl w:val="0"/>
          <w:numId w:val="14"/>
        </w:numPr>
      </w:pPr>
      <w:r w:rsidRPr="006705E5">
        <w:t xml:space="preserve">Opera bajo integridad hash y régimen </w:t>
      </w:r>
      <w:proofErr w:type="spellStart"/>
      <w:r w:rsidRPr="006705E5">
        <w:t>append-only</w:t>
      </w:r>
      <w:proofErr w:type="spellEnd"/>
      <w:r w:rsidRPr="006705E5">
        <w:t>.</w:t>
      </w:r>
    </w:p>
    <w:p w14:paraId="7BA21682" w14:textId="77777777" w:rsidR="006705E5" w:rsidRPr="006705E5" w:rsidRDefault="006705E5" w:rsidP="006705E5">
      <w:pPr>
        <w:numPr>
          <w:ilvl w:val="0"/>
          <w:numId w:val="14"/>
        </w:numPr>
      </w:pPr>
      <w:r w:rsidRPr="006705E5">
        <w:t>Solo puede modificarse mediante reforma estructural formal.</w:t>
      </w:r>
    </w:p>
    <w:p w14:paraId="144668F3" w14:textId="77777777" w:rsidR="006705E5" w:rsidRPr="006705E5" w:rsidRDefault="006705E5" w:rsidP="006705E5">
      <w:r w:rsidRPr="006705E5">
        <w:pict w14:anchorId="40749893">
          <v:rect id="_x0000_i1042" style="width:0;height:1.5pt" o:hralign="center" o:hrstd="t" o:hr="t" fillcolor="#a0a0a0" stroked="f"/>
        </w:pict>
      </w:r>
    </w:p>
    <w:p w14:paraId="6C34DF28" w14:textId="77777777" w:rsidR="006705E5" w:rsidRPr="006705E5" w:rsidRDefault="006705E5" w:rsidP="006705E5">
      <w:pPr>
        <w:rPr>
          <w:b/>
          <w:bCs/>
        </w:rPr>
      </w:pPr>
      <w:r w:rsidRPr="006705E5">
        <w:rPr>
          <w:b/>
          <w:bCs/>
        </w:rPr>
        <w:t>XIV. DECLARACIÓN FINAL</w:t>
      </w:r>
    </w:p>
    <w:p w14:paraId="4361FA2A" w14:textId="77777777" w:rsidR="006705E5" w:rsidRPr="006705E5" w:rsidRDefault="006705E5" w:rsidP="006705E5">
      <w:r w:rsidRPr="006705E5">
        <w:t>En ICICSO:</w:t>
      </w:r>
    </w:p>
    <w:p w14:paraId="20C7082F" w14:textId="77777777" w:rsidR="006705E5" w:rsidRPr="006705E5" w:rsidRDefault="006705E5" w:rsidP="006705E5">
      <w:r w:rsidRPr="006705E5">
        <w:t>La divergencia científica no se oculta.</w:t>
      </w:r>
      <w:r w:rsidRPr="006705E5">
        <w:br/>
        <w:t>Se documenta con precisión estructural.</w:t>
      </w:r>
      <w:r w:rsidRPr="006705E5">
        <w:br/>
        <w:t>Se preserva con integridad verificable.</w:t>
      </w:r>
      <w:r w:rsidRPr="006705E5">
        <w:br/>
        <w:t>Se mantiene visible hasta su tratamiento formal.</w:t>
      </w:r>
    </w:p>
    <w:p w14:paraId="76883B26" w14:textId="302B1110" w:rsidR="00307835" w:rsidRDefault="006705E5">
      <w:r w:rsidRPr="006705E5">
        <w:t>El conflicto registrado es condición de transparencia institucional y prerrequisito para cualquier armonización posterior.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DAA"/>
    <w:multiLevelType w:val="multilevel"/>
    <w:tmpl w:val="616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934C4"/>
    <w:multiLevelType w:val="multilevel"/>
    <w:tmpl w:val="1A7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4EC"/>
    <w:multiLevelType w:val="multilevel"/>
    <w:tmpl w:val="F52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102F2"/>
    <w:multiLevelType w:val="multilevel"/>
    <w:tmpl w:val="60A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B2D59"/>
    <w:multiLevelType w:val="multilevel"/>
    <w:tmpl w:val="EA4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B13B1"/>
    <w:multiLevelType w:val="multilevel"/>
    <w:tmpl w:val="417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72CAB"/>
    <w:multiLevelType w:val="multilevel"/>
    <w:tmpl w:val="BE5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F4D62"/>
    <w:multiLevelType w:val="multilevel"/>
    <w:tmpl w:val="B620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D7D48"/>
    <w:multiLevelType w:val="multilevel"/>
    <w:tmpl w:val="09D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742BB"/>
    <w:multiLevelType w:val="multilevel"/>
    <w:tmpl w:val="701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0405B"/>
    <w:multiLevelType w:val="multilevel"/>
    <w:tmpl w:val="5FB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34141"/>
    <w:multiLevelType w:val="multilevel"/>
    <w:tmpl w:val="1B0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B29D2"/>
    <w:multiLevelType w:val="multilevel"/>
    <w:tmpl w:val="3B6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225F6"/>
    <w:multiLevelType w:val="multilevel"/>
    <w:tmpl w:val="2B22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242698">
    <w:abstractNumId w:val="13"/>
  </w:num>
  <w:num w:numId="2" w16cid:durableId="1233925839">
    <w:abstractNumId w:val="12"/>
  </w:num>
  <w:num w:numId="3" w16cid:durableId="978800774">
    <w:abstractNumId w:val="9"/>
  </w:num>
  <w:num w:numId="4" w16cid:durableId="1129936008">
    <w:abstractNumId w:val="6"/>
  </w:num>
  <w:num w:numId="5" w16cid:durableId="1385762135">
    <w:abstractNumId w:val="5"/>
  </w:num>
  <w:num w:numId="6" w16cid:durableId="2073386866">
    <w:abstractNumId w:val="11"/>
  </w:num>
  <w:num w:numId="7" w16cid:durableId="1170562581">
    <w:abstractNumId w:val="10"/>
  </w:num>
  <w:num w:numId="8" w16cid:durableId="973174269">
    <w:abstractNumId w:val="0"/>
  </w:num>
  <w:num w:numId="9" w16cid:durableId="702369314">
    <w:abstractNumId w:val="2"/>
  </w:num>
  <w:num w:numId="10" w16cid:durableId="418522976">
    <w:abstractNumId w:val="1"/>
  </w:num>
  <w:num w:numId="11" w16cid:durableId="1602108405">
    <w:abstractNumId w:val="3"/>
  </w:num>
  <w:num w:numId="12" w16cid:durableId="395472915">
    <w:abstractNumId w:val="8"/>
  </w:num>
  <w:num w:numId="13" w16cid:durableId="1447698568">
    <w:abstractNumId w:val="7"/>
  </w:num>
  <w:num w:numId="14" w16cid:durableId="1700857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1F"/>
    <w:rsid w:val="000C55DB"/>
    <w:rsid w:val="001C2B78"/>
    <w:rsid w:val="00307835"/>
    <w:rsid w:val="006705E5"/>
    <w:rsid w:val="00880B1F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75E1A"/>
  <w15:chartTrackingRefBased/>
  <w15:docId w15:val="{00FEFA73-CD31-49D4-A99F-0892D599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B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B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B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B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B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B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B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766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2026-02-19T18:26:00Z</dcterms:created>
  <dcterms:modified xsi:type="dcterms:W3CDTF">2026-02-19T18:28:00Z</dcterms:modified>
</cp:coreProperties>
</file>