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B529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L1-EVD-05</w:t>
      </w:r>
    </w:p>
    <w:p w14:paraId="0CA6DDEF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GUIDELINE PACKAGE FRAMEWORK</w:t>
      </w:r>
    </w:p>
    <w:p w14:paraId="789CCCD9" w14:textId="77777777" w:rsidR="00942FAF" w:rsidRPr="00942FAF" w:rsidRDefault="00942FAF" w:rsidP="00942FAF">
      <w:r w:rsidRPr="00942FAF">
        <w:rPr>
          <w:b/>
          <w:bCs/>
        </w:rPr>
        <w:t>Marco de Ensamblaje Formal de Guías Armonizadas</w:t>
      </w:r>
    </w:p>
    <w:p w14:paraId="326B956C" w14:textId="77777777" w:rsidR="00942FAF" w:rsidRPr="00942FAF" w:rsidRDefault="00942FAF" w:rsidP="00942FAF">
      <w:r w:rsidRPr="00942FAF">
        <w:t>Clasificación: L1 — EVD</w:t>
      </w:r>
      <w:r w:rsidRPr="00942FAF">
        <w:br/>
        <w:t>Naturaleza: Permanente</w:t>
      </w:r>
      <w:r w:rsidRPr="00942FAF">
        <w:br/>
        <w:t>Tipo: Marco</w:t>
      </w:r>
      <w:r w:rsidRPr="00942FAF">
        <w:br/>
        <w:t>Carácter: Armonización</w:t>
      </w:r>
      <w:r w:rsidRPr="00942FAF">
        <w:br/>
        <w:t>Dependencia: Parcial L1-EVD-04</w:t>
      </w:r>
      <w:r w:rsidRPr="00942FAF">
        <w:br/>
        <w:t>Formato: Digital</w:t>
      </w:r>
      <w:r w:rsidRPr="00942FAF">
        <w:br/>
        <w:t>Estado: Activo</w:t>
      </w:r>
    </w:p>
    <w:p w14:paraId="64501BFC" w14:textId="77777777" w:rsidR="00942FAF" w:rsidRPr="00942FAF" w:rsidRDefault="00942FAF" w:rsidP="00942FAF">
      <w:r w:rsidRPr="00942FAF">
        <w:pict w14:anchorId="5B2C9972">
          <v:rect id="_x0000_i1025" style="width:0;height:1.5pt" o:hralign="center" o:hrstd="t" o:hr="t" fillcolor="#a0a0a0" stroked="f"/>
        </w:pict>
      </w:r>
    </w:p>
    <w:p w14:paraId="704E84E3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I. PROPÓSITO</w:t>
      </w:r>
    </w:p>
    <w:p w14:paraId="0F4CD95A" w14:textId="77777777" w:rsidR="00942FAF" w:rsidRPr="00942FAF" w:rsidRDefault="00942FAF" w:rsidP="00942FAF">
      <w:r w:rsidRPr="00942FAF">
        <w:t xml:space="preserve">El </w:t>
      </w:r>
      <w:proofErr w:type="spellStart"/>
      <w:r w:rsidRPr="00942FAF">
        <w:t>Guideline</w:t>
      </w:r>
      <w:proofErr w:type="spellEnd"/>
      <w:r w:rsidRPr="00942FAF">
        <w:t xml:space="preserve"> </w:t>
      </w:r>
      <w:proofErr w:type="spellStart"/>
      <w:r w:rsidRPr="00942FAF">
        <w:t>Package</w:t>
      </w:r>
      <w:proofErr w:type="spellEnd"/>
      <w:r w:rsidRPr="00942FAF">
        <w:t xml:space="preserve"> Framework (GPF) define el ensamblaje formal y estructurado de múltiples guías clínicas en un objeto consolidado denominado </w:t>
      </w:r>
      <w:proofErr w:type="spellStart"/>
      <w:r w:rsidRPr="00942FAF">
        <w:t>Guideline</w:t>
      </w:r>
      <w:proofErr w:type="spellEnd"/>
      <w:r w:rsidRPr="00942FAF">
        <w:t xml:space="preserve"> </w:t>
      </w:r>
      <w:proofErr w:type="spellStart"/>
      <w:r w:rsidRPr="00942FAF">
        <w:t>Package</w:t>
      </w:r>
      <w:proofErr w:type="spellEnd"/>
      <w:r w:rsidRPr="00942FAF">
        <w:t xml:space="preserve"> (GP).</w:t>
      </w:r>
    </w:p>
    <w:p w14:paraId="123AFFEE" w14:textId="77777777" w:rsidR="00942FAF" w:rsidRPr="00942FAF" w:rsidRDefault="00942FAF" w:rsidP="00942FAF">
      <w:r w:rsidRPr="00942FAF">
        <w:t>Su función es orquestar evidencia consolidada hacia la Knowledge Base Operative Layer (KBOL), preservando trazabilidad, transparencia y coherencia estructural.</w:t>
      </w:r>
    </w:p>
    <w:p w14:paraId="7C7903B5" w14:textId="77777777" w:rsidR="00942FAF" w:rsidRPr="00942FAF" w:rsidRDefault="00942FAF" w:rsidP="00942FAF">
      <w:r w:rsidRPr="00942FAF">
        <w:t>El GP no reemplaza guías originales; las integra bajo un marco explícito.</w:t>
      </w:r>
    </w:p>
    <w:p w14:paraId="49902413" w14:textId="77777777" w:rsidR="00942FAF" w:rsidRPr="00942FAF" w:rsidRDefault="00942FAF" w:rsidP="00942FAF">
      <w:r w:rsidRPr="00942FAF">
        <w:pict w14:anchorId="59079A95">
          <v:rect id="_x0000_i1026" style="width:0;height:1.5pt" o:hralign="center" o:hrstd="t" o:hr="t" fillcolor="#a0a0a0" stroked="f"/>
        </w:pict>
      </w:r>
    </w:p>
    <w:p w14:paraId="39C4C757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II. DEFINICIÓN DE ARMONIZACIÓN ESTRUCTURAL</w:t>
      </w:r>
    </w:p>
    <w:p w14:paraId="4D2037A9" w14:textId="77777777" w:rsidR="00942FAF" w:rsidRPr="00942FAF" w:rsidRDefault="00942FAF" w:rsidP="00942FAF">
      <w:r w:rsidRPr="00942FAF">
        <w:t xml:space="preserve">Se entiende por </w:t>
      </w:r>
      <w:r w:rsidRPr="00942FAF">
        <w:rPr>
          <w:b/>
          <w:bCs/>
        </w:rPr>
        <w:t>armonización estructural</w:t>
      </w:r>
      <w:r w:rsidRPr="00942FAF">
        <w:t xml:space="preserve"> la organización coherente de recomendaciones provenientes de múltiples guías clínicas bajo un marco explícito, sin suprimir divergencias ni alterar fuentes originales.</w:t>
      </w:r>
    </w:p>
    <w:p w14:paraId="68042D2D" w14:textId="77777777" w:rsidR="00942FAF" w:rsidRPr="00942FAF" w:rsidRDefault="00942FAF" w:rsidP="00942FAF">
      <w:r w:rsidRPr="00942FAF">
        <w:t>La armonización estructural:</w:t>
      </w:r>
    </w:p>
    <w:p w14:paraId="03460EF0" w14:textId="77777777" w:rsidR="00942FAF" w:rsidRPr="00942FAF" w:rsidRDefault="00942FAF" w:rsidP="00942FAF">
      <w:pPr>
        <w:numPr>
          <w:ilvl w:val="0"/>
          <w:numId w:val="1"/>
        </w:numPr>
      </w:pPr>
      <w:r w:rsidRPr="00942FAF">
        <w:t>No implica resolución definitiva del conflicto científico.</w:t>
      </w:r>
    </w:p>
    <w:p w14:paraId="31B7BCC5" w14:textId="77777777" w:rsidR="00942FAF" w:rsidRPr="00942FAF" w:rsidRDefault="00942FAF" w:rsidP="00942FAF">
      <w:pPr>
        <w:numPr>
          <w:ilvl w:val="0"/>
          <w:numId w:val="1"/>
        </w:numPr>
      </w:pPr>
      <w:r w:rsidRPr="00942FAF">
        <w:t>No establece supremacía jerárquica automática.</w:t>
      </w:r>
    </w:p>
    <w:p w14:paraId="70D19227" w14:textId="77777777" w:rsidR="00942FAF" w:rsidRPr="00942FAF" w:rsidRDefault="00942FAF" w:rsidP="00942FAF">
      <w:pPr>
        <w:numPr>
          <w:ilvl w:val="0"/>
          <w:numId w:val="1"/>
        </w:numPr>
      </w:pPr>
      <w:r w:rsidRPr="00942FAF">
        <w:t>No sustituye consenso formal posterior.</w:t>
      </w:r>
    </w:p>
    <w:p w14:paraId="32E0E90A" w14:textId="77777777" w:rsidR="00942FAF" w:rsidRPr="00942FAF" w:rsidRDefault="00942FAF" w:rsidP="00942FAF">
      <w:r w:rsidRPr="00942FAF">
        <w:pict w14:anchorId="13C21CC0">
          <v:rect id="_x0000_i1027" style="width:0;height:1.5pt" o:hralign="center" o:hrstd="t" o:hr="t" fillcolor="#a0a0a0" stroked="f"/>
        </w:pict>
      </w:r>
    </w:p>
    <w:p w14:paraId="7958FCAC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III. DEFINICIÓN DE GUIDELINE PACKAGE (GP)</w:t>
      </w:r>
    </w:p>
    <w:p w14:paraId="65E23CBB" w14:textId="77777777" w:rsidR="00942FAF" w:rsidRPr="00942FAF" w:rsidRDefault="00942FAF" w:rsidP="00942FAF">
      <w:r w:rsidRPr="00942FAF">
        <w:t xml:space="preserve">Un </w:t>
      </w:r>
      <w:proofErr w:type="spellStart"/>
      <w:r w:rsidRPr="00942FAF">
        <w:t>Guideline</w:t>
      </w:r>
      <w:proofErr w:type="spellEnd"/>
      <w:r w:rsidRPr="00942FAF">
        <w:t xml:space="preserve"> </w:t>
      </w:r>
      <w:proofErr w:type="spellStart"/>
      <w:r w:rsidRPr="00942FAF">
        <w:t>Package</w:t>
      </w:r>
      <w:proofErr w:type="spellEnd"/>
      <w:r w:rsidRPr="00942FAF">
        <w:t xml:space="preserve"> es un objeto estructural </w:t>
      </w:r>
      <w:proofErr w:type="spellStart"/>
      <w:r w:rsidRPr="00942FAF">
        <w:t>versionable</w:t>
      </w:r>
      <w:proofErr w:type="spellEnd"/>
      <w:r w:rsidRPr="00942FAF">
        <w:t xml:space="preserve"> que:</w:t>
      </w:r>
    </w:p>
    <w:p w14:paraId="3340C1A7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t xml:space="preserve">Agrupa </w:t>
      </w:r>
      <w:proofErr w:type="gramStart"/>
      <w:r w:rsidRPr="00942FAF">
        <w:t>2..</w:t>
      </w:r>
      <w:proofErr w:type="gramEnd"/>
      <w:r w:rsidRPr="00942FAF">
        <w:t xml:space="preserve">n guías clínicas representadas como </w:t>
      </w:r>
      <w:proofErr w:type="spellStart"/>
      <w:r w:rsidRPr="00942FAF">
        <w:t>Evidence</w:t>
      </w:r>
      <w:proofErr w:type="spellEnd"/>
      <w:r w:rsidRPr="00942FAF">
        <w:t xml:space="preserve"> </w:t>
      </w:r>
      <w:proofErr w:type="spellStart"/>
      <w:r w:rsidRPr="00942FAF">
        <w:t>Objects</w:t>
      </w:r>
      <w:proofErr w:type="spellEnd"/>
      <w:r w:rsidRPr="00942FAF">
        <w:t xml:space="preserve"> (EO).</w:t>
      </w:r>
    </w:p>
    <w:p w14:paraId="5651F6D6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t>Preserva versiones específicas de cada guía integrada.</w:t>
      </w:r>
    </w:p>
    <w:p w14:paraId="21776169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t>Referencia conflictos documentados en el IGCR cuando existan.</w:t>
      </w:r>
    </w:p>
    <w:p w14:paraId="7BE0C1AC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t>Mantiene trazabilidad bidireccional.</w:t>
      </w:r>
    </w:p>
    <w:p w14:paraId="7872DD17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lastRenderedPageBreak/>
        <w:t>Actúa como puente estructural hacia KBOL.</w:t>
      </w:r>
    </w:p>
    <w:p w14:paraId="6998B410" w14:textId="77777777" w:rsidR="00942FAF" w:rsidRPr="00942FAF" w:rsidRDefault="00942FAF" w:rsidP="00942FAF">
      <w:pPr>
        <w:numPr>
          <w:ilvl w:val="0"/>
          <w:numId w:val="2"/>
        </w:numPr>
      </w:pPr>
      <w:r w:rsidRPr="00942FAF">
        <w:t>No invalida ni sustituye guías originales.</w:t>
      </w:r>
    </w:p>
    <w:p w14:paraId="2240BBA1" w14:textId="77777777" w:rsidR="00942FAF" w:rsidRPr="00942FAF" w:rsidRDefault="00942FAF" w:rsidP="00942FAF">
      <w:r w:rsidRPr="00942FAF">
        <w:t xml:space="preserve">Una guía puede pertenecer a </w:t>
      </w:r>
      <w:proofErr w:type="gramStart"/>
      <w:r w:rsidRPr="00942FAF">
        <w:t>0..</w:t>
      </w:r>
      <w:proofErr w:type="gramEnd"/>
      <w:r w:rsidRPr="00942FAF">
        <w:t>n GP.</w:t>
      </w:r>
    </w:p>
    <w:p w14:paraId="286AE5F5" w14:textId="77777777" w:rsidR="00942FAF" w:rsidRPr="00942FAF" w:rsidRDefault="00942FAF" w:rsidP="00942FAF">
      <w:r w:rsidRPr="00942FAF">
        <w:pict w14:anchorId="18D5A454">
          <v:rect id="_x0000_i1028" style="width:0;height:1.5pt" o:hralign="center" o:hrstd="t" o:hr="t" fillcolor="#a0a0a0" stroked="f"/>
        </w:pict>
      </w:r>
    </w:p>
    <w:p w14:paraId="2804B302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IV. PRINCIPIOS RECTORES DEL ENSAMBLAJE</w:t>
      </w:r>
    </w:p>
    <w:p w14:paraId="575426BF" w14:textId="77777777" w:rsidR="00942FAF" w:rsidRPr="00942FAF" w:rsidRDefault="00942FAF" w:rsidP="00942FAF">
      <w:r w:rsidRPr="00942FAF">
        <w:t>El ensamblaje debe garantizar:</w:t>
      </w:r>
    </w:p>
    <w:p w14:paraId="525F511E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Transparencia documental.</w:t>
      </w:r>
    </w:p>
    <w:p w14:paraId="2DB7BCAC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Trazabilidad completa a cada EO.</w:t>
      </w:r>
    </w:p>
    <w:p w14:paraId="7CCDE4FA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Declaración explícita de divergencias.</w:t>
      </w:r>
    </w:p>
    <w:p w14:paraId="01D64A81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Coherencia interna verificable.</w:t>
      </w:r>
    </w:p>
    <w:p w14:paraId="14F4D7C2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Neutralidad jerárquica.</w:t>
      </w:r>
    </w:p>
    <w:p w14:paraId="1005FD5B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Versionado obligatorio.</w:t>
      </w:r>
    </w:p>
    <w:p w14:paraId="50D5484D" w14:textId="77777777" w:rsidR="00942FAF" w:rsidRPr="00942FAF" w:rsidRDefault="00942FAF" w:rsidP="00942FAF">
      <w:pPr>
        <w:numPr>
          <w:ilvl w:val="0"/>
          <w:numId w:val="3"/>
        </w:numPr>
      </w:pPr>
      <w:r w:rsidRPr="00942FAF">
        <w:t>Preservación de divergencias históricas.</w:t>
      </w:r>
    </w:p>
    <w:p w14:paraId="21438D50" w14:textId="77777777" w:rsidR="00942FAF" w:rsidRPr="00942FAF" w:rsidRDefault="00942FAF" w:rsidP="00942FAF">
      <w:r w:rsidRPr="00942FAF">
        <w:t>La consolidación no elimina pluralidad científica.</w:t>
      </w:r>
    </w:p>
    <w:p w14:paraId="3790F9A6" w14:textId="77777777" w:rsidR="00942FAF" w:rsidRPr="00942FAF" w:rsidRDefault="00942FAF" w:rsidP="00942FAF">
      <w:r w:rsidRPr="00942FAF">
        <w:pict w14:anchorId="570DF54B">
          <v:rect id="_x0000_i1029" style="width:0;height:1.5pt" o:hralign="center" o:hrstd="t" o:hr="t" fillcolor="#a0a0a0" stroked="f"/>
        </w:pict>
      </w:r>
    </w:p>
    <w:p w14:paraId="4FC62900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V. CRITERIOS DE ENSAMBLAJE</w:t>
      </w:r>
    </w:p>
    <w:p w14:paraId="001FBAB9" w14:textId="77777777" w:rsidR="00942FAF" w:rsidRPr="00942FAF" w:rsidRDefault="00942FAF" w:rsidP="00942FAF">
      <w:r w:rsidRPr="00942FAF">
        <w:t>Un GP puede formarse únicamente cuando:</w:t>
      </w:r>
    </w:p>
    <w:p w14:paraId="5C4AF6E4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>Todas las guías involucradas están representadas como EO válidos.</w:t>
      </w:r>
    </w:p>
    <w:p w14:paraId="42EE5EB3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 xml:space="preserve">Los conflictos </w:t>
      </w:r>
      <w:proofErr w:type="spellStart"/>
      <w:r w:rsidRPr="00942FAF">
        <w:t>inter-guía</w:t>
      </w:r>
      <w:proofErr w:type="spellEnd"/>
      <w:r w:rsidRPr="00942FAF">
        <w:t xml:space="preserve"> han sido registrados en el IGCR cuando existan.</w:t>
      </w:r>
    </w:p>
    <w:p w14:paraId="4DB3C108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>Se documentan relaciones estructurales explícitas entre recomendaciones.</w:t>
      </w:r>
    </w:p>
    <w:p w14:paraId="04013F1B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>Se delimita población y alcance.</w:t>
      </w:r>
    </w:p>
    <w:p w14:paraId="3EDE9133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>Se verifica coherencia estructural interna.</w:t>
      </w:r>
    </w:p>
    <w:p w14:paraId="7B7539AD" w14:textId="77777777" w:rsidR="00942FAF" w:rsidRPr="00942FAF" w:rsidRDefault="00942FAF" w:rsidP="00942FAF">
      <w:pPr>
        <w:numPr>
          <w:ilvl w:val="0"/>
          <w:numId w:val="4"/>
        </w:numPr>
      </w:pPr>
      <w:r w:rsidRPr="00942FAF">
        <w:t>Se preserva referencia explícita a versiones específicas.</w:t>
      </w:r>
    </w:p>
    <w:p w14:paraId="5B328E1E" w14:textId="77777777" w:rsidR="00942FAF" w:rsidRPr="00942FAF" w:rsidRDefault="00942FAF" w:rsidP="00942FAF">
      <w:r w:rsidRPr="00942FAF">
        <w:t>No se permite ensamblaje implícito ni informal.</w:t>
      </w:r>
    </w:p>
    <w:p w14:paraId="3D8300DF" w14:textId="77777777" w:rsidR="00942FAF" w:rsidRPr="00942FAF" w:rsidRDefault="00942FAF" w:rsidP="00942FAF">
      <w:r w:rsidRPr="00942FAF">
        <w:pict w14:anchorId="4D8822B9">
          <v:rect id="_x0000_i1030" style="width:0;height:1.5pt" o:hralign="center" o:hrstd="t" o:hr="t" fillcolor="#a0a0a0" stroked="f"/>
        </w:pict>
      </w:r>
    </w:p>
    <w:p w14:paraId="65C53B08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VI. ESTRUCTURA FORMAL DEL GUIDELINE PACKAGE</w:t>
      </w:r>
    </w:p>
    <w:p w14:paraId="5A76A1CF" w14:textId="77777777" w:rsidR="00942FAF" w:rsidRPr="00942FAF" w:rsidRDefault="00942FAF" w:rsidP="00942FAF">
      <w:r w:rsidRPr="00942FAF">
        <w:t>Todo GP debe contener:</w:t>
      </w:r>
    </w:p>
    <w:p w14:paraId="142A5E5D" w14:textId="77777777" w:rsidR="00942FAF" w:rsidRPr="00942FAF" w:rsidRDefault="00942FAF" w:rsidP="00942FAF">
      <w:r w:rsidRPr="00942FAF">
        <w:pict w14:anchorId="7AA9034C">
          <v:rect id="_x0000_i1031" style="width:0;height:1.5pt" o:hralign="center" o:hrstd="t" o:hr="t" fillcolor="#a0a0a0" stroked="f"/>
        </w:pict>
      </w:r>
    </w:p>
    <w:p w14:paraId="3872D94C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1️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Identificación (</w:t>
      </w:r>
      <w:proofErr w:type="gramStart"/>
      <w:r w:rsidRPr="00942FAF">
        <w:rPr>
          <w:b/>
          <w:bCs/>
        </w:rPr>
        <w:t>1..</w:t>
      </w:r>
      <w:proofErr w:type="gramEnd"/>
      <w:r w:rsidRPr="00942FAF">
        <w:rPr>
          <w:b/>
          <w:bCs/>
        </w:rPr>
        <w:t>1)</w:t>
      </w:r>
    </w:p>
    <w:p w14:paraId="29070556" w14:textId="77777777" w:rsidR="00942FAF" w:rsidRPr="00942FAF" w:rsidRDefault="00942FAF" w:rsidP="00942FAF">
      <w:pPr>
        <w:numPr>
          <w:ilvl w:val="0"/>
          <w:numId w:val="5"/>
        </w:numPr>
      </w:pPr>
      <w:r w:rsidRPr="00942FAF">
        <w:lastRenderedPageBreak/>
        <w:t>GP-ID único</w:t>
      </w:r>
    </w:p>
    <w:p w14:paraId="0D648E16" w14:textId="77777777" w:rsidR="00942FAF" w:rsidRPr="00942FAF" w:rsidRDefault="00942FAF" w:rsidP="00942FAF">
      <w:pPr>
        <w:numPr>
          <w:ilvl w:val="0"/>
          <w:numId w:val="5"/>
        </w:numPr>
      </w:pPr>
      <w:proofErr w:type="spellStart"/>
      <w:r w:rsidRPr="00942FAF">
        <w:t>Version</w:t>
      </w:r>
      <w:proofErr w:type="spellEnd"/>
      <w:r w:rsidRPr="00942FAF">
        <w:t xml:space="preserve"> Record Number (VRN)</w:t>
      </w:r>
    </w:p>
    <w:p w14:paraId="65AB8D4C" w14:textId="77777777" w:rsidR="00942FAF" w:rsidRPr="00942FAF" w:rsidRDefault="00942FAF" w:rsidP="00942FAF">
      <w:pPr>
        <w:numPr>
          <w:ilvl w:val="0"/>
          <w:numId w:val="5"/>
        </w:numPr>
      </w:pPr>
      <w:r w:rsidRPr="00942FAF">
        <w:t>Fecha de creación</w:t>
      </w:r>
    </w:p>
    <w:p w14:paraId="01589C5E" w14:textId="77777777" w:rsidR="00942FAF" w:rsidRPr="00942FAF" w:rsidRDefault="00942FAF" w:rsidP="00942FAF">
      <w:pPr>
        <w:numPr>
          <w:ilvl w:val="0"/>
          <w:numId w:val="5"/>
        </w:numPr>
      </w:pPr>
      <w:r w:rsidRPr="00942FAF">
        <w:t>Estado del GP</w:t>
      </w:r>
    </w:p>
    <w:p w14:paraId="3F736A03" w14:textId="77777777" w:rsidR="00942FAF" w:rsidRPr="00942FAF" w:rsidRDefault="00942FAF" w:rsidP="00942FAF">
      <w:pPr>
        <w:numPr>
          <w:ilvl w:val="0"/>
          <w:numId w:val="5"/>
        </w:numPr>
      </w:pPr>
      <w:r w:rsidRPr="00942FAF">
        <w:t>Responsable estructural</w:t>
      </w:r>
    </w:p>
    <w:p w14:paraId="49B6C0D8" w14:textId="77777777" w:rsidR="00942FAF" w:rsidRPr="00942FAF" w:rsidRDefault="00942FAF" w:rsidP="00942FAF">
      <w:r w:rsidRPr="00942FAF">
        <w:pict w14:anchorId="40F0709F">
          <v:rect id="_x0000_i1032" style="width:0;height:1.5pt" o:hralign="center" o:hrstd="t" o:hr="t" fillcolor="#a0a0a0" stroked="f"/>
        </w:pict>
      </w:r>
    </w:p>
    <w:p w14:paraId="0310F5EA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2️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Guías Integradas (</w:t>
      </w:r>
      <w:proofErr w:type="gramStart"/>
      <w:r w:rsidRPr="00942FAF">
        <w:rPr>
          <w:b/>
          <w:bCs/>
        </w:rPr>
        <w:t>2..</w:t>
      </w:r>
      <w:proofErr w:type="gramEnd"/>
      <w:r w:rsidRPr="00942FAF">
        <w:rPr>
          <w:b/>
          <w:bCs/>
        </w:rPr>
        <w:t>n)</w:t>
      </w:r>
    </w:p>
    <w:p w14:paraId="3CB6C483" w14:textId="77777777" w:rsidR="00942FAF" w:rsidRPr="00942FAF" w:rsidRDefault="00942FAF" w:rsidP="00942FAF">
      <w:pPr>
        <w:numPr>
          <w:ilvl w:val="0"/>
          <w:numId w:val="6"/>
        </w:numPr>
      </w:pPr>
      <w:r w:rsidRPr="00942FAF">
        <w:t>EO-ID de cada guía</w:t>
      </w:r>
    </w:p>
    <w:p w14:paraId="4A9D9967" w14:textId="77777777" w:rsidR="00942FAF" w:rsidRPr="00942FAF" w:rsidRDefault="00942FAF" w:rsidP="00942FAF">
      <w:pPr>
        <w:numPr>
          <w:ilvl w:val="0"/>
          <w:numId w:val="6"/>
        </w:numPr>
      </w:pPr>
      <w:r w:rsidRPr="00942FAF">
        <w:t>Versiones específicas</w:t>
      </w:r>
    </w:p>
    <w:p w14:paraId="1B12DDA9" w14:textId="77777777" w:rsidR="00942FAF" w:rsidRPr="00942FAF" w:rsidRDefault="00942FAF" w:rsidP="00942FAF">
      <w:pPr>
        <w:numPr>
          <w:ilvl w:val="0"/>
          <w:numId w:val="6"/>
        </w:numPr>
      </w:pPr>
      <w:r w:rsidRPr="00942FAF">
        <w:t>Entidad emisora</w:t>
      </w:r>
    </w:p>
    <w:p w14:paraId="3DCE5CAF" w14:textId="77777777" w:rsidR="00942FAF" w:rsidRPr="00942FAF" w:rsidRDefault="00942FAF" w:rsidP="00942FAF">
      <w:pPr>
        <w:numPr>
          <w:ilvl w:val="0"/>
          <w:numId w:val="6"/>
        </w:numPr>
      </w:pPr>
      <w:r w:rsidRPr="00942FAF">
        <w:t>Jurisdicción</w:t>
      </w:r>
    </w:p>
    <w:p w14:paraId="30C67992" w14:textId="77777777" w:rsidR="00942FAF" w:rsidRPr="00942FAF" w:rsidRDefault="00942FAF" w:rsidP="00942FAF">
      <w:r w:rsidRPr="00942FAF">
        <w:pict w14:anchorId="631D60E5">
          <v:rect id="_x0000_i1033" style="width:0;height:1.5pt" o:hralign="center" o:hrstd="t" o:hr="t" fillcolor="#a0a0a0" stroked="f"/>
        </w:pict>
      </w:r>
    </w:p>
    <w:p w14:paraId="4932A144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3️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Mapa de Recomendaciones</w:t>
      </w:r>
    </w:p>
    <w:p w14:paraId="366195A1" w14:textId="77777777" w:rsidR="00942FAF" w:rsidRPr="00942FAF" w:rsidRDefault="00942FAF" w:rsidP="00942FAF">
      <w:pPr>
        <w:numPr>
          <w:ilvl w:val="0"/>
          <w:numId w:val="7"/>
        </w:numPr>
      </w:pPr>
      <w:r w:rsidRPr="00942FAF">
        <w:t>Recomendaciones alineadas</w:t>
      </w:r>
    </w:p>
    <w:p w14:paraId="58B618DA" w14:textId="77777777" w:rsidR="00942FAF" w:rsidRPr="00942FAF" w:rsidRDefault="00942FAF" w:rsidP="00942FAF">
      <w:pPr>
        <w:numPr>
          <w:ilvl w:val="0"/>
          <w:numId w:val="7"/>
        </w:numPr>
      </w:pPr>
      <w:r w:rsidRPr="00942FAF">
        <w:t>Recomendaciones divergentes</w:t>
      </w:r>
    </w:p>
    <w:p w14:paraId="5CE45B74" w14:textId="77777777" w:rsidR="00942FAF" w:rsidRPr="00942FAF" w:rsidRDefault="00942FAF" w:rsidP="00942FAF">
      <w:pPr>
        <w:numPr>
          <w:ilvl w:val="0"/>
          <w:numId w:val="7"/>
        </w:numPr>
      </w:pPr>
      <w:r w:rsidRPr="00942FAF">
        <w:t>Recomendaciones condicionales</w:t>
      </w:r>
    </w:p>
    <w:p w14:paraId="3F955F6F" w14:textId="77777777" w:rsidR="00942FAF" w:rsidRPr="00942FAF" w:rsidRDefault="00942FAF" w:rsidP="00942FAF">
      <w:pPr>
        <w:numPr>
          <w:ilvl w:val="0"/>
          <w:numId w:val="7"/>
        </w:numPr>
      </w:pPr>
      <w:r w:rsidRPr="00942FAF">
        <w:t>Dependencias contextuales</w:t>
      </w:r>
    </w:p>
    <w:p w14:paraId="607B0D8C" w14:textId="77777777" w:rsidR="00942FAF" w:rsidRPr="00942FAF" w:rsidRDefault="00942FAF" w:rsidP="00942FAF">
      <w:pPr>
        <w:numPr>
          <w:ilvl w:val="0"/>
          <w:numId w:val="7"/>
        </w:numPr>
      </w:pPr>
      <w:r w:rsidRPr="00942FAF">
        <w:t>Supuestos explícitos</w:t>
      </w:r>
    </w:p>
    <w:p w14:paraId="6BC3A719" w14:textId="77777777" w:rsidR="00942FAF" w:rsidRPr="00942FAF" w:rsidRDefault="00942FAF" w:rsidP="00942FAF">
      <w:r w:rsidRPr="00942FAF">
        <w:pict w14:anchorId="791B28EC">
          <v:rect id="_x0000_i1034" style="width:0;height:1.5pt" o:hralign="center" o:hrstd="t" o:hr="t" fillcolor="#a0a0a0" stroked="f"/>
        </w:pict>
      </w:r>
    </w:p>
    <w:p w14:paraId="4BEE51DB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4️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Conflictos Vinculados</w:t>
      </w:r>
    </w:p>
    <w:p w14:paraId="10C72E6E" w14:textId="77777777" w:rsidR="00942FAF" w:rsidRPr="00942FAF" w:rsidRDefault="00942FAF" w:rsidP="00942FAF">
      <w:pPr>
        <w:numPr>
          <w:ilvl w:val="0"/>
          <w:numId w:val="8"/>
        </w:numPr>
      </w:pPr>
      <w:proofErr w:type="spellStart"/>
      <w:r w:rsidRPr="00942FAF">
        <w:t>Conflict</w:t>
      </w:r>
      <w:proofErr w:type="spellEnd"/>
      <w:r w:rsidRPr="00942FAF">
        <w:t>-ID obligatorios cuando existan</w:t>
      </w:r>
    </w:p>
    <w:p w14:paraId="444CECB4" w14:textId="77777777" w:rsidR="00942FAF" w:rsidRPr="00942FAF" w:rsidRDefault="00942FAF" w:rsidP="00942FAF">
      <w:pPr>
        <w:numPr>
          <w:ilvl w:val="0"/>
          <w:numId w:val="8"/>
        </w:numPr>
      </w:pPr>
      <w:r w:rsidRPr="00942FAF">
        <w:t>Estado actual de cada conflicto</w:t>
      </w:r>
    </w:p>
    <w:p w14:paraId="56219ED0" w14:textId="77777777" w:rsidR="00942FAF" w:rsidRPr="00942FAF" w:rsidRDefault="00942FAF" w:rsidP="00942FAF">
      <w:pPr>
        <w:numPr>
          <w:ilvl w:val="0"/>
          <w:numId w:val="8"/>
        </w:numPr>
      </w:pPr>
      <w:r w:rsidRPr="00942FAF">
        <w:t>Referencia estructural verificable</w:t>
      </w:r>
    </w:p>
    <w:p w14:paraId="62D68134" w14:textId="77777777" w:rsidR="00942FAF" w:rsidRPr="00942FAF" w:rsidRDefault="00942FAF" w:rsidP="00942FAF">
      <w:r w:rsidRPr="00942FAF">
        <w:pict w14:anchorId="21FDEFFB">
          <v:rect id="_x0000_i1035" style="width:0;height:1.5pt" o:hralign="center" o:hrstd="t" o:hr="t" fillcolor="#a0a0a0" stroked="f"/>
        </w:pict>
      </w:r>
    </w:p>
    <w:p w14:paraId="5A279A74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5️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Alcance del Paquete</w:t>
      </w:r>
    </w:p>
    <w:p w14:paraId="3C5D49EE" w14:textId="77777777" w:rsidR="00942FAF" w:rsidRPr="00942FAF" w:rsidRDefault="00942FAF" w:rsidP="00942FAF">
      <w:pPr>
        <w:numPr>
          <w:ilvl w:val="0"/>
          <w:numId w:val="9"/>
        </w:numPr>
      </w:pPr>
      <w:r w:rsidRPr="00942FAF">
        <w:t>Población objetivo</w:t>
      </w:r>
    </w:p>
    <w:p w14:paraId="61E9F79D" w14:textId="77777777" w:rsidR="00942FAF" w:rsidRPr="00942FAF" w:rsidRDefault="00942FAF" w:rsidP="00942FAF">
      <w:pPr>
        <w:numPr>
          <w:ilvl w:val="0"/>
          <w:numId w:val="9"/>
        </w:numPr>
      </w:pPr>
      <w:r w:rsidRPr="00942FAF">
        <w:t>Entorno asistencial</w:t>
      </w:r>
    </w:p>
    <w:p w14:paraId="67CD3F2A" w14:textId="77777777" w:rsidR="00942FAF" w:rsidRPr="00942FAF" w:rsidRDefault="00942FAF" w:rsidP="00942FAF">
      <w:pPr>
        <w:numPr>
          <w:ilvl w:val="0"/>
          <w:numId w:val="9"/>
        </w:numPr>
      </w:pPr>
      <w:r w:rsidRPr="00942FAF">
        <w:t>Marco regulatorio aplicable</w:t>
      </w:r>
    </w:p>
    <w:p w14:paraId="47FD1522" w14:textId="77777777" w:rsidR="00942FAF" w:rsidRPr="00942FAF" w:rsidRDefault="00942FAF" w:rsidP="00942FAF">
      <w:pPr>
        <w:numPr>
          <w:ilvl w:val="0"/>
          <w:numId w:val="9"/>
        </w:numPr>
      </w:pPr>
      <w:r w:rsidRPr="00942FAF">
        <w:lastRenderedPageBreak/>
        <w:t>Limitaciones declaradas</w:t>
      </w:r>
    </w:p>
    <w:p w14:paraId="5320A240" w14:textId="77777777" w:rsidR="00942FAF" w:rsidRPr="00942FAF" w:rsidRDefault="00942FAF" w:rsidP="00942FAF">
      <w:r w:rsidRPr="00942FAF">
        <w:pict w14:anchorId="25EC289B">
          <v:rect id="_x0000_i1036" style="width:0;height:1.5pt" o:hralign="center" o:hrstd="t" o:hr="t" fillcolor="#a0a0a0" stroked="f"/>
        </w:pict>
      </w:r>
    </w:p>
    <w:p w14:paraId="25FD567B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6️</w:t>
      </w:r>
      <w:r w:rsidRPr="00942FAF">
        <w:rPr>
          <w:rFonts w:ascii="Segoe UI Symbol" w:hAnsi="Segoe UI Symbol" w:cs="Segoe UI Symbol"/>
          <w:b/>
          <w:bCs/>
        </w:rPr>
        <w:t>⃣</w:t>
      </w:r>
      <w:r w:rsidRPr="00942FAF">
        <w:rPr>
          <w:b/>
          <w:bCs/>
        </w:rPr>
        <w:t xml:space="preserve"> Declaración de Coherencia</w:t>
      </w:r>
    </w:p>
    <w:p w14:paraId="02EB6F60" w14:textId="77777777" w:rsidR="00942FAF" w:rsidRPr="00942FAF" w:rsidRDefault="00942FAF" w:rsidP="00942FAF">
      <w:pPr>
        <w:numPr>
          <w:ilvl w:val="0"/>
          <w:numId w:val="10"/>
        </w:numPr>
      </w:pPr>
      <w:r w:rsidRPr="00942FAF">
        <w:t>Justificación estructural del ensamblaje</w:t>
      </w:r>
    </w:p>
    <w:p w14:paraId="1D1C5C51" w14:textId="77777777" w:rsidR="00942FAF" w:rsidRPr="00942FAF" w:rsidRDefault="00942FAF" w:rsidP="00942FAF">
      <w:pPr>
        <w:numPr>
          <w:ilvl w:val="0"/>
          <w:numId w:val="10"/>
        </w:numPr>
      </w:pPr>
      <w:r w:rsidRPr="00942FAF">
        <w:t>Declaración de neutralidad jerárquica</w:t>
      </w:r>
    </w:p>
    <w:p w14:paraId="640E49DF" w14:textId="77777777" w:rsidR="00942FAF" w:rsidRPr="00942FAF" w:rsidRDefault="00942FAF" w:rsidP="00942FAF">
      <w:pPr>
        <w:numPr>
          <w:ilvl w:val="0"/>
          <w:numId w:val="10"/>
        </w:numPr>
      </w:pPr>
      <w:r w:rsidRPr="00942FAF">
        <w:t>Límites explícitos del paquete</w:t>
      </w:r>
    </w:p>
    <w:p w14:paraId="1334D492" w14:textId="77777777" w:rsidR="00942FAF" w:rsidRPr="00942FAF" w:rsidRDefault="00942FAF" w:rsidP="00942FAF">
      <w:r w:rsidRPr="00942FAF">
        <w:pict w14:anchorId="6FDE9387">
          <v:rect id="_x0000_i1037" style="width:0;height:1.5pt" o:hralign="center" o:hrstd="t" o:hr="t" fillcolor="#a0a0a0" stroked="f"/>
        </w:pict>
      </w:r>
    </w:p>
    <w:p w14:paraId="6CCB8F5F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VII. ESTADOS DEL GUIDELINE PACKAGE</w:t>
      </w:r>
    </w:p>
    <w:p w14:paraId="58482167" w14:textId="77777777" w:rsidR="00942FAF" w:rsidRPr="00942FAF" w:rsidRDefault="00942FAF" w:rsidP="00942FAF">
      <w:r w:rsidRPr="00942FAF">
        <w:t>Un GP puede encontrarse en:</w:t>
      </w:r>
    </w:p>
    <w:p w14:paraId="623649DA" w14:textId="77777777" w:rsidR="00942FAF" w:rsidRPr="00942FAF" w:rsidRDefault="00942FAF" w:rsidP="00942FAF">
      <w:pPr>
        <w:numPr>
          <w:ilvl w:val="0"/>
          <w:numId w:val="11"/>
        </w:numPr>
      </w:pPr>
      <w:r w:rsidRPr="00942FAF">
        <w:t>Draft</w:t>
      </w:r>
    </w:p>
    <w:p w14:paraId="57BC1D71" w14:textId="77777777" w:rsidR="00942FAF" w:rsidRPr="00942FAF" w:rsidRDefault="00942FAF" w:rsidP="00942FAF">
      <w:pPr>
        <w:numPr>
          <w:ilvl w:val="0"/>
          <w:numId w:val="11"/>
        </w:numPr>
      </w:pPr>
      <w:r w:rsidRPr="00942FAF">
        <w:t>Activo</w:t>
      </w:r>
    </w:p>
    <w:p w14:paraId="66C24B72" w14:textId="77777777" w:rsidR="00942FAF" w:rsidRPr="00942FAF" w:rsidRDefault="00942FAF" w:rsidP="00942FAF">
      <w:pPr>
        <w:numPr>
          <w:ilvl w:val="0"/>
          <w:numId w:val="11"/>
        </w:numPr>
      </w:pPr>
      <w:proofErr w:type="spellStart"/>
      <w:r w:rsidRPr="00942FAF">
        <w:t>Superseded</w:t>
      </w:r>
      <w:proofErr w:type="spellEnd"/>
    </w:p>
    <w:p w14:paraId="46D5349F" w14:textId="77777777" w:rsidR="00942FAF" w:rsidRPr="00942FAF" w:rsidRDefault="00942FAF" w:rsidP="00942FAF">
      <w:pPr>
        <w:numPr>
          <w:ilvl w:val="0"/>
          <w:numId w:val="11"/>
        </w:numPr>
      </w:pPr>
      <w:r w:rsidRPr="00942FAF">
        <w:t>Archivado</w:t>
      </w:r>
    </w:p>
    <w:p w14:paraId="7C509A4A" w14:textId="77777777" w:rsidR="00942FAF" w:rsidRPr="00942FAF" w:rsidRDefault="00942FAF" w:rsidP="00942FAF">
      <w:r w:rsidRPr="00942FAF">
        <w:t xml:space="preserve">Solo GP en estado </w:t>
      </w:r>
      <w:r w:rsidRPr="00942FAF">
        <w:rPr>
          <w:b/>
          <w:bCs/>
        </w:rPr>
        <w:t>Activo</w:t>
      </w:r>
      <w:r w:rsidRPr="00942FAF">
        <w:t xml:space="preserve"> pueden alimentar la Knowledge Base Operative Layer (KBOL).</w:t>
      </w:r>
    </w:p>
    <w:p w14:paraId="3B3C039E" w14:textId="77777777" w:rsidR="00942FAF" w:rsidRPr="00942FAF" w:rsidRDefault="00942FAF" w:rsidP="00942FAF">
      <w:r w:rsidRPr="00942FAF">
        <w:pict w14:anchorId="48CE9E59">
          <v:rect id="_x0000_i1038" style="width:0;height:1.5pt" o:hralign="center" o:hrstd="t" o:hr="t" fillcolor="#a0a0a0" stroked="f"/>
        </w:pict>
      </w:r>
    </w:p>
    <w:p w14:paraId="08638C42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VIII. VERSIONADO Y EVOLUCIÓN</w:t>
      </w:r>
    </w:p>
    <w:p w14:paraId="6E087ADE" w14:textId="77777777" w:rsidR="00942FAF" w:rsidRPr="00942FAF" w:rsidRDefault="00942FAF" w:rsidP="00942FAF">
      <w:r w:rsidRPr="00942FAF">
        <w:t>Cada GP:</w:t>
      </w:r>
    </w:p>
    <w:p w14:paraId="565E8E02" w14:textId="77777777" w:rsidR="00942FAF" w:rsidRPr="00942FAF" w:rsidRDefault="00942FAF" w:rsidP="00942FAF">
      <w:pPr>
        <w:numPr>
          <w:ilvl w:val="0"/>
          <w:numId w:val="12"/>
        </w:numPr>
      </w:pPr>
      <w:r w:rsidRPr="00942FAF">
        <w:t xml:space="preserve">Es </w:t>
      </w:r>
      <w:proofErr w:type="spellStart"/>
      <w:r w:rsidRPr="00942FAF">
        <w:t>versionable</w:t>
      </w:r>
      <w:proofErr w:type="spellEnd"/>
      <w:r w:rsidRPr="00942FAF">
        <w:t>.</w:t>
      </w:r>
    </w:p>
    <w:p w14:paraId="047ACA35" w14:textId="77777777" w:rsidR="00942FAF" w:rsidRPr="00942FAF" w:rsidRDefault="00942FAF" w:rsidP="00942FAF">
      <w:pPr>
        <w:numPr>
          <w:ilvl w:val="0"/>
          <w:numId w:val="12"/>
        </w:numPr>
      </w:pPr>
      <w:r w:rsidRPr="00942FAF">
        <w:t xml:space="preserve">Opera bajo régimen </w:t>
      </w:r>
      <w:proofErr w:type="spellStart"/>
      <w:r w:rsidRPr="00942FAF">
        <w:t>append-only</w:t>
      </w:r>
      <w:proofErr w:type="spellEnd"/>
      <w:r w:rsidRPr="00942FAF">
        <w:t>.</w:t>
      </w:r>
    </w:p>
    <w:p w14:paraId="75AC00CF" w14:textId="77777777" w:rsidR="00942FAF" w:rsidRPr="00942FAF" w:rsidRDefault="00942FAF" w:rsidP="00942FAF">
      <w:pPr>
        <w:numPr>
          <w:ilvl w:val="0"/>
          <w:numId w:val="12"/>
        </w:numPr>
      </w:pPr>
      <w:r w:rsidRPr="00942FAF">
        <w:t>No modifica retroactivamente versiones previas.</w:t>
      </w:r>
    </w:p>
    <w:p w14:paraId="62A7EFD2" w14:textId="77777777" w:rsidR="00942FAF" w:rsidRPr="00942FAF" w:rsidRDefault="00942FAF" w:rsidP="00942FAF">
      <w:pPr>
        <w:numPr>
          <w:ilvl w:val="0"/>
          <w:numId w:val="12"/>
        </w:numPr>
      </w:pPr>
      <w:r w:rsidRPr="00942FAF">
        <w:t>Debe actualizarse si cambian las versiones de guías subyacentes.</w:t>
      </w:r>
    </w:p>
    <w:p w14:paraId="5FA83769" w14:textId="77777777" w:rsidR="00942FAF" w:rsidRPr="00942FAF" w:rsidRDefault="00942FAF" w:rsidP="00942FAF">
      <w:pPr>
        <w:numPr>
          <w:ilvl w:val="0"/>
          <w:numId w:val="12"/>
        </w:numPr>
      </w:pPr>
      <w:r w:rsidRPr="00942FAF">
        <w:t>Mantiene correspondencia explícita entre versiones de EO y versión del GP.</w:t>
      </w:r>
    </w:p>
    <w:p w14:paraId="5362951B" w14:textId="77777777" w:rsidR="00942FAF" w:rsidRPr="00942FAF" w:rsidRDefault="00942FAF" w:rsidP="00942FAF">
      <w:r w:rsidRPr="00942FAF">
        <w:t>La actualización genera nueva versión estructural.</w:t>
      </w:r>
    </w:p>
    <w:p w14:paraId="07FEFE1C" w14:textId="77777777" w:rsidR="00942FAF" w:rsidRPr="00942FAF" w:rsidRDefault="00942FAF" w:rsidP="00942FAF">
      <w:r w:rsidRPr="00942FAF">
        <w:pict w14:anchorId="399DA35C">
          <v:rect id="_x0000_i1039" style="width:0;height:1.5pt" o:hralign="center" o:hrstd="t" o:hr="t" fillcolor="#a0a0a0" stroked="f"/>
        </w:pict>
      </w:r>
    </w:p>
    <w:p w14:paraId="5C672EB8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IX. RELACIÓN CON INTER-GUIDELINE CONFLICT REGISTRY</w:t>
      </w:r>
    </w:p>
    <w:p w14:paraId="7D782BAC" w14:textId="77777777" w:rsidR="00942FAF" w:rsidRPr="00942FAF" w:rsidRDefault="00942FAF" w:rsidP="00942FAF">
      <w:r w:rsidRPr="00942FAF">
        <w:t>Si existe conflicto registrado entre guías integradas:</w:t>
      </w:r>
    </w:p>
    <w:p w14:paraId="063055BB" w14:textId="77777777" w:rsidR="00942FAF" w:rsidRPr="00942FAF" w:rsidRDefault="00942FAF" w:rsidP="00942FAF">
      <w:pPr>
        <w:numPr>
          <w:ilvl w:val="0"/>
          <w:numId w:val="13"/>
        </w:numPr>
      </w:pPr>
      <w:r w:rsidRPr="00942FAF">
        <w:t>Debe referenciarse obligatoriamente.</w:t>
      </w:r>
    </w:p>
    <w:p w14:paraId="07559E4F" w14:textId="77777777" w:rsidR="00942FAF" w:rsidRPr="00942FAF" w:rsidRDefault="00942FAF" w:rsidP="00942FAF">
      <w:pPr>
        <w:numPr>
          <w:ilvl w:val="0"/>
          <w:numId w:val="13"/>
        </w:numPr>
      </w:pPr>
      <w:r w:rsidRPr="00942FAF">
        <w:t>No puede omitirse.</w:t>
      </w:r>
    </w:p>
    <w:p w14:paraId="7AA6F917" w14:textId="77777777" w:rsidR="00942FAF" w:rsidRPr="00942FAF" w:rsidRDefault="00942FAF" w:rsidP="00942FAF">
      <w:pPr>
        <w:numPr>
          <w:ilvl w:val="0"/>
          <w:numId w:val="13"/>
        </w:numPr>
      </w:pPr>
      <w:r w:rsidRPr="00942FAF">
        <w:t>Permanece visible en el GP.</w:t>
      </w:r>
    </w:p>
    <w:p w14:paraId="72AED0A1" w14:textId="77777777" w:rsidR="00942FAF" w:rsidRPr="00942FAF" w:rsidRDefault="00942FAF" w:rsidP="00942FAF">
      <w:pPr>
        <w:numPr>
          <w:ilvl w:val="0"/>
          <w:numId w:val="13"/>
        </w:numPr>
      </w:pPr>
      <w:r w:rsidRPr="00942FAF">
        <w:lastRenderedPageBreak/>
        <w:t>No se elimina ni altera la entrada original del IGCR.</w:t>
      </w:r>
    </w:p>
    <w:p w14:paraId="37869245" w14:textId="77777777" w:rsidR="00942FAF" w:rsidRPr="00942FAF" w:rsidRDefault="00942FAF" w:rsidP="00942FAF">
      <w:r w:rsidRPr="00942FAF">
        <w:t>El GP no suprime conflicto; lo contextualiza.</w:t>
      </w:r>
    </w:p>
    <w:p w14:paraId="40A63C8E" w14:textId="77777777" w:rsidR="00942FAF" w:rsidRPr="00942FAF" w:rsidRDefault="00942FAF" w:rsidP="00942FAF">
      <w:r w:rsidRPr="00942FAF">
        <w:pict w14:anchorId="6F90D0E4">
          <v:rect id="_x0000_i1040" style="width:0;height:1.5pt" o:hralign="center" o:hrstd="t" o:hr="t" fillcolor="#a0a0a0" stroked="f"/>
        </w:pict>
      </w:r>
    </w:p>
    <w:p w14:paraId="446DE51C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X. RELACIÓN CON KBOL</w:t>
      </w:r>
    </w:p>
    <w:p w14:paraId="46FB2EA0" w14:textId="77777777" w:rsidR="00942FAF" w:rsidRPr="00942FAF" w:rsidRDefault="00942FAF" w:rsidP="00942FAF">
      <w:r w:rsidRPr="00942FAF">
        <w:t>El GP constituye insumo estructural hacia KBOL.</w:t>
      </w:r>
    </w:p>
    <w:p w14:paraId="2D388698" w14:textId="77777777" w:rsidR="00942FAF" w:rsidRPr="00942FAF" w:rsidRDefault="00942FAF" w:rsidP="00942FAF">
      <w:r w:rsidRPr="00942FAF">
        <w:t>El GP:</w:t>
      </w:r>
    </w:p>
    <w:p w14:paraId="6C904038" w14:textId="77777777" w:rsidR="00942FAF" w:rsidRPr="00942FAF" w:rsidRDefault="00942FAF" w:rsidP="00942FAF">
      <w:pPr>
        <w:numPr>
          <w:ilvl w:val="0"/>
          <w:numId w:val="14"/>
        </w:numPr>
      </w:pPr>
      <w:r w:rsidRPr="00942FAF">
        <w:t>Organiza evidencia consolidada.</w:t>
      </w:r>
    </w:p>
    <w:p w14:paraId="74FC9DBA" w14:textId="77777777" w:rsidR="00942FAF" w:rsidRPr="00942FAF" w:rsidRDefault="00942FAF" w:rsidP="00942FAF">
      <w:pPr>
        <w:numPr>
          <w:ilvl w:val="0"/>
          <w:numId w:val="14"/>
        </w:numPr>
      </w:pPr>
      <w:r w:rsidRPr="00942FAF">
        <w:t>Permite transición formal hacia objetos operativos.</w:t>
      </w:r>
    </w:p>
    <w:p w14:paraId="1A3BCC4D" w14:textId="77777777" w:rsidR="00942FAF" w:rsidRPr="00942FAF" w:rsidRDefault="00942FAF" w:rsidP="00942FAF">
      <w:pPr>
        <w:numPr>
          <w:ilvl w:val="0"/>
          <w:numId w:val="14"/>
        </w:numPr>
      </w:pPr>
      <w:r w:rsidRPr="00942FAF">
        <w:t>No ejecuta compilación clínica.</w:t>
      </w:r>
    </w:p>
    <w:p w14:paraId="031976D3" w14:textId="77777777" w:rsidR="00942FAF" w:rsidRPr="00942FAF" w:rsidRDefault="00942FAF" w:rsidP="00942FAF">
      <w:pPr>
        <w:numPr>
          <w:ilvl w:val="0"/>
          <w:numId w:val="14"/>
        </w:numPr>
      </w:pPr>
      <w:r w:rsidRPr="00942FAF">
        <w:t xml:space="preserve">No genera </w:t>
      </w:r>
      <w:proofErr w:type="spellStart"/>
      <w:r w:rsidRPr="00942FAF">
        <w:t>pathway</w:t>
      </w:r>
      <w:proofErr w:type="spellEnd"/>
      <w:r w:rsidRPr="00942FAF">
        <w:t xml:space="preserve"> automáticamente.</w:t>
      </w:r>
    </w:p>
    <w:p w14:paraId="02F02FC2" w14:textId="77777777" w:rsidR="00942FAF" w:rsidRPr="00942FAF" w:rsidRDefault="00942FAF" w:rsidP="00942FAF">
      <w:pPr>
        <w:numPr>
          <w:ilvl w:val="0"/>
          <w:numId w:val="14"/>
        </w:numPr>
      </w:pPr>
      <w:r w:rsidRPr="00942FAF">
        <w:t>No sustituye decisiones clínicas.</w:t>
      </w:r>
    </w:p>
    <w:p w14:paraId="5364D44F" w14:textId="77777777" w:rsidR="00942FAF" w:rsidRPr="00942FAF" w:rsidRDefault="00942FAF" w:rsidP="00942FAF">
      <w:r w:rsidRPr="00942FAF">
        <w:t>Es una capa intermedia de consolidación estructural.</w:t>
      </w:r>
    </w:p>
    <w:p w14:paraId="5E31B954" w14:textId="77777777" w:rsidR="00942FAF" w:rsidRPr="00942FAF" w:rsidRDefault="00942FAF" w:rsidP="00942FAF">
      <w:r w:rsidRPr="00942FAF">
        <w:pict w14:anchorId="21AABE2E">
          <v:rect id="_x0000_i1041" style="width:0;height:1.5pt" o:hralign="center" o:hrstd="t" o:hr="t" fillcolor="#a0a0a0" stroked="f"/>
        </w:pict>
      </w:r>
    </w:p>
    <w:p w14:paraId="349FAD86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XI. LÍMITES</w:t>
      </w:r>
    </w:p>
    <w:p w14:paraId="6CD0B7A2" w14:textId="77777777" w:rsidR="00942FAF" w:rsidRPr="00942FAF" w:rsidRDefault="00942FAF" w:rsidP="00942FAF">
      <w:r w:rsidRPr="00942FAF">
        <w:t>Este Marco no:</w:t>
      </w:r>
    </w:p>
    <w:p w14:paraId="1E21A668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Resuelve conflictos científicos.</w:t>
      </w:r>
    </w:p>
    <w:p w14:paraId="0BF9B4A2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Establece jerarquía definitiva entre guías.</w:t>
      </w:r>
    </w:p>
    <w:p w14:paraId="05935DF5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Emite recomendación clínica final.</w:t>
      </w:r>
    </w:p>
    <w:p w14:paraId="01882ED7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Sustituye consenso formal colegiado.</w:t>
      </w:r>
    </w:p>
    <w:p w14:paraId="60798F5F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Evalúa calidad metodológica avanzada.</w:t>
      </w:r>
    </w:p>
    <w:p w14:paraId="327E223B" w14:textId="77777777" w:rsidR="00942FAF" w:rsidRPr="00942FAF" w:rsidRDefault="00942FAF" w:rsidP="00942FAF">
      <w:pPr>
        <w:numPr>
          <w:ilvl w:val="0"/>
          <w:numId w:val="15"/>
        </w:numPr>
      </w:pPr>
      <w:r w:rsidRPr="00942FAF">
        <w:t>Ejecuta implementación operativa.</w:t>
      </w:r>
    </w:p>
    <w:p w14:paraId="2BF3F3E6" w14:textId="77777777" w:rsidR="00942FAF" w:rsidRPr="00942FAF" w:rsidRDefault="00942FAF" w:rsidP="00942FAF">
      <w:r w:rsidRPr="00942FAF">
        <w:t>Define exclusivamente ensamblaje estructural armonizado.</w:t>
      </w:r>
    </w:p>
    <w:p w14:paraId="48E07673" w14:textId="77777777" w:rsidR="00942FAF" w:rsidRPr="00942FAF" w:rsidRDefault="00942FAF" w:rsidP="00942FAF">
      <w:r w:rsidRPr="00942FAF">
        <w:pict w14:anchorId="2E4EAE39">
          <v:rect id="_x0000_i1042" style="width:0;height:1.5pt" o:hralign="center" o:hrstd="t" o:hr="t" fillcolor="#a0a0a0" stroked="f"/>
        </w:pict>
      </w:r>
    </w:p>
    <w:p w14:paraId="662D06F2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XII. PERMANENCIA Y JERARQUÍA</w:t>
      </w:r>
    </w:p>
    <w:p w14:paraId="687064B4" w14:textId="77777777" w:rsidR="00942FAF" w:rsidRPr="00942FAF" w:rsidRDefault="00942FAF" w:rsidP="00942FAF">
      <w:r w:rsidRPr="00942FAF">
        <w:t>Este Framework:</w:t>
      </w:r>
    </w:p>
    <w:p w14:paraId="3AD431B8" w14:textId="77777777" w:rsidR="00942FAF" w:rsidRPr="00942FAF" w:rsidRDefault="00942FAF" w:rsidP="00942FAF">
      <w:pPr>
        <w:numPr>
          <w:ilvl w:val="0"/>
          <w:numId w:val="16"/>
        </w:numPr>
      </w:pPr>
      <w:r w:rsidRPr="00942FAF">
        <w:t>Es permanente.</w:t>
      </w:r>
    </w:p>
    <w:p w14:paraId="798441FF" w14:textId="77777777" w:rsidR="00942FAF" w:rsidRPr="00942FAF" w:rsidRDefault="00942FAF" w:rsidP="00942FAF">
      <w:pPr>
        <w:numPr>
          <w:ilvl w:val="0"/>
          <w:numId w:val="16"/>
        </w:numPr>
      </w:pPr>
      <w:r w:rsidRPr="00942FAF">
        <w:t xml:space="preserve">Es obligatorio para consolidación </w:t>
      </w:r>
      <w:proofErr w:type="spellStart"/>
      <w:r w:rsidRPr="00942FAF">
        <w:t>multi-guía</w:t>
      </w:r>
      <w:proofErr w:type="spellEnd"/>
      <w:r w:rsidRPr="00942FAF">
        <w:t>.</w:t>
      </w:r>
    </w:p>
    <w:p w14:paraId="61E4D1E4" w14:textId="77777777" w:rsidR="00942FAF" w:rsidRPr="00942FAF" w:rsidRDefault="00942FAF" w:rsidP="00942FAF">
      <w:pPr>
        <w:numPr>
          <w:ilvl w:val="0"/>
          <w:numId w:val="16"/>
        </w:numPr>
      </w:pPr>
      <w:r w:rsidRPr="00942FAF">
        <w:t>Opera bajo versionado institucional.</w:t>
      </w:r>
    </w:p>
    <w:p w14:paraId="2254F438" w14:textId="77777777" w:rsidR="00942FAF" w:rsidRPr="00942FAF" w:rsidRDefault="00942FAF" w:rsidP="00942FAF">
      <w:pPr>
        <w:numPr>
          <w:ilvl w:val="0"/>
          <w:numId w:val="16"/>
        </w:numPr>
      </w:pPr>
      <w:r w:rsidRPr="00942FAF">
        <w:t>Solo puede modificarse mediante reforma estructural formal.</w:t>
      </w:r>
    </w:p>
    <w:p w14:paraId="3029BA66" w14:textId="77777777" w:rsidR="00942FAF" w:rsidRPr="00942FAF" w:rsidRDefault="00942FAF" w:rsidP="00942FAF">
      <w:r w:rsidRPr="00942FAF">
        <w:lastRenderedPageBreak/>
        <w:pict w14:anchorId="1B7E8D70">
          <v:rect id="_x0000_i1043" style="width:0;height:1.5pt" o:hralign="center" o:hrstd="t" o:hr="t" fillcolor="#a0a0a0" stroked="f"/>
        </w:pict>
      </w:r>
    </w:p>
    <w:p w14:paraId="4BE09B6B" w14:textId="77777777" w:rsidR="00942FAF" w:rsidRPr="00942FAF" w:rsidRDefault="00942FAF" w:rsidP="00942FAF">
      <w:pPr>
        <w:rPr>
          <w:b/>
          <w:bCs/>
        </w:rPr>
      </w:pPr>
      <w:r w:rsidRPr="00942FAF">
        <w:rPr>
          <w:b/>
          <w:bCs/>
        </w:rPr>
        <w:t>XIII. DECLARACIÓN FINAL</w:t>
      </w:r>
    </w:p>
    <w:p w14:paraId="02B732D7" w14:textId="77777777" w:rsidR="00942FAF" w:rsidRPr="00942FAF" w:rsidRDefault="00942FAF" w:rsidP="00942FAF">
      <w:r w:rsidRPr="00942FAF">
        <w:t>En ICICSO:</w:t>
      </w:r>
    </w:p>
    <w:p w14:paraId="492602D9" w14:textId="77777777" w:rsidR="00942FAF" w:rsidRPr="00942FAF" w:rsidRDefault="00942FAF" w:rsidP="00942FAF">
      <w:r w:rsidRPr="00942FAF">
        <w:t>Las guías no se fusionan arbitrariamente.</w:t>
      </w:r>
      <w:r w:rsidRPr="00942FAF">
        <w:br/>
        <w:t>Se ensamblan con trazabilidad explícita.</w:t>
      </w:r>
      <w:r w:rsidRPr="00942FAF">
        <w:br/>
        <w:t>Las divergencias se declaran sin supresión.</w:t>
      </w:r>
      <w:r w:rsidRPr="00942FAF">
        <w:br/>
        <w:t>La coherencia se verifica sin jerarquía implícita.</w:t>
      </w:r>
    </w:p>
    <w:p w14:paraId="70DE1571" w14:textId="1FC81051" w:rsidR="00307835" w:rsidRDefault="00942FAF">
      <w:r w:rsidRPr="00942FAF">
        <w:t xml:space="preserve">El </w:t>
      </w:r>
      <w:proofErr w:type="spellStart"/>
      <w:r w:rsidRPr="00942FAF">
        <w:t>Guideline</w:t>
      </w:r>
      <w:proofErr w:type="spellEnd"/>
      <w:r w:rsidRPr="00942FAF">
        <w:t xml:space="preserve"> </w:t>
      </w:r>
      <w:proofErr w:type="spellStart"/>
      <w:r w:rsidRPr="00942FAF">
        <w:t>Package</w:t>
      </w:r>
      <w:proofErr w:type="spellEnd"/>
      <w:r w:rsidRPr="00942FAF">
        <w:t xml:space="preserve"> es la arquitectura estructural que consolida pluralidad científica en un marco gobernado, preparándola para transición operativa sin invadirla.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52B1"/>
    <w:multiLevelType w:val="multilevel"/>
    <w:tmpl w:val="37F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83BBA"/>
    <w:multiLevelType w:val="multilevel"/>
    <w:tmpl w:val="167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5E60"/>
    <w:multiLevelType w:val="multilevel"/>
    <w:tmpl w:val="972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26474"/>
    <w:multiLevelType w:val="multilevel"/>
    <w:tmpl w:val="F54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D3731"/>
    <w:multiLevelType w:val="multilevel"/>
    <w:tmpl w:val="409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10EF6"/>
    <w:multiLevelType w:val="multilevel"/>
    <w:tmpl w:val="465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D34A0"/>
    <w:multiLevelType w:val="multilevel"/>
    <w:tmpl w:val="33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203DF"/>
    <w:multiLevelType w:val="multilevel"/>
    <w:tmpl w:val="88F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B4A27"/>
    <w:multiLevelType w:val="multilevel"/>
    <w:tmpl w:val="DFA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644EF"/>
    <w:multiLevelType w:val="multilevel"/>
    <w:tmpl w:val="A65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4046A"/>
    <w:multiLevelType w:val="multilevel"/>
    <w:tmpl w:val="288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D2779"/>
    <w:multiLevelType w:val="multilevel"/>
    <w:tmpl w:val="118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2E81"/>
    <w:multiLevelType w:val="multilevel"/>
    <w:tmpl w:val="9B8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B6422"/>
    <w:multiLevelType w:val="multilevel"/>
    <w:tmpl w:val="52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D2E26"/>
    <w:multiLevelType w:val="multilevel"/>
    <w:tmpl w:val="426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F56A6"/>
    <w:multiLevelType w:val="multilevel"/>
    <w:tmpl w:val="C9A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566254">
    <w:abstractNumId w:val="7"/>
  </w:num>
  <w:num w:numId="2" w16cid:durableId="1670331583">
    <w:abstractNumId w:val="13"/>
  </w:num>
  <w:num w:numId="3" w16cid:durableId="559680166">
    <w:abstractNumId w:val="2"/>
  </w:num>
  <w:num w:numId="4" w16cid:durableId="982153388">
    <w:abstractNumId w:val="6"/>
  </w:num>
  <w:num w:numId="5" w16cid:durableId="1364746124">
    <w:abstractNumId w:val="3"/>
  </w:num>
  <w:num w:numId="6" w16cid:durableId="2040818223">
    <w:abstractNumId w:val="4"/>
  </w:num>
  <w:num w:numId="7" w16cid:durableId="2014019006">
    <w:abstractNumId w:val="11"/>
  </w:num>
  <w:num w:numId="8" w16cid:durableId="917060239">
    <w:abstractNumId w:val="5"/>
  </w:num>
  <w:num w:numId="9" w16cid:durableId="316223996">
    <w:abstractNumId w:val="8"/>
  </w:num>
  <w:num w:numId="10" w16cid:durableId="419064006">
    <w:abstractNumId w:val="12"/>
  </w:num>
  <w:num w:numId="11" w16cid:durableId="627052038">
    <w:abstractNumId w:val="9"/>
  </w:num>
  <w:num w:numId="12" w16cid:durableId="1441872156">
    <w:abstractNumId w:val="1"/>
  </w:num>
  <w:num w:numId="13" w16cid:durableId="1792626919">
    <w:abstractNumId w:val="0"/>
  </w:num>
  <w:num w:numId="14" w16cid:durableId="636179540">
    <w:abstractNumId w:val="15"/>
  </w:num>
  <w:num w:numId="15" w16cid:durableId="719742758">
    <w:abstractNumId w:val="10"/>
  </w:num>
  <w:num w:numId="16" w16cid:durableId="18446596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88"/>
    <w:rsid w:val="000C55DB"/>
    <w:rsid w:val="001C2B78"/>
    <w:rsid w:val="00214388"/>
    <w:rsid w:val="00307835"/>
    <w:rsid w:val="00942FAF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0162"/>
  <w15:chartTrackingRefBased/>
  <w15:docId w15:val="{6CC90676-2DA2-4DDF-A316-09063E00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4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3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3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3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3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799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2026-02-19T18:28:00Z</dcterms:created>
  <dcterms:modified xsi:type="dcterms:W3CDTF">2026-02-19T18:32:00Z</dcterms:modified>
</cp:coreProperties>
</file>