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92603" w14:textId="77777777" w:rsidR="00176B90" w:rsidRPr="00176B90" w:rsidRDefault="00176B90" w:rsidP="00176B90">
      <w:pPr>
        <w:spacing w:line="360" w:lineRule="auto"/>
        <w:ind w:firstLine="426"/>
        <w:jc w:val="center"/>
        <w:rPr>
          <w:b/>
          <w:bCs/>
        </w:rPr>
      </w:pPr>
      <w:bookmarkStart w:id="0" w:name="_Hlk93405994"/>
      <w:r w:rsidRPr="00176B90">
        <w:rPr>
          <w:b/>
          <w:bCs/>
        </w:rPr>
        <w:t>Reappraising the variability of effects of antipsychotic medication in schizophrenia: a meta-analysis</w:t>
      </w:r>
    </w:p>
    <w:bookmarkEnd w:id="0"/>
    <w:p w14:paraId="5B64002E" w14:textId="77777777" w:rsidR="00176B90" w:rsidRPr="00182D14" w:rsidRDefault="00176B90" w:rsidP="00176B90">
      <w:pPr>
        <w:spacing w:line="360" w:lineRule="auto"/>
        <w:ind w:firstLine="426"/>
        <w:jc w:val="center"/>
        <w:rPr>
          <w:rFonts w:ascii="Arial" w:hAnsi="Arial" w:cs="Arial"/>
          <w:b/>
          <w:bCs/>
          <w:color w:val="000000" w:themeColor="text1"/>
          <w:sz w:val="22"/>
          <w:szCs w:val="22"/>
        </w:rPr>
      </w:pPr>
    </w:p>
    <w:p w14:paraId="74AFBCC5" w14:textId="4E32369F" w:rsidR="00176B90" w:rsidRPr="00176B90" w:rsidRDefault="00176B90" w:rsidP="00176B90">
      <w:pPr>
        <w:spacing w:line="360" w:lineRule="auto"/>
        <w:ind w:firstLine="426"/>
        <w:jc w:val="center"/>
        <w:rPr>
          <w:rFonts w:ascii="Calibri" w:hAnsi="Calibri" w:cs="Calibri"/>
        </w:rPr>
      </w:pPr>
      <w:bookmarkStart w:id="1" w:name="_Hlk91082477"/>
      <w:r w:rsidRPr="00176B90">
        <w:rPr>
          <w:rFonts w:ascii="Calibri" w:hAnsi="Calibri" w:cs="Calibri"/>
        </w:rPr>
        <w:t>Robert A. McCutcheon, Toby Pillinger, Orestis Efthimiou, Marta Maslej, Benoit H. Mulsant, Allan H. Young, Andrea Cipriani, Oliver D. Howes</w:t>
      </w:r>
    </w:p>
    <w:bookmarkEnd w:id="1"/>
    <w:p w14:paraId="066864A0" w14:textId="77777777" w:rsidR="00176B90" w:rsidRDefault="00176B90">
      <w:pPr>
        <w:rPr>
          <w:b/>
          <w:bCs/>
        </w:rPr>
      </w:pPr>
    </w:p>
    <w:p w14:paraId="1FA17A9A" w14:textId="29025F5C" w:rsidR="00176B90" w:rsidRDefault="00176B90">
      <w:pPr>
        <w:rPr>
          <w:b/>
          <w:bCs/>
        </w:rPr>
      </w:pPr>
      <w:r>
        <w:rPr>
          <w:b/>
          <w:bCs/>
        </w:rPr>
        <w:t>World Psychiatry 2022</w:t>
      </w:r>
    </w:p>
    <w:p w14:paraId="5B110883" w14:textId="77777777" w:rsidR="00176B90" w:rsidRDefault="00176B90">
      <w:pPr>
        <w:rPr>
          <w:b/>
          <w:bCs/>
        </w:rPr>
      </w:pPr>
    </w:p>
    <w:p w14:paraId="40B9711A" w14:textId="6DE9063E" w:rsidR="003F598A" w:rsidRDefault="003F598A">
      <w:pPr>
        <w:rPr>
          <w:b/>
          <w:bCs/>
        </w:rPr>
      </w:pPr>
      <w:r>
        <w:rPr>
          <w:b/>
          <w:bCs/>
        </w:rPr>
        <w:t>Supplementary Information</w:t>
      </w:r>
    </w:p>
    <w:p w14:paraId="702EF8FC" w14:textId="59DB7B0B" w:rsidR="003F598A" w:rsidRDefault="003F598A">
      <w:pPr>
        <w:rPr>
          <w:b/>
          <w:bCs/>
        </w:rPr>
      </w:pPr>
    </w:p>
    <w:p w14:paraId="540C2EC2" w14:textId="77777777" w:rsidR="0099410B" w:rsidRDefault="0099410B">
      <w:pPr>
        <w:rPr>
          <w:b/>
          <w:bCs/>
        </w:rPr>
      </w:pPr>
    </w:p>
    <w:p w14:paraId="3A72B99C" w14:textId="4557232C" w:rsidR="003338EF" w:rsidRPr="00BA2DE2" w:rsidRDefault="003338EF" w:rsidP="003338EF">
      <w:pPr>
        <w:spacing w:line="360" w:lineRule="auto"/>
        <w:rPr>
          <w:rFonts w:ascii="Calibri" w:hAnsi="Calibri" w:cs="Calibri"/>
          <w:b/>
          <w:bCs/>
          <w:i/>
          <w:iCs/>
          <w:color w:val="000000" w:themeColor="text1"/>
        </w:rPr>
      </w:pPr>
      <w:r w:rsidRPr="00BA2DE2">
        <w:rPr>
          <w:rFonts w:ascii="Calibri" w:hAnsi="Calibri" w:cs="Calibri"/>
          <w:b/>
          <w:bCs/>
          <w:i/>
          <w:iCs/>
          <w:color w:val="000000" w:themeColor="text1"/>
        </w:rPr>
        <w:t>Overview</w:t>
      </w:r>
    </w:p>
    <w:p w14:paraId="165AF884" w14:textId="081D492E" w:rsidR="003338EF" w:rsidRPr="007B4077" w:rsidRDefault="003338EF" w:rsidP="005B2B60">
      <w:pPr>
        <w:spacing w:line="360" w:lineRule="auto"/>
        <w:jc w:val="both"/>
        <w:rPr>
          <w:rFonts w:ascii="Calibri" w:hAnsi="Calibri" w:cs="Calibri"/>
        </w:rPr>
      </w:pPr>
      <w:r w:rsidRPr="007B4077">
        <w:rPr>
          <w:rFonts w:ascii="Calibri" w:hAnsi="Calibri" w:cs="Calibri"/>
        </w:rPr>
        <w:t xml:space="preserve">We </w:t>
      </w:r>
      <w:r>
        <w:rPr>
          <w:rFonts w:ascii="Calibri" w:hAnsi="Calibri" w:cs="Calibri"/>
        </w:rPr>
        <w:t>searched for studies providing</w:t>
      </w:r>
      <w:r w:rsidRPr="007B4077">
        <w:rPr>
          <w:rFonts w:ascii="Calibri" w:hAnsi="Calibri" w:cs="Calibri"/>
        </w:rPr>
        <w:t xml:space="preserve"> </w:t>
      </w:r>
      <w:r>
        <w:rPr>
          <w:rFonts w:ascii="Calibri" w:hAnsi="Calibri" w:cs="Calibri"/>
        </w:rPr>
        <w:t>IPD</w:t>
      </w:r>
      <w:r w:rsidRPr="007B4077">
        <w:rPr>
          <w:rFonts w:ascii="Calibri" w:hAnsi="Calibri" w:cs="Calibri"/>
        </w:rPr>
        <w:t xml:space="preserve"> from the </w:t>
      </w:r>
      <w:bookmarkStart w:id="2" w:name="_Hlk91067133"/>
      <w:bookmarkStart w:id="3" w:name="_Hlk76110492"/>
      <w:r w:rsidRPr="007B4077">
        <w:rPr>
          <w:rFonts w:ascii="Calibri" w:hAnsi="Calibri" w:cs="Calibri"/>
        </w:rPr>
        <w:t>Yale University Open Data Access (YODA</w:t>
      </w:r>
      <w:bookmarkEnd w:id="2"/>
      <w:r w:rsidRPr="007B4077">
        <w:rPr>
          <w:rFonts w:ascii="Calibri" w:hAnsi="Calibri" w:cs="Calibri"/>
        </w:rPr>
        <w:t>) clinical trials database</w:t>
      </w:r>
      <w:bookmarkStart w:id="4" w:name="_Hlk91067142"/>
      <w:bookmarkEnd w:id="3"/>
      <w:r>
        <w:rPr>
          <w:rFonts w:ascii="Calibri" w:hAnsi="Calibri" w:cs="Calibri"/>
        </w:rPr>
        <w:fldChar w:fldCharType="begin" w:fldLock="1"/>
      </w:r>
      <w:r w:rsidR="001C2ECA">
        <w:rPr>
          <w:rFonts w:ascii="Calibri" w:hAnsi="Calibri" w:cs="Calibri"/>
        </w:rPr>
        <w:instrText>ADDIN CSL_CITATION {"citationItems":[{"id":"ITEM-1","itemData":{"id":"ITEM-1","issued":{"date-parts":[["0"]]},"title":"Yale University Open Data Access (YODA) clinical trials database","type":"webpage"},"uris":["http://www.mendeley.com/documents/?uuid=d5528f7d-310d-49a6-a309-89a399e32a3e","http://www.mendeley.com/documents/?uuid=ef6392dc-008e-4ba6-9f95-4fa25648c03b"]}],"mendeley":{"formattedCitation":"&lt;sup&gt;1&lt;/sup&gt;","plainTextFormattedCitation":"1","previouslyFormattedCitation":"&lt;sup&gt;1&lt;/sup&gt;"},"properties":{"noteIndex":0},"schema":"https://github.com/citation-style-language/schema/raw/master/csl-citation.json"}</w:instrText>
      </w:r>
      <w:r>
        <w:rPr>
          <w:rFonts w:ascii="Calibri" w:hAnsi="Calibri" w:cs="Calibri"/>
        </w:rPr>
        <w:fldChar w:fldCharType="separate"/>
      </w:r>
      <w:r w:rsidR="00312F45" w:rsidRPr="00312F45">
        <w:rPr>
          <w:rFonts w:ascii="Calibri" w:hAnsi="Calibri" w:cs="Calibri"/>
          <w:noProof/>
          <w:vertAlign w:val="superscript"/>
        </w:rPr>
        <w:t>1</w:t>
      </w:r>
      <w:r>
        <w:rPr>
          <w:rFonts w:ascii="Calibri" w:hAnsi="Calibri" w:cs="Calibri"/>
        </w:rPr>
        <w:fldChar w:fldCharType="end"/>
      </w:r>
      <w:bookmarkEnd w:id="4"/>
      <w:r w:rsidRPr="007B4077">
        <w:rPr>
          <w:rFonts w:ascii="Calibri" w:hAnsi="Calibri" w:cs="Calibri"/>
        </w:rPr>
        <w:t xml:space="preserve">. We used this </w:t>
      </w:r>
      <w:r>
        <w:rPr>
          <w:rFonts w:ascii="Calibri" w:hAnsi="Calibri" w:cs="Calibri"/>
        </w:rPr>
        <w:t xml:space="preserve">data </w:t>
      </w:r>
      <w:r w:rsidRPr="007B4077">
        <w:rPr>
          <w:rFonts w:ascii="Calibri" w:hAnsi="Calibri" w:cs="Calibri"/>
        </w:rPr>
        <w:t xml:space="preserve">to </w:t>
      </w:r>
      <w:r>
        <w:rPr>
          <w:rFonts w:ascii="Calibri" w:hAnsi="Calibri" w:cs="Calibri"/>
        </w:rPr>
        <w:t>estimate</w:t>
      </w:r>
      <w:r w:rsidRPr="007B4077">
        <w:rPr>
          <w:rFonts w:ascii="Calibri" w:hAnsi="Calibri" w:cs="Calibri"/>
        </w:rPr>
        <w:t xml:space="preserve"> the correlation between placebo and treatment effects at the individual patient level</w:t>
      </w:r>
      <w:r>
        <w:rPr>
          <w:rFonts w:ascii="Calibri" w:hAnsi="Calibri" w:cs="Calibri"/>
        </w:rPr>
        <w:t>, using two alternative methods</w:t>
      </w:r>
      <w:r w:rsidRPr="007B4077">
        <w:rPr>
          <w:rFonts w:ascii="Calibri" w:hAnsi="Calibri" w:cs="Calibri"/>
        </w:rPr>
        <w:t xml:space="preserve">. </w:t>
      </w:r>
      <w:r w:rsidR="00890B44">
        <w:rPr>
          <w:rFonts w:ascii="Calibri" w:hAnsi="Calibri" w:cs="Calibri"/>
        </w:rPr>
        <w:t xml:space="preserve">The impact this correlation has on the relationship between variability ratios and treatment effect heterogeneity is explained in eFigure1. </w:t>
      </w:r>
      <w:r w:rsidRPr="007B4077">
        <w:rPr>
          <w:rFonts w:ascii="Calibri" w:hAnsi="Calibri" w:cs="Calibri"/>
        </w:rPr>
        <w:t xml:space="preserve">We </w:t>
      </w:r>
      <w:r>
        <w:rPr>
          <w:rFonts w:ascii="Calibri" w:hAnsi="Calibri" w:cs="Calibri"/>
        </w:rPr>
        <w:t>also</w:t>
      </w:r>
      <w:r w:rsidRPr="007B4077">
        <w:rPr>
          <w:rFonts w:ascii="Calibri" w:hAnsi="Calibri" w:cs="Calibri"/>
        </w:rPr>
        <w:t xml:space="preserve"> used </w:t>
      </w:r>
      <w:r>
        <w:rPr>
          <w:rFonts w:ascii="Calibri" w:hAnsi="Calibri" w:cs="Calibri"/>
        </w:rPr>
        <w:t>study</w:t>
      </w:r>
      <w:r w:rsidRPr="007B4077">
        <w:rPr>
          <w:rFonts w:ascii="Calibri" w:hAnsi="Calibri" w:cs="Calibri"/>
        </w:rPr>
        <w:t xml:space="preserve"> level data from a recent meta-analysis of randomised controlled trials to </w:t>
      </w:r>
      <w:r>
        <w:rPr>
          <w:rFonts w:ascii="Calibri" w:hAnsi="Calibri" w:cs="Calibri"/>
        </w:rPr>
        <w:t>estimate</w:t>
      </w:r>
      <w:r w:rsidRPr="007B4077">
        <w:rPr>
          <w:rFonts w:ascii="Calibri" w:hAnsi="Calibri" w:cs="Calibri"/>
        </w:rPr>
        <w:t xml:space="preserve"> the correlation at the </w:t>
      </w:r>
      <w:r>
        <w:rPr>
          <w:rFonts w:ascii="Calibri" w:hAnsi="Calibri" w:cs="Calibri"/>
        </w:rPr>
        <w:t>study</w:t>
      </w:r>
      <w:r w:rsidRPr="007B4077">
        <w:rPr>
          <w:rFonts w:ascii="Calibri" w:hAnsi="Calibri" w:cs="Calibri"/>
        </w:rPr>
        <w:t xml:space="preserve"> level </w:t>
      </w:r>
      <w:r w:rsidRPr="007B4077">
        <w:rPr>
          <w:rFonts w:ascii="Calibri" w:hAnsi="Calibri" w:cs="Calibri"/>
        </w:rPr>
        <w:fldChar w:fldCharType="begin" w:fldLock="1"/>
      </w:r>
      <w:r w:rsidR="001C2ECA">
        <w:rPr>
          <w:rFonts w:ascii="Calibri" w:hAnsi="Calibri" w:cs="Calibri"/>
        </w:rPr>
        <w:instrText>ADDIN CSL_CITATION {"citationItems":[{"id":"ITEM-1","itemData":{"DOI":"10.1038/s41380-019-0502-5","ISBN":"4138001905","ISSN":"14765578","PMID":"31471576","abstract":"The response to antipsychotic treatment in schizophrenia appears to vary, and as such it has been proposed that different subtypes of schizophrenia exist, defined by treatment-response. This has not been formally examined using meta-analysis. Randomised controlled trials comparing placebo and antipsychotics in acute treatment of schizophrenia listed in PubMed, EMBASE and PsycINFO from inception until 30 November 2018 were examined. Relative variability of symptomatic improvement in antipsychotic-treated individuals compared to placebo-treated individuals was quantified using coefficient of variation ratio (CVR). Mean difference in symptom change was quantified using Hedges’ g. In addition, individual patient data from two clinical trials was examined in terms of both the distribution of total symptom change, and the variability of individual symptoms and symptom factors. In total, 11,006 articles were identified. Sixty six met inclusion criteria, reporting on 17,202 patients. Compared with placebo, antipsychotic-treated patients demonstrated greater total symptom improvement (g = 0.47, p &lt; 0.001) and reduced variability in symptomatic improvement for total (CVR = 0.86, p &lt; 0.001), positive (CVR = 0.89, p &lt; 0.001), and negative symptoms (CVR = 0.86, p = 0.001). Lower variability in antipsychotic-response relative to placebo was associated with studies published earlier (z = 3.98, p &lt; 0.001), younger patients (z = 3.07, p = 0.002), higher dose treatments (z = −2.62, p = 0.009), and greater mean-difference in symptom-change (z = −5.70, p &lt; 0.001). In the individual patient dataset (N = 522 patients), antipsychotic treated patients did not show significantly increased variability for any individual symptom, and there was no evidence of a bimodal distribution of response. Compared to placebo, antipsychotic treatment shows greater improvement and lower variability of change in total, positive and negative symptoms. This is contrary to the hypothesis that there is a subtype of antipsychotic non-responsive schizophrenia. Instead our findings, provide evidence for a relatively homogeneous effect of antipsychotic treatment in improving symptoms of schizophrenia.","author":[{"dropping-particle":"","family":"McCutcheon","given":"Robert A.","non-dropping-particle":"","parse-names":false,"suffix":""},{"dropping-particle":"","family":"Pillinger","given":"Toby","non-dropping-particle":"","parse-names":false,"suffix":""},{"dropping-particle":"","family":"Mizuno","given":"Yuya","non-dropping-particle":"","parse-names":false,"suffix":""},{"dropping-particle":"","family":"Montgomery","given":"Adam","non-dropping-particle":"","parse-names":false,"suffix":""},{"dropping-particle":"","family":"Pandian","given":"Haridha","non-dropping-particle":"","parse-names":false,"suffix":""},{"dropping-particle":"","family":"Vano","given":"Luke","non-dropping-particle":"","parse-names":false,"suffix":""},{"dropping-particle":"","family":"Marques","given":"Tiago Reis","non-dropping-particle":"","parse-names":false,"suffix":""},{"dropping-particle":"","family":"Howes","given":"Oliver D.","non-dropping-particle":"","parse-names":false,"suffix":""}],"container-title":"Molecular Psychiatry","id":"ITEM-1","issue":"4","issued":{"date-parts":[["2021"]]},"page":"1310-1320","publisher":"Springer US","title":"The efficacy and heterogeneity of antipsychotic response in schizophrenia: A meta-analysis","type":"article-journal","volume":"26"},"uris":["http://www.mendeley.com/documents/?uuid=881a4cd0-3518-44f5-b6a3-10f14764ecb8"]}],"mendeley":{"formattedCitation":"&lt;sup&gt;2&lt;/sup&gt;","plainTextFormattedCitation":"2","previouslyFormattedCitation":"&lt;sup&gt;2&lt;/sup&gt;"},"properties":{"noteIndex":0},"schema":"https://github.com/citation-style-language/schema/raw/master/csl-citation.json"}</w:instrText>
      </w:r>
      <w:r w:rsidRPr="007B4077">
        <w:rPr>
          <w:rFonts w:ascii="Calibri" w:hAnsi="Calibri" w:cs="Calibri"/>
        </w:rPr>
        <w:fldChar w:fldCharType="separate"/>
      </w:r>
      <w:r w:rsidR="00312F45" w:rsidRPr="00312F45">
        <w:rPr>
          <w:rFonts w:ascii="Calibri" w:hAnsi="Calibri" w:cs="Calibri"/>
          <w:noProof/>
          <w:vertAlign w:val="superscript"/>
        </w:rPr>
        <w:t>2</w:t>
      </w:r>
      <w:r w:rsidRPr="007B4077">
        <w:rPr>
          <w:rFonts w:ascii="Calibri" w:hAnsi="Calibri" w:cs="Calibri"/>
        </w:rPr>
        <w:fldChar w:fldCharType="end"/>
      </w:r>
      <w:r w:rsidRPr="007B4077">
        <w:rPr>
          <w:rFonts w:ascii="Calibri" w:hAnsi="Calibri" w:cs="Calibri"/>
        </w:rPr>
        <w:t>.</w:t>
      </w:r>
      <w:r>
        <w:rPr>
          <w:rFonts w:ascii="Calibri" w:hAnsi="Calibri" w:cs="Calibri"/>
        </w:rPr>
        <w:t xml:space="preserve"> We then used the most conservative of these coefficients to calculate the heterogeneity of treatment effects, using aggregate data from antipsychotic trials of schizophrenia</w:t>
      </w:r>
      <w:r>
        <w:rPr>
          <w:rFonts w:ascii="Calibri" w:hAnsi="Calibri" w:cs="Calibri"/>
        </w:rPr>
        <w:fldChar w:fldCharType="begin" w:fldLock="1"/>
      </w:r>
      <w:r w:rsidR="001C2ECA">
        <w:rPr>
          <w:rFonts w:ascii="Calibri" w:hAnsi="Calibri" w:cs="Calibri"/>
        </w:rPr>
        <w:instrText>ADDIN CSL_CITATION {"citationItems":[{"id":"ITEM-1","itemData":{"DOI":"10.1038/s41380-019-0502-5","ISBN":"4138001905","ISSN":"14765578","PMID":"31471576","abstract":"The response to antipsychotic treatment in schizophrenia appears to vary, and as such it has been proposed that different subtypes of schizophrenia exist, defined by treatment-response. This has not been formally examined using meta-analysis. Randomised controlled trials comparing placebo and antipsychotics in acute treatment of schizophrenia listed in PubMed, EMBASE and PsycINFO from inception until 30 November 2018 were examined. Relative variability of symptomatic improvement in antipsychotic-treated individuals compared to placebo-treated individuals was quantified using coefficient of variation ratio (CVR). Mean difference in symptom change was quantified using Hedges’ g. In addition, individual patient data from two clinical trials was examined in terms of both the distribution of total symptom change, and the variability of individual symptoms and symptom factors. In total, 11,006 articles were identified. Sixty six met inclusion criteria, reporting on 17,202 patients. Compared with placebo, antipsychotic-treated patients demonstrated greater total symptom improvement (g = 0.47, p &lt; 0.001) and reduced variability in symptomatic improvement for total (CVR = 0.86, p &lt; 0.001), positive (CVR = 0.89, p &lt; 0.001), and negative symptoms (CVR = 0.86, p = 0.001). Lower variability in antipsychotic-response relative to placebo was associated with studies published earlier (z = 3.98, p &lt; 0.001), younger patients (z = 3.07, p = 0.002), higher dose treatments (z = −2.62, p = 0.009), and greater mean-difference in symptom-change (z = −5.70, p &lt; 0.001). In the individual patient dataset (N = 522 patients), antipsychotic treated patients did not show significantly increased variability for any individual symptom, and there was no evidence of a bimodal distribution of response. Compared to placebo, antipsychotic treatment shows greater improvement and lower variability of change in total, positive and negative symptoms. This is contrary to the hypothesis that there is a subtype of antipsychotic non-responsive schizophrenia. Instead our findings, provide evidence for a relatively homogeneous effect of antipsychotic treatment in improving symptoms of schizophrenia.","author":[{"dropping-particle":"","family":"McCutcheon","given":"Robert A.","non-dropping-particle":"","parse-names":false,"suffix":""},{"dropping-particle":"","family":"Pillinger","given":"Toby","non-dropping-particle":"","parse-names":false,"suffix":""},{"dropping-particle":"","family":"Mizuno","given":"Yuya","non-dropping-particle":"","parse-names":false,"suffix":""},{"dropping-particle":"","family":"Montgomery","given":"Adam","non-dropping-particle":"","parse-names":false,"suffix":""},{"dropping-particle":"","family":"Pandian","given":"Haridha","non-dropping-particle":"","parse-names":false,"suffix":""},{"dropping-particle":"","family":"Vano","given":"Luke","non-dropping-particle":"","parse-names":false,"suffix":""},{"dropping-particle":"","family":"Marques","given":"Tiago Reis","non-dropping-particle":"","parse-names":false,"suffix":""},{"dropping-particle":"","family":"Howes","given":"Oliver D.","non-dropping-particle":"","parse-names":false,"suffix":""}],"container-title":"Molecular Psychiatry","id":"ITEM-1","issue":"4","issued":{"date-parts":[["2021"]]},"page":"1310-1320","publisher":"Springer US","title":"The efficacy and heterogeneity of antipsychotic response in schizophrenia: A meta-analysis","type":"article-journal","volume":"26"},"uris":["http://www.mendeley.com/documents/?uuid=881a4cd0-3518-44f5-b6a3-10f14764ecb8"]}],"mendeley":{"formattedCitation":"&lt;sup&gt;2&lt;/sup&gt;","plainTextFormattedCitation":"2","previouslyFormattedCitation":"&lt;sup&gt;2&lt;/sup&gt;"},"properties":{"noteIndex":0},"schema":"https://github.com/citation-style-language/schema/raw/master/csl-citation.json"}</w:instrText>
      </w:r>
      <w:r>
        <w:rPr>
          <w:rFonts w:ascii="Calibri" w:hAnsi="Calibri" w:cs="Calibri"/>
        </w:rPr>
        <w:fldChar w:fldCharType="separate"/>
      </w:r>
      <w:r w:rsidR="00312F45" w:rsidRPr="00312F45">
        <w:rPr>
          <w:rFonts w:ascii="Calibri" w:hAnsi="Calibri" w:cs="Calibri"/>
          <w:noProof/>
          <w:vertAlign w:val="superscript"/>
        </w:rPr>
        <w:t>2</w:t>
      </w:r>
      <w:r>
        <w:rPr>
          <w:rFonts w:ascii="Calibri" w:hAnsi="Calibri" w:cs="Calibri"/>
        </w:rPr>
        <w:fldChar w:fldCharType="end"/>
      </w:r>
      <w:r>
        <w:rPr>
          <w:rFonts w:ascii="Calibri" w:hAnsi="Calibri" w:cs="Calibri"/>
        </w:rPr>
        <w:t>. The estimates of treatment effect heterogeneity were then combined meta-analytically.</w:t>
      </w:r>
    </w:p>
    <w:p w14:paraId="09100E46" w14:textId="77777777" w:rsidR="00AF3894" w:rsidRPr="007B4077" w:rsidRDefault="00AF3894" w:rsidP="005B2B60">
      <w:pPr>
        <w:spacing w:line="360" w:lineRule="auto"/>
        <w:jc w:val="both"/>
        <w:rPr>
          <w:rFonts w:ascii="Calibri" w:hAnsi="Calibri" w:cs="Calibri"/>
          <w:i/>
          <w:iCs/>
        </w:rPr>
      </w:pPr>
    </w:p>
    <w:p w14:paraId="65F11E82" w14:textId="3D2A9436" w:rsidR="00AF3894" w:rsidRDefault="00BA2DE2" w:rsidP="005B2B60">
      <w:pPr>
        <w:spacing w:line="360" w:lineRule="auto"/>
        <w:jc w:val="both"/>
        <w:rPr>
          <w:b/>
          <w:bCs/>
          <w:i/>
          <w:iCs/>
        </w:rPr>
      </w:pPr>
      <w:r w:rsidRPr="00BA2DE2">
        <w:rPr>
          <w:b/>
          <w:bCs/>
          <w:i/>
          <w:iCs/>
        </w:rPr>
        <w:t>Statistical Analysis</w:t>
      </w:r>
    </w:p>
    <w:p w14:paraId="6D9FAD47" w14:textId="77777777" w:rsidR="00BA2DE2" w:rsidRPr="007B4077" w:rsidRDefault="00BA2DE2" w:rsidP="005B2B60">
      <w:pPr>
        <w:spacing w:line="360" w:lineRule="auto"/>
        <w:jc w:val="both"/>
        <w:rPr>
          <w:rFonts w:ascii="Calibri" w:hAnsi="Calibri" w:cs="Calibri"/>
        </w:rPr>
      </w:pPr>
      <w:r w:rsidRPr="007B4077">
        <w:rPr>
          <w:rFonts w:ascii="Calibri" w:hAnsi="Calibri" w:cs="Calibri"/>
        </w:rPr>
        <w:t xml:space="preserve">The </w:t>
      </w:r>
      <w:r>
        <w:rPr>
          <w:rFonts w:ascii="Calibri" w:hAnsi="Calibri" w:cs="Calibri"/>
        </w:rPr>
        <w:t xml:space="preserve">average </w:t>
      </w:r>
      <w:r w:rsidRPr="007B4077">
        <w:rPr>
          <w:rFonts w:ascii="Calibri" w:hAnsi="Calibri" w:cs="Calibri"/>
        </w:rPr>
        <w:t>treatment effect</w:t>
      </w:r>
      <w:r>
        <w:rPr>
          <w:rFonts w:ascii="Calibri" w:hAnsi="Calibri" w:cs="Calibri"/>
        </w:rPr>
        <w:t xml:space="preserve"> for a population of interest </w:t>
      </w:r>
      <w:r w:rsidRPr="007B4077">
        <w:rPr>
          <w:rFonts w:ascii="Calibri" w:hAnsi="Calibri" w:cs="Calibri"/>
        </w:rPr>
        <w:t xml:space="preserve">is </w:t>
      </w:r>
      <w:r>
        <w:rPr>
          <w:rFonts w:ascii="Calibri" w:hAnsi="Calibri" w:cs="Calibri"/>
        </w:rPr>
        <w:t xml:space="preserve">defined as </w:t>
      </w:r>
      <w:r w:rsidRPr="007B4077">
        <w:rPr>
          <w:rFonts w:ascii="Calibri" w:hAnsi="Calibri" w:cs="Calibri"/>
        </w:rPr>
        <w:t xml:space="preserve">the difference between the </w:t>
      </w:r>
      <w:r>
        <w:rPr>
          <w:rFonts w:ascii="Calibri" w:hAnsi="Calibri" w:cs="Calibri"/>
        </w:rPr>
        <w:t xml:space="preserve">mean outcome if the whole population received </w:t>
      </w:r>
      <w:r w:rsidRPr="007B4077">
        <w:rPr>
          <w:rFonts w:ascii="Calibri" w:hAnsi="Calibri" w:cs="Calibri"/>
        </w:rPr>
        <w:t xml:space="preserve">placebo </w:t>
      </w:r>
      <w:r>
        <w:rPr>
          <w:rFonts w:ascii="Calibri" w:hAnsi="Calibri" w:cs="Calibri"/>
        </w:rPr>
        <w:t>versus the outcome when receiving</w:t>
      </w:r>
      <w:r w:rsidRPr="007B4077">
        <w:rPr>
          <w:rFonts w:ascii="Calibri" w:hAnsi="Calibri" w:cs="Calibri"/>
        </w:rPr>
        <w:t xml:space="preserve"> the active treatment. This</w:t>
      </w:r>
      <w:r>
        <w:rPr>
          <w:rFonts w:ascii="Calibri" w:hAnsi="Calibri" w:cs="Calibri"/>
        </w:rPr>
        <w:t xml:space="preserve"> can </w:t>
      </w:r>
      <w:r w:rsidRPr="007B4077">
        <w:rPr>
          <w:rFonts w:ascii="Calibri" w:hAnsi="Calibri" w:cs="Calibri"/>
        </w:rPr>
        <w:t xml:space="preserve">be estimated in </w:t>
      </w:r>
      <w:r>
        <w:rPr>
          <w:rFonts w:ascii="Calibri" w:hAnsi="Calibri" w:cs="Calibri"/>
        </w:rPr>
        <w:t>RCTs</w:t>
      </w:r>
      <w:r w:rsidRPr="007B4077">
        <w:rPr>
          <w:rFonts w:ascii="Calibri" w:hAnsi="Calibri" w:cs="Calibri"/>
        </w:rPr>
        <w:t xml:space="preserve"> (Figure 1). The treatment effect at the individual level cannot be </w:t>
      </w:r>
      <w:r>
        <w:rPr>
          <w:rFonts w:ascii="Calibri" w:hAnsi="Calibri" w:cs="Calibri"/>
        </w:rPr>
        <w:t>estimated as easily</w:t>
      </w:r>
      <w:r w:rsidRPr="007B4077">
        <w:rPr>
          <w:rFonts w:ascii="Calibri" w:hAnsi="Calibri" w:cs="Calibri"/>
        </w:rPr>
        <w:t xml:space="preserve"> as it refers to</w:t>
      </w:r>
      <w:r>
        <w:rPr>
          <w:rFonts w:ascii="Calibri" w:hAnsi="Calibri" w:cs="Calibri"/>
        </w:rPr>
        <w:t xml:space="preserve"> the</w:t>
      </w:r>
      <w:r w:rsidRPr="007B4077">
        <w:rPr>
          <w:rFonts w:ascii="Calibri" w:hAnsi="Calibri" w:cs="Calibri"/>
        </w:rPr>
        <w:t xml:space="preserve"> difference between</w:t>
      </w:r>
      <w:r>
        <w:rPr>
          <w:rFonts w:ascii="Calibri" w:hAnsi="Calibri" w:cs="Calibri"/>
        </w:rPr>
        <w:t xml:space="preserve"> outcome under</w:t>
      </w:r>
      <w:r w:rsidRPr="007B4077">
        <w:rPr>
          <w:rFonts w:ascii="Calibri" w:hAnsi="Calibri" w:cs="Calibri"/>
        </w:rPr>
        <w:t xml:space="preserve"> placebo and </w:t>
      </w:r>
      <w:r>
        <w:rPr>
          <w:rFonts w:ascii="Calibri" w:hAnsi="Calibri" w:cs="Calibri"/>
        </w:rPr>
        <w:t xml:space="preserve">outcome under </w:t>
      </w:r>
      <w:r w:rsidRPr="007B4077">
        <w:rPr>
          <w:rFonts w:ascii="Calibri" w:hAnsi="Calibri" w:cs="Calibri"/>
        </w:rPr>
        <w:t xml:space="preserve">active treatment </w:t>
      </w:r>
      <w:r>
        <w:rPr>
          <w:rFonts w:ascii="Calibri" w:hAnsi="Calibri" w:cs="Calibri"/>
        </w:rPr>
        <w:t>for the same patient with all</w:t>
      </w:r>
      <w:r w:rsidRPr="007B4077">
        <w:rPr>
          <w:rFonts w:ascii="Calibri" w:hAnsi="Calibri" w:cs="Calibri"/>
        </w:rPr>
        <w:t xml:space="preserve"> other factors (including the moment in time) </w:t>
      </w:r>
      <w:r>
        <w:rPr>
          <w:rFonts w:ascii="Calibri" w:hAnsi="Calibri" w:cs="Calibri"/>
        </w:rPr>
        <w:t xml:space="preserve">being </w:t>
      </w:r>
      <w:r w:rsidRPr="007B4077">
        <w:rPr>
          <w:rFonts w:ascii="Calibri" w:hAnsi="Calibri" w:cs="Calibri"/>
        </w:rPr>
        <w:t xml:space="preserve">identical. It is, however, </w:t>
      </w:r>
      <w:r>
        <w:rPr>
          <w:rFonts w:ascii="Calibri" w:hAnsi="Calibri" w:cs="Calibri"/>
        </w:rPr>
        <w:t xml:space="preserve">under certain assumptions, </w:t>
      </w:r>
      <w:r w:rsidRPr="007B4077">
        <w:rPr>
          <w:rFonts w:ascii="Calibri" w:hAnsi="Calibri" w:cs="Calibri"/>
        </w:rPr>
        <w:t xml:space="preserve">possible to estimate a treatment effect </w:t>
      </w:r>
      <w:r>
        <w:rPr>
          <w:rFonts w:ascii="Calibri" w:hAnsi="Calibri" w:cs="Calibri"/>
        </w:rPr>
        <w:t>for</w:t>
      </w:r>
      <w:r w:rsidRPr="007B4077">
        <w:rPr>
          <w:rFonts w:ascii="Calibri" w:hAnsi="Calibri" w:cs="Calibri"/>
        </w:rPr>
        <w:t xml:space="preserve"> an individual</w:t>
      </w:r>
      <w:r>
        <w:rPr>
          <w:rFonts w:ascii="Calibri" w:hAnsi="Calibri" w:cs="Calibri"/>
        </w:rPr>
        <w:t>. We performed this using two separate methods, which rest upon different assumptions.</w:t>
      </w:r>
      <w:r w:rsidRPr="007B4077">
        <w:rPr>
          <w:rFonts w:ascii="Calibri" w:hAnsi="Calibri" w:cs="Calibri"/>
        </w:rPr>
        <w:t xml:space="preserve"> </w:t>
      </w:r>
      <w:r>
        <w:rPr>
          <w:rFonts w:ascii="Calibri" w:hAnsi="Calibri" w:cs="Calibri"/>
        </w:rPr>
        <w:t xml:space="preserve"> </w:t>
      </w:r>
    </w:p>
    <w:p w14:paraId="2584AAF8" w14:textId="776653EA" w:rsidR="00BA2DE2" w:rsidRDefault="00BA2DE2" w:rsidP="005B2B60">
      <w:pPr>
        <w:spacing w:line="360" w:lineRule="auto"/>
        <w:jc w:val="both"/>
        <w:rPr>
          <w:b/>
          <w:bCs/>
          <w:i/>
          <w:iCs/>
        </w:rPr>
      </w:pPr>
    </w:p>
    <w:p w14:paraId="2BAE3643" w14:textId="556484BA" w:rsidR="00176B90" w:rsidRDefault="00176B90" w:rsidP="005B2B60">
      <w:pPr>
        <w:spacing w:line="360" w:lineRule="auto"/>
        <w:jc w:val="both"/>
        <w:rPr>
          <w:b/>
          <w:bCs/>
          <w:i/>
          <w:iCs/>
        </w:rPr>
      </w:pPr>
    </w:p>
    <w:p w14:paraId="0C44ABFD" w14:textId="77777777" w:rsidR="00176B90" w:rsidRPr="00BA2DE2" w:rsidRDefault="00176B90" w:rsidP="005B2B60">
      <w:pPr>
        <w:spacing w:line="360" w:lineRule="auto"/>
        <w:jc w:val="both"/>
        <w:rPr>
          <w:b/>
          <w:bCs/>
          <w:i/>
          <w:iCs/>
        </w:rPr>
      </w:pPr>
    </w:p>
    <w:p w14:paraId="5238BA5D" w14:textId="1B6A8F1C" w:rsidR="009138B4" w:rsidRDefault="008F78B9" w:rsidP="005B2B60">
      <w:pPr>
        <w:spacing w:line="360" w:lineRule="auto"/>
        <w:jc w:val="both"/>
        <w:rPr>
          <w:i/>
          <w:iCs/>
        </w:rPr>
      </w:pPr>
      <w:r>
        <w:rPr>
          <w:i/>
          <w:iCs/>
        </w:rPr>
        <w:lastRenderedPageBreak/>
        <w:t>Open label method</w:t>
      </w:r>
    </w:p>
    <w:p w14:paraId="6200DEF1" w14:textId="5FA062D3" w:rsidR="00AF3894" w:rsidRDefault="00AF3894" w:rsidP="005B2B60">
      <w:pPr>
        <w:spacing w:line="360" w:lineRule="auto"/>
        <w:jc w:val="both"/>
        <w:rPr>
          <w:rFonts w:ascii="Calibri" w:hAnsi="Calibri" w:cs="Calibri"/>
        </w:rPr>
      </w:pPr>
      <w:r>
        <w:rPr>
          <w:rFonts w:ascii="Calibri" w:hAnsi="Calibri" w:cs="Calibri"/>
        </w:rPr>
        <w:t>The ‘open label method’ made use of one study from the YODA database, in which, for patients randomised to placebo, symptomatic change data was available for the same individual receiving both placebo and then active treatment.  The p</w:t>
      </w:r>
      <w:r w:rsidRPr="007B4077">
        <w:rPr>
          <w:rFonts w:ascii="Calibri" w:hAnsi="Calibri" w:cs="Calibri"/>
        </w:rPr>
        <w:t xml:space="preserve">lacebo </w:t>
      </w:r>
      <w:r>
        <w:rPr>
          <w:rFonts w:ascii="Calibri" w:hAnsi="Calibri" w:cs="Calibri"/>
        </w:rPr>
        <w:t xml:space="preserve">response </w:t>
      </w:r>
      <w:r w:rsidRPr="007B4077">
        <w:rPr>
          <w:rFonts w:ascii="Calibri" w:hAnsi="Calibri" w:cs="Calibri"/>
        </w:rPr>
        <w:t xml:space="preserve">for individuals randomised to the placebo arm during the double-blind period, was quantified as the change in </w:t>
      </w:r>
      <w:r>
        <w:rPr>
          <w:rFonts w:ascii="Calibri" w:hAnsi="Calibri" w:cs="Calibri"/>
        </w:rPr>
        <w:t>PANSS score</w:t>
      </w:r>
      <w:r w:rsidRPr="007B4077">
        <w:rPr>
          <w:rFonts w:ascii="Calibri" w:hAnsi="Calibri" w:cs="Calibri"/>
        </w:rPr>
        <w:t>, between the start of the double-blind period and the point at which that individual left the double-blind portion of the trial.</w:t>
      </w:r>
      <w:r>
        <w:rPr>
          <w:rFonts w:ascii="Calibri" w:hAnsi="Calibri" w:cs="Calibri"/>
        </w:rPr>
        <w:t xml:space="preserve"> </w:t>
      </w:r>
      <w:r w:rsidRPr="007B4077">
        <w:rPr>
          <w:rFonts w:ascii="Calibri" w:hAnsi="Calibri" w:cs="Calibri"/>
        </w:rPr>
        <w:t>The estimated treatment effect was calculated as the change in symptom</w:t>
      </w:r>
      <w:r>
        <w:rPr>
          <w:rFonts w:ascii="Calibri" w:hAnsi="Calibri" w:cs="Calibri"/>
        </w:rPr>
        <w:t xml:space="preserve"> severity</w:t>
      </w:r>
      <w:r w:rsidRPr="007B4077">
        <w:rPr>
          <w:rFonts w:ascii="Calibri" w:hAnsi="Calibri" w:cs="Calibri"/>
        </w:rPr>
        <w:t xml:space="preserve"> from the end of the double-blind period</w:t>
      </w:r>
      <w:r>
        <w:rPr>
          <w:rFonts w:ascii="Calibri" w:hAnsi="Calibri" w:cs="Calibri"/>
        </w:rPr>
        <w:t xml:space="preserve"> (during which the individual was receiving placebo)</w:t>
      </w:r>
      <w:r w:rsidRPr="007B4077">
        <w:rPr>
          <w:rFonts w:ascii="Calibri" w:hAnsi="Calibri" w:cs="Calibri"/>
        </w:rPr>
        <w:t xml:space="preserve"> up until </w:t>
      </w:r>
      <w:r>
        <w:rPr>
          <w:rFonts w:ascii="Calibri" w:hAnsi="Calibri" w:cs="Calibri"/>
        </w:rPr>
        <w:t>the</w:t>
      </w:r>
      <w:r w:rsidRPr="007B4077">
        <w:rPr>
          <w:rFonts w:ascii="Calibri" w:hAnsi="Calibri" w:cs="Calibri"/>
        </w:rPr>
        <w:t xml:space="preserve"> timepoint that maximised the similarity between time spent in double</w:t>
      </w:r>
      <w:r>
        <w:rPr>
          <w:rFonts w:ascii="Calibri" w:hAnsi="Calibri" w:cs="Calibri"/>
        </w:rPr>
        <w:t>-</w:t>
      </w:r>
      <w:r w:rsidRPr="007B4077">
        <w:rPr>
          <w:rFonts w:ascii="Calibri" w:hAnsi="Calibri" w:cs="Calibri"/>
        </w:rPr>
        <w:t>blind and open</w:t>
      </w:r>
      <w:r>
        <w:rPr>
          <w:rFonts w:ascii="Calibri" w:hAnsi="Calibri" w:cs="Calibri"/>
        </w:rPr>
        <w:t>-</w:t>
      </w:r>
      <w:r w:rsidRPr="007B4077">
        <w:rPr>
          <w:rFonts w:ascii="Calibri" w:hAnsi="Calibri" w:cs="Calibri"/>
        </w:rPr>
        <w:t>label periods of the study</w:t>
      </w:r>
    </w:p>
    <w:p w14:paraId="574F77E0" w14:textId="77777777" w:rsidR="00AF3894" w:rsidRPr="008F78B9" w:rsidRDefault="00AF3894" w:rsidP="005B2B60">
      <w:pPr>
        <w:spacing w:line="360" w:lineRule="auto"/>
        <w:jc w:val="both"/>
        <w:rPr>
          <w:i/>
          <w:iCs/>
        </w:rPr>
      </w:pPr>
    </w:p>
    <w:p w14:paraId="2E62A1A9" w14:textId="01DB247D" w:rsidR="008F78B9" w:rsidRDefault="008F78B9" w:rsidP="005B2B60">
      <w:pPr>
        <w:spacing w:line="360" w:lineRule="auto"/>
        <w:jc w:val="both"/>
        <w:rPr>
          <w:rFonts w:ascii="Calibri" w:hAnsi="Calibri" w:cs="Calibri"/>
        </w:rPr>
      </w:pPr>
      <w:bookmarkStart w:id="5" w:name="_Hlk93309084"/>
      <w:r>
        <w:rPr>
          <w:rFonts w:ascii="Calibri" w:hAnsi="Calibri" w:cs="Calibri"/>
        </w:rPr>
        <w:t>This method relies on the assumption that the PANSS score we would observe</w:t>
      </w:r>
      <w:r w:rsidRPr="00B3287D">
        <w:rPr>
          <w:rFonts w:ascii="Calibri" w:hAnsi="Calibri" w:cs="Calibri"/>
        </w:rPr>
        <w:t xml:space="preserve"> </w:t>
      </w:r>
      <w:r>
        <w:rPr>
          <w:rFonts w:ascii="Calibri" w:hAnsi="Calibri" w:cs="Calibri"/>
        </w:rPr>
        <w:t xml:space="preserve">if we could follow-up this patient under drug in the double-blind period (dashed line in </w:t>
      </w:r>
      <w:r w:rsidR="009B419F">
        <w:rPr>
          <w:rFonts w:ascii="Calibri" w:hAnsi="Calibri" w:cs="Calibri"/>
        </w:rPr>
        <w:t>e</w:t>
      </w:r>
      <w:r w:rsidR="00176B90">
        <w:rPr>
          <w:rFonts w:ascii="Calibri" w:hAnsi="Calibri" w:cs="Calibri"/>
        </w:rPr>
        <w:t>Figure 1A</w:t>
      </w:r>
      <w:r>
        <w:rPr>
          <w:rFonts w:ascii="Calibri" w:hAnsi="Calibri" w:cs="Calibri"/>
          <w:lang w:val="en-US"/>
        </w:rPr>
        <w:t>; this is</w:t>
      </w:r>
      <w:r>
        <w:rPr>
          <w:rFonts w:ascii="Calibri" w:hAnsi="Calibri" w:cs="Calibri"/>
        </w:rPr>
        <w:t xml:space="preserve"> unobservable) equals the score we </w:t>
      </w:r>
      <w:proofErr w:type="gramStart"/>
      <w:r>
        <w:rPr>
          <w:rFonts w:ascii="Calibri" w:hAnsi="Calibri" w:cs="Calibri"/>
        </w:rPr>
        <w:t>actually observe</w:t>
      </w:r>
      <w:proofErr w:type="gramEnd"/>
      <w:r>
        <w:rPr>
          <w:rFonts w:ascii="Calibri" w:hAnsi="Calibri" w:cs="Calibri"/>
        </w:rPr>
        <w:t xml:space="preserve"> at the end of an-open label period of equal duration.</w:t>
      </w:r>
    </w:p>
    <w:bookmarkEnd w:id="5"/>
    <w:p w14:paraId="0836E4B4" w14:textId="3CF0885C" w:rsidR="008F78B9" w:rsidRDefault="008F78B9" w:rsidP="005B2B60">
      <w:pPr>
        <w:spacing w:line="360" w:lineRule="auto"/>
        <w:jc w:val="both"/>
        <w:rPr>
          <w:rFonts w:ascii="Calibri" w:hAnsi="Calibri" w:cs="Calibri"/>
        </w:rPr>
      </w:pPr>
    </w:p>
    <w:p w14:paraId="72AC0963" w14:textId="2EE38FEF" w:rsidR="008F78B9" w:rsidRDefault="008F78B9" w:rsidP="005B2B60">
      <w:pPr>
        <w:spacing w:line="360" w:lineRule="auto"/>
        <w:jc w:val="both"/>
        <w:rPr>
          <w:rFonts w:ascii="Calibri" w:hAnsi="Calibri" w:cs="Calibri"/>
          <w:i/>
          <w:iCs/>
        </w:rPr>
      </w:pPr>
      <w:r w:rsidRPr="008F78B9">
        <w:rPr>
          <w:rFonts w:ascii="Calibri" w:hAnsi="Calibri" w:cs="Calibri"/>
          <w:i/>
          <w:iCs/>
        </w:rPr>
        <w:t>Linear model method</w:t>
      </w:r>
    </w:p>
    <w:p w14:paraId="6B158E13" w14:textId="0CB3EC0A" w:rsidR="008F78B9" w:rsidRDefault="008F78B9" w:rsidP="005B2B60">
      <w:pPr>
        <w:spacing w:line="360" w:lineRule="auto"/>
        <w:jc w:val="both"/>
        <w:rPr>
          <w:rFonts w:ascii="Calibri" w:hAnsi="Calibri" w:cs="Calibri"/>
        </w:rPr>
      </w:pPr>
      <w:bookmarkStart w:id="6" w:name="_Hlk93309339"/>
      <w:r>
        <w:rPr>
          <w:rFonts w:ascii="Calibri" w:hAnsi="Calibri" w:cs="Calibri"/>
        </w:rPr>
        <w:t>This method makes the usual assumption of linearity and additivity of the effects of the covariates and treatment on the outcome.</w:t>
      </w:r>
    </w:p>
    <w:bookmarkEnd w:id="6"/>
    <w:p w14:paraId="6D72F9AC" w14:textId="6EE1249B" w:rsidR="00BA2DE2" w:rsidRDefault="00BA2DE2" w:rsidP="008F78B9">
      <w:pPr>
        <w:spacing w:line="360" w:lineRule="auto"/>
        <w:rPr>
          <w:rFonts w:ascii="Calibri" w:hAnsi="Calibri" w:cs="Calibri"/>
        </w:rPr>
      </w:pPr>
    </w:p>
    <w:p w14:paraId="5FBDB158" w14:textId="77777777" w:rsidR="00BA2DE2" w:rsidRPr="00A55E0F" w:rsidRDefault="00BA2DE2" w:rsidP="00BA2DE2">
      <w:pPr>
        <w:spacing w:line="360" w:lineRule="auto"/>
      </w:pPr>
      <w:r>
        <w:t>We fit a linear model of the following form in the IPD from the RCT:</w:t>
      </w:r>
    </w:p>
    <w:p w14:paraId="0B4975FB" w14:textId="77777777" w:rsidR="00BA2DE2" w:rsidRPr="007431F2" w:rsidRDefault="00BA2DE2" w:rsidP="00BA2DE2">
      <w:pPr>
        <w:spacing w:line="360" w:lineRule="auto"/>
        <w:rPr>
          <w:rFonts w:ascii="Courier" w:hAnsi="Courier"/>
        </w:rPr>
      </w:pPr>
    </w:p>
    <w:p w14:paraId="1C3FDF13" w14:textId="77777777" w:rsidR="00BA2DE2" w:rsidRPr="007431F2" w:rsidRDefault="00890F63" w:rsidP="00BA2DE2">
      <w:pPr>
        <w:spacing w:line="360" w:lineRule="auto"/>
        <w:rPr>
          <w:rFonts w:eastAsiaTheme="minorEastAsia"/>
          <w:i/>
          <w:lang w:val="en-US"/>
        </w:rPr>
      </w:pPr>
      <m:oMathPara>
        <m:oMathParaPr>
          <m:jc m:val="center"/>
        </m:oMathParaP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T,i</m:t>
              </m:r>
            </m:sub>
          </m:sSub>
          <m:r>
            <w:rPr>
              <w:rFonts w:ascii="Cambria Math" w:hAnsi="Cambria Math"/>
              <w:lang w:val="el-GR"/>
            </w:rPr>
            <m:t>=α+</m:t>
          </m:r>
          <w:bookmarkStart w:id="7" w:name="_Hlk81470751"/>
          <m:sSub>
            <m:sSubPr>
              <m:ctrlPr>
                <w:rPr>
                  <w:rFonts w:ascii="Cambria Math" w:hAnsi="Cambria Math"/>
                  <w:i/>
                  <w:lang w:val="el-GR"/>
                </w:rPr>
              </m:ctrlPr>
            </m:sSubPr>
            <m:e>
              <m:r>
                <w:rPr>
                  <w:rFonts w:ascii="Cambria Math" w:hAnsi="Cambria Math"/>
                  <w:lang w:val="el-GR"/>
                </w:rPr>
                <m:t>β</m:t>
              </m:r>
            </m:e>
            <m:sub>
              <m:r>
                <w:rPr>
                  <w:rFonts w:ascii="Cambria Math" w:hAnsi="Cambria Math"/>
                  <w:lang w:val="el-GR"/>
                </w:rPr>
                <m:t>s</m:t>
              </m:r>
              <m:r>
                <w:rPr>
                  <w:rFonts w:ascii="Cambria Math" w:hAnsi="Cambria Math"/>
                  <w:lang w:val="en-US"/>
                </w:rPr>
                <m:t>ex</m:t>
              </m:r>
            </m:sub>
          </m:sSub>
          <m:r>
            <w:rPr>
              <w:rFonts w:ascii="Cambria Math" w:hAnsi="Cambria Math"/>
              <w:lang w:val="el-GR"/>
            </w:rPr>
            <m:t xml:space="preserve"> </m:t>
          </m:r>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w:bookmarkEnd w:id="7"/>
          <m:r>
            <w:rPr>
              <w:rFonts w:ascii="Cambria Math" w:hAnsi="Cambria Math"/>
              <w:lang w:val="en-US"/>
            </w:rPr>
            <m:t>+</m:t>
          </m:r>
          <w:bookmarkStart w:id="8" w:name="_Hlk81470858"/>
          <m:sSub>
            <m:sSubPr>
              <m:ctrlPr>
                <w:rPr>
                  <w:rFonts w:ascii="Cambria Math" w:hAnsi="Cambria Math"/>
                  <w:i/>
                  <w:lang w:val="el-GR"/>
                </w:rPr>
              </m:ctrlPr>
            </m:sSubPr>
            <m:e>
              <m:r>
                <w:rPr>
                  <w:rFonts w:ascii="Cambria Math" w:hAnsi="Cambria Math"/>
                  <w:lang w:val="el-GR"/>
                </w:rPr>
                <m:t>β</m:t>
              </m:r>
            </m:e>
            <m:sub>
              <m:r>
                <w:rPr>
                  <w:rFonts w:ascii="Cambria Math" w:hAnsi="Cambria Math"/>
                  <w:lang w:val="el-GR"/>
                </w:rPr>
                <m:t>age</m:t>
              </m:r>
            </m:sub>
          </m:sSub>
          <m:r>
            <w:rPr>
              <w:rFonts w:ascii="Cambria Math" w:hAnsi="Cambria Math"/>
              <w:lang w:val="el-GR"/>
            </w:rPr>
            <m:t xml:space="preserve"> </m:t>
          </m:r>
          <m:r>
            <w:rPr>
              <w:rFonts w:ascii="Cambria Math" w:hAnsi="Cambria Math"/>
              <w:lang w:val="en-US"/>
            </w:rPr>
            <m:t>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w:bookmarkEnd w:id="8"/>
          <m:r>
            <w:rPr>
              <w:rFonts w:ascii="Cambria Math" w:hAnsi="Cambria Math"/>
              <w:lang w:val="en-US"/>
            </w:rPr>
            <m:t>+</m:t>
          </m:r>
          <m:sSub>
            <m:sSubPr>
              <m:ctrlPr>
                <w:rPr>
                  <w:rFonts w:ascii="Cambria Math" w:hAnsi="Cambria Math"/>
                  <w:i/>
                  <w:lang w:val="el-GR"/>
                </w:rPr>
              </m:ctrlPr>
            </m:sSubPr>
            <m:e>
              <m:r>
                <w:rPr>
                  <w:rFonts w:ascii="Cambria Math" w:hAnsi="Cambria Math"/>
                  <w:lang w:val="el-GR"/>
                </w:rPr>
                <m:t>β</m:t>
              </m:r>
            </m:e>
            <m:sub>
              <m:r>
                <w:rPr>
                  <w:rFonts w:ascii="Cambria Math" w:hAnsi="Cambria Math"/>
                  <w:lang w:val="el-GR"/>
                </w:rPr>
                <m:t>base</m:t>
              </m:r>
            </m:sub>
          </m:sSub>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0,i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l-GR"/>
                    </w:rPr>
                  </m:ctrlPr>
                </m:sSubPr>
                <m:e>
                  <w:bookmarkStart w:id="9" w:name="_Hlk81470871"/>
                  <m:r>
                    <w:rPr>
                      <w:rFonts w:ascii="Cambria Math" w:hAnsi="Cambria Math"/>
                      <w:lang w:val="el-GR"/>
                    </w:rPr>
                    <m:t>γ</m:t>
                  </m:r>
                  <w:bookmarkEnd w:id="9"/>
                </m:e>
                <m:sub>
                  <m:r>
                    <w:rPr>
                      <w:rFonts w:ascii="Cambria Math" w:hAnsi="Cambria Math"/>
                      <w:lang w:val="el-GR"/>
                    </w:rPr>
                    <m:t>s</m:t>
                  </m:r>
                  <m:r>
                    <w:rPr>
                      <w:rFonts w:ascii="Cambria Math" w:hAnsi="Cambria Math"/>
                      <w:lang w:val="en-US"/>
                    </w:rPr>
                    <m:t>ex</m:t>
                  </m:r>
                </m:sub>
              </m:sSub>
              <m:r>
                <w:rPr>
                  <w:rFonts w:ascii="Cambria Math" w:hAnsi="Cambria Math"/>
                  <w:lang w:val="el-GR"/>
                </w:rPr>
                <m:t xml:space="preserve"> </m:t>
              </m:r>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w:bookmarkStart w:id="10" w:name="_Hlk81470881"/>
              <m:sSub>
                <m:sSubPr>
                  <m:ctrlPr>
                    <w:rPr>
                      <w:rFonts w:ascii="Cambria Math" w:hAnsi="Cambria Math"/>
                      <w:i/>
                      <w:lang w:val="el-GR"/>
                    </w:rPr>
                  </m:ctrlPr>
                </m:sSubPr>
                <m:e>
                  <m:r>
                    <w:rPr>
                      <w:rFonts w:ascii="Cambria Math" w:hAnsi="Cambria Math"/>
                      <w:lang w:val="el-GR"/>
                    </w:rPr>
                    <m:t>γ</m:t>
                  </m:r>
                </m:e>
                <m:sub>
                  <m:r>
                    <w:rPr>
                      <w:rFonts w:ascii="Cambria Math" w:hAnsi="Cambria Math"/>
                      <w:lang w:val="el-GR"/>
                    </w:rPr>
                    <m:t>age</m:t>
                  </m:r>
                </m:sub>
              </m:sSub>
              <m:r>
                <w:rPr>
                  <w:rFonts w:ascii="Cambria Math" w:hAnsi="Cambria Math"/>
                  <w:lang w:val="el-GR"/>
                </w:rPr>
                <m:t xml:space="preserve"> </m:t>
              </m:r>
              <m:r>
                <w:rPr>
                  <w:rFonts w:ascii="Cambria Math" w:hAnsi="Cambria Math"/>
                  <w:lang w:val="en-US"/>
                </w:rPr>
                <m:t>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w:bookmarkEnd w:id="10"/>
              <m:r>
                <w:rPr>
                  <w:rFonts w:ascii="Cambria Math" w:hAnsi="Cambria Math"/>
                  <w:lang w:val="en-US"/>
                </w:rPr>
                <m:t>+</m:t>
              </m:r>
              <m:sSub>
                <m:sSubPr>
                  <m:ctrlPr>
                    <w:rPr>
                      <w:rFonts w:ascii="Cambria Math" w:hAnsi="Cambria Math"/>
                      <w:i/>
                      <w:lang w:val="el-GR"/>
                    </w:rPr>
                  </m:ctrlPr>
                </m:sSubPr>
                <m:e>
                  <m:r>
                    <w:rPr>
                      <w:rFonts w:ascii="Cambria Math" w:hAnsi="Cambria Math"/>
                      <w:lang w:val="el-GR"/>
                    </w:rPr>
                    <m:t>γ</m:t>
                  </m:r>
                </m:e>
                <m:sub>
                  <m:r>
                    <w:rPr>
                      <w:rFonts w:ascii="Cambria Math" w:hAnsi="Cambria Math"/>
                      <w:lang w:val="el-GR"/>
                    </w:rPr>
                    <m:t>base</m:t>
                  </m:r>
                </m:sub>
              </m:sSub>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0,i</m:t>
                  </m:r>
                </m:sub>
              </m:sSub>
            </m:e>
          </m:d>
          <m:r>
            <w:rPr>
              <w:rFonts w:ascii="Cambria Math" w:hAnsi="Cambria Math"/>
              <w:lang w:val="en-US"/>
            </w:rPr>
            <m:t xml:space="preserve"> trea</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r>
            <w:rPr>
              <w:rFonts w:ascii="Cambria Math" w:hAnsi="Cambria Math"/>
              <w:lang w:val="el-GR"/>
            </w:rPr>
            <m:t xml:space="preserve">δ </m:t>
          </m:r>
          <m:r>
            <w:rPr>
              <w:rFonts w:ascii="Cambria Math" w:hAnsi="Cambria Math"/>
              <w:lang w:val="en-US"/>
            </w:rPr>
            <m:t>trea</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m:oMathPara>
    </w:p>
    <w:p w14:paraId="595D9AEA" w14:textId="77777777" w:rsidR="00BA2DE2" w:rsidRPr="007431F2" w:rsidRDefault="00890F63" w:rsidP="00BA2DE2">
      <w:pPr>
        <w:spacing w:line="360" w:lineRule="auto"/>
        <w:rPr>
          <w:i/>
          <w:lang w:val="el-GR"/>
        </w:rPr>
      </w:pPr>
      <m:oMathPara>
        <m:oMathParaPr>
          <m:jc m:val="center"/>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 xml:space="preserve">~N(0, </m:t>
          </m:r>
          <m:sSup>
            <m:sSupPr>
              <m:ctrlPr>
                <w:rPr>
                  <w:rFonts w:ascii="Cambria Math" w:hAnsi="Cambria Math"/>
                  <w:i/>
                  <w:lang w:val="el-GR"/>
                </w:rPr>
              </m:ctrlPr>
            </m:sSupPr>
            <m:e>
              <m:r>
                <w:rPr>
                  <w:rFonts w:ascii="Cambria Math" w:hAnsi="Cambria Math"/>
                  <w:lang w:val="de-CH"/>
                </w:rPr>
                <m:t>s</m:t>
              </m:r>
              <m:ctrlPr>
                <w:rPr>
                  <w:rFonts w:ascii="Cambria Math" w:hAnsi="Cambria Math"/>
                  <w:i/>
                  <w:lang w:val="en-US"/>
                </w:rPr>
              </m:ctrlPr>
            </m:e>
            <m:sup>
              <m:r>
                <w:rPr>
                  <w:rFonts w:ascii="Cambria Math" w:hAnsi="Cambria Math"/>
                  <w:lang w:val="el-GR"/>
                </w:rPr>
                <m:t>2</m:t>
              </m:r>
            </m:sup>
          </m:sSup>
          <m:r>
            <w:rPr>
              <w:rFonts w:ascii="Cambria Math" w:hAnsi="Cambria Math"/>
              <w:lang w:val="el-GR"/>
            </w:rPr>
            <m:t>)</m:t>
          </m:r>
        </m:oMath>
      </m:oMathPara>
    </w:p>
    <w:p w14:paraId="770CF9FE" w14:textId="77777777" w:rsidR="00BA2DE2" w:rsidRDefault="00BA2DE2" w:rsidP="00BA2DE2">
      <w:pPr>
        <w:spacing w:line="360" w:lineRule="auto"/>
      </w:pPr>
    </w:p>
    <w:p w14:paraId="47DF7032" w14:textId="77777777" w:rsidR="00BA2DE2" w:rsidRDefault="00BA2DE2" w:rsidP="005B2B60">
      <w:pPr>
        <w:spacing w:line="360" w:lineRule="auto"/>
        <w:jc w:val="both"/>
        <w:rPr>
          <w:rFonts w:eastAsiaTheme="minorEastAsia"/>
          <w:lang w:val="en-US"/>
        </w:rPr>
      </w:pPr>
      <w:r w:rsidRPr="00A55E0F">
        <w:t xml:space="preserve">where </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T</m:t>
            </m:r>
            <m:r>
              <w:rPr>
                <w:rFonts w:ascii="Cambria Math" w:hAnsi="Cambria Math"/>
              </w:rPr>
              <m:t>,</m:t>
            </m:r>
            <m:r>
              <w:rPr>
                <w:rFonts w:ascii="Cambria Math" w:hAnsi="Cambria Math"/>
                <w:lang w:val="el-GR"/>
              </w:rPr>
              <m:t>i</m:t>
            </m:r>
          </m:sub>
        </m:sSub>
      </m:oMath>
      <w:r w:rsidRPr="007431F2">
        <w:rPr>
          <w:rFonts w:eastAsiaTheme="minorEastAsia"/>
          <w:lang w:val="en-US"/>
        </w:rPr>
        <w:t xml:space="preserve"> is the </w:t>
      </w:r>
      <w:proofErr w:type="gramStart"/>
      <w:r w:rsidRPr="007431F2">
        <w:rPr>
          <w:rFonts w:eastAsiaTheme="minorEastAsia"/>
          <w:lang w:val="en-US"/>
        </w:rPr>
        <w:t>final outcome</w:t>
      </w:r>
      <w:proofErr w:type="gramEnd"/>
      <w:r w:rsidRPr="007431F2">
        <w:rPr>
          <w:rFonts w:eastAsiaTheme="minorEastAsia"/>
          <w:lang w:val="en-US"/>
        </w:rPr>
        <w:t xml:space="preserve"> (symptoms at endpoint) for patient </w:t>
      </w:r>
      <m:oMath>
        <m:r>
          <w:rPr>
            <w:rFonts w:ascii="Cambria Math" w:eastAsiaTheme="minorEastAsia" w:hAnsi="Cambria Math"/>
            <w:lang w:val="en-US"/>
          </w:rPr>
          <m:t>i</m:t>
        </m:r>
      </m:oMath>
      <w:r w:rsidRPr="007431F2">
        <w:rPr>
          <w:rFonts w:eastAsiaTheme="minorEastAsia"/>
          <w:lang w:val="en-US"/>
        </w:rPr>
        <w:t xml:space="preserve">, </w:t>
      </w:r>
      <m:oMath>
        <m:sSub>
          <m:sSubPr>
            <m:ctrlPr>
              <w:rPr>
                <w:rFonts w:ascii="Cambria Math" w:hAnsi="Cambria Math"/>
                <w:i/>
                <w:lang w:val="el-GR"/>
              </w:rPr>
            </m:ctrlPr>
          </m:sSubPr>
          <m:e>
            <m:r>
              <w:rPr>
                <w:rFonts w:ascii="Cambria Math" w:hAnsi="Cambria Math"/>
                <w:lang w:val="el-GR"/>
              </w:rPr>
              <m:t>y</m:t>
            </m:r>
          </m:e>
          <m:sub>
            <m:r>
              <w:rPr>
                <w:rFonts w:ascii="Cambria Math" w:hAnsi="Cambria Math"/>
              </w:rPr>
              <m:t>0,</m:t>
            </m:r>
            <m:r>
              <w:rPr>
                <w:rFonts w:ascii="Cambria Math" w:hAnsi="Cambria Math"/>
                <w:lang w:val="el-GR"/>
              </w:rPr>
              <m:t>i</m:t>
            </m:r>
          </m:sub>
        </m:sSub>
      </m:oMath>
      <w:r w:rsidRPr="007431F2">
        <w:rPr>
          <w:rFonts w:eastAsiaTheme="minorEastAsia"/>
          <w:lang w:val="en-US"/>
        </w:rPr>
        <w:t xml:space="preserve"> is baseline</w:t>
      </w:r>
      <w:r>
        <w:rPr>
          <w:rFonts w:eastAsiaTheme="minorEastAsia"/>
          <w:lang w:val="en-US"/>
        </w:rPr>
        <w:t xml:space="preserve"> symptoms</w:t>
      </w:r>
      <w:r w:rsidRPr="007431F2">
        <w:rPr>
          <w:rFonts w:eastAsiaTheme="minorEastAsia"/>
          <w:lang w:val="en-US"/>
        </w:rPr>
        <w:t xml:space="preserve">, </w:t>
      </w:r>
      <m:oMath>
        <m:r>
          <w:rPr>
            <w:rFonts w:ascii="Cambria Math" w:eastAsiaTheme="minorEastAsia" w:hAnsi="Cambria Math"/>
            <w:lang w:val="en-US"/>
          </w:rPr>
          <m:t>se</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sidRPr="007431F2">
        <w:rPr>
          <w:rFonts w:eastAsiaTheme="minorEastAsia"/>
          <w:lang w:val="en-US"/>
        </w:rPr>
        <w:t xml:space="preserve"> is 0/1 for male/female, </w:t>
      </w:r>
      <m:oMath>
        <m:r>
          <w:rPr>
            <w:rFonts w:ascii="Cambria Math" w:eastAsiaTheme="minorEastAsia" w:hAnsi="Cambria Math"/>
            <w:lang w:val="en-US"/>
          </w:rPr>
          <m:t>trea</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oMath>
      <w:r w:rsidRPr="007431F2">
        <w:rPr>
          <w:rFonts w:eastAsiaTheme="minorEastAsia"/>
          <w:lang w:val="en-US"/>
        </w:rPr>
        <w:t xml:space="preserve"> is the 0/1 for placebo/drug. </w:t>
      </w:r>
    </w:p>
    <w:p w14:paraId="61E00FCB" w14:textId="77777777" w:rsidR="00BA2DE2" w:rsidRDefault="00BA2DE2" w:rsidP="005B2B60">
      <w:pPr>
        <w:spacing w:line="360" w:lineRule="auto"/>
        <w:jc w:val="both"/>
        <w:rPr>
          <w:lang w:val="en-US"/>
        </w:rPr>
      </w:pPr>
    </w:p>
    <w:p w14:paraId="6BCAD295" w14:textId="77777777" w:rsidR="00BA2DE2" w:rsidRDefault="00BA2DE2" w:rsidP="005B2B60">
      <w:pPr>
        <w:spacing w:line="360" w:lineRule="auto"/>
        <w:jc w:val="both"/>
      </w:pPr>
      <w:r>
        <w:rPr>
          <w:lang w:val="en-US"/>
        </w:rPr>
        <w:t xml:space="preserve">This model was fit to all patients included in the trial and </w:t>
      </w:r>
      <w:r>
        <w:t>treatment effects were then estimated for each subject as:</w:t>
      </w:r>
    </w:p>
    <w:p w14:paraId="5EFD9749" w14:textId="77777777" w:rsidR="00BA2DE2" w:rsidRDefault="00890F63" w:rsidP="005B2B60">
      <w:pPr>
        <w:spacing w:line="360" w:lineRule="auto"/>
        <w:jc w:val="both"/>
      </w:pPr>
      <m:oMathPara>
        <m:oMath>
          <m:sSub>
            <m:sSubPr>
              <m:ctrlPr>
                <w:rPr>
                  <w:rFonts w:ascii="Cambria Math" w:hAnsi="Cambria Math"/>
                  <w:i/>
                  <w:lang w:val="el-GR"/>
                </w:rPr>
              </m:ctrlPr>
            </m:sSubPr>
            <m:e>
              <m:r>
                <w:rPr>
                  <w:rFonts w:ascii="Cambria Math" w:hAnsi="Cambria Math"/>
                  <w:lang w:val="el-GR"/>
                </w:rPr>
                <m:t>γ</m:t>
              </m:r>
            </m:e>
            <m:sub>
              <m:r>
                <w:rPr>
                  <w:rFonts w:ascii="Cambria Math" w:hAnsi="Cambria Math"/>
                  <w:lang w:val="el-GR"/>
                </w:rPr>
                <m:t>s</m:t>
              </m:r>
              <m:r>
                <w:rPr>
                  <w:rFonts w:ascii="Cambria Math" w:hAnsi="Cambria Math"/>
                  <w:lang w:val="en-US"/>
                </w:rPr>
                <m:t>ex</m:t>
              </m:r>
            </m:sub>
          </m:sSub>
          <m:r>
            <w:rPr>
              <w:rFonts w:ascii="Cambria Math" w:hAnsi="Cambria Math"/>
            </w:rPr>
            <m:t xml:space="preserve"> </m:t>
          </m:r>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l-GR"/>
                </w:rPr>
              </m:ctrlPr>
            </m:sSubPr>
            <m:e>
              <m:r>
                <w:rPr>
                  <w:rFonts w:ascii="Cambria Math" w:hAnsi="Cambria Math"/>
                  <w:lang w:val="el-GR"/>
                </w:rPr>
                <m:t>γ</m:t>
              </m:r>
            </m:e>
            <m:sub>
              <m:r>
                <w:rPr>
                  <w:rFonts w:ascii="Cambria Math" w:hAnsi="Cambria Math"/>
                  <w:lang w:val="el-GR"/>
                </w:rPr>
                <m:t>age</m:t>
              </m:r>
            </m:sub>
          </m:sSub>
          <m:r>
            <w:rPr>
              <w:rFonts w:ascii="Cambria Math" w:hAnsi="Cambria Math"/>
              <w:lang w:val="el-GR"/>
            </w:rPr>
            <m:t xml:space="preserve"> </m:t>
          </m:r>
          <m:r>
            <w:rPr>
              <w:rFonts w:ascii="Cambria Math" w:hAnsi="Cambria Math"/>
              <w:lang w:val="en-US"/>
            </w:rPr>
            <m:t>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l-GR"/>
                </w:rPr>
              </m:ctrlPr>
            </m:sSubPr>
            <m:e>
              <m:r>
                <w:rPr>
                  <w:rFonts w:ascii="Cambria Math" w:hAnsi="Cambria Math"/>
                  <w:lang w:val="el-GR"/>
                </w:rPr>
                <m:t>γ</m:t>
              </m:r>
            </m:e>
            <m:sub>
              <m:r>
                <w:rPr>
                  <w:rFonts w:ascii="Cambria Math" w:hAnsi="Cambria Math"/>
                  <w:lang w:val="el-GR"/>
                </w:rPr>
                <m:t>base</m:t>
              </m:r>
            </m:sub>
          </m:sSub>
          <m:r>
            <w:rPr>
              <w:rFonts w:ascii="Cambria Math" w:hAnsi="Cambria Math"/>
            </w:rPr>
            <m:t xml:space="preserve"> </m:t>
          </m:r>
          <m:sSub>
            <m:sSubPr>
              <m:ctrlPr>
                <w:rPr>
                  <w:rFonts w:ascii="Cambria Math" w:hAnsi="Cambria Math"/>
                  <w:i/>
                  <w:lang w:val="el-GR"/>
                </w:rPr>
              </m:ctrlPr>
            </m:sSubPr>
            <m:e>
              <m:r>
                <w:rPr>
                  <w:rFonts w:ascii="Cambria Math" w:hAnsi="Cambria Math"/>
                  <w:lang w:val="el-GR"/>
                </w:rPr>
                <m:t>y</m:t>
              </m:r>
            </m:e>
            <m:sub>
              <m:r>
                <w:rPr>
                  <w:rFonts w:ascii="Cambria Math" w:hAnsi="Cambria Math"/>
                </w:rPr>
                <m:t>0,</m:t>
              </m:r>
              <m:r>
                <w:rPr>
                  <w:rFonts w:ascii="Cambria Math" w:hAnsi="Cambria Math"/>
                  <w:lang w:val="el-GR"/>
                </w:rPr>
                <m:t>i</m:t>
              </m:r>
            </m:sub>
          </m:sSub>
          <m:r>
            <w:rPr>
              <w:rFonts w:ascii="Cambria Math" w:hAnsi="Cambria Math"/>
            </w:rPr>
            <m:t>+</m:t>
          </m:r>
          <m:r>
            <w:rPr>
              <w:rFonts w:ascii="Cambria Math" w:hAnsi="Cambria Math"/>
              <w:lang w:val="el-GR"/>
            </w:rPr>
            <m:t>δ</m:t>
          </m:r>
        </m:oMath>
      </m:oMathPara>
    </w:p>
    <w:p w14:paraId="41A1C0C8" w14:textId="77777777" w:rsidR="00BA2DE2" w:rsidRDefault="00BA2DE2" w:rsidP="005B2B60">
      <w:pPr>
        <w:spacing w:line="360" w:lineRule="auto"/>
        <w:jc w:val="both"/>
      </w:pPr>
    </w:p>
    <w:p w14:paraId="756D9CC2" w14:textId="77777777" w:rsidR="00BA2DE2" w:rsidRDefault="00BA2DE2" w:rsidP="005B2B60">
      <w:pPr>
        <w:spacing w:line="360" w:lineRule="auto"/>
        <w:jc w:val="both"/>
      </w:pPr>
      <w:r>
        <w:t xml:space="preserve">The outcomes in placebo (required for the calculation of </w:t>
      </w:r>
      <m:oMath>
        <m:r>
          <w:rPr>
            <w:rFonts w:ascii="Cambria Math" w:hAnsi="Cambria Math" w:cs="Calibri"/>
          </w:rPr>
          <m:t>ρ</m:t>
        </m:r>
      </m:oMath>
      <w:r>
        <w:rPr>
          <w:rFonts w:eastAsiaTheme="minorEastAsia"/>
        </w:rPr>
        <w:t>)</w:t>
      </w:r>
      <w:r>
        <w:t xml:space="preserve"> were taken as </w:t>
      </w:r>
      <w:r>
        <w:rPr>
          <w:lang w:val="en-US"/>
        </w:rPr>
        <w:t xml:space="preserve">observed in the data, </w:t>
      </w:r>
      <w:proofErr w:type="gramStart"/>
      <w:r>
        <w:rPr>
          <w:lang w:val="en-US"/>
        </w:rPr>
        <w:t>i.e.</w:t>
      </w:r>
      <w:proofErr w:type="gramEnd"/>
      <w:r>
        <w:rPr>
          <w:lang w:val="en-US"/>
        </w:rPr>
        <w:t xml:space="preserve"> we only used patients randomized to placebo</w:t>
      </w:r>
      <w:r>
        <w:t>.</w:t>
      </w:r>
    </w:p>
    <w:p w14:paraId="0923B218" w14:textId="77777777" w:rsidR="00BA2DE2" w:rsidRDefault="00BA2DE2" w:rsidP="00BA2DE2">
      <w:pPr>
        <w:spacing w:line="360" w:lineRule="auto"/>
      </w:pPr>
    </w:p>
    <w:p w14:paraId="397400AF" w14:textId="77777777" w:rsidR="00BA2DE2" w:rsidRDefault="00BA2DE2" w:rsidP="00BA2DE2">
      <w:pPr>
        <w:spacing w:line="360" w:lineRule="auto"/>
        <w:jc w:val="both"/>
      </w:pPr>
      <w:r>
        <w:t xml:space="preserve">In other words, the treatment condition during the double-blind period was a predictor variable, with sex, </w:t>
      </w:r>
      <w:proofErr w:type="gramStart"/>
      <w:r>
        <w:t>age</w:t>
      </w:r>
      <w:proofErr w:type="gramEnd"/>
      <w:r>
        <w:t xml:space="preserve"> and baseline symptoms as additional predictors. Then based on this model, we estimated outcome for the participants who received placebo had they received treatment (by setting the condition to 1).</w:t>
      </w:r>
    </w:p>
    <w:p w14:paraId="0A892BA4" w14:textId="5902B3BA" w:rsidR="003338EF" w:rsidRDefault="003338EF" w:rsidP="008F78B9">
      <w:pPr>
        <w:spacing w:line="360" w:lineRule="auto"/>
        <w:rPr>
          <w:rFonts w:ascii="Calibri" w:hAnsi="Calibri" w:cs="Calibri"/>
        </w:rPr>
      </w:pPr>
    </w:p>
    <w:p w14:paraId="57B5BF6F" w14:textId="131A8300" w:rsidR="003338EF" w:rsidRPr="003338EF" w:rsidRDefault="003338EF" w:rsidP="008F78B9">
      <w:pPr>
        <w:spacing w:line="360" w:lineRule="auto"/>
        <w:rPr>
          <w:rFonts w:ascii="Calibri" w:hAnsi="Calibri" w:cs="Calibri"/>
          <w:i/>
          <w:iCs/>
        </w:rPr>
      </w:pPr>
      <w:r w:rsidRPr="003338EF">
        <w:rPr>
          <w:rFonts w:ascii="Calibri" w:hAnsi="Calibri" w:cs="Calibri"/>
          <w:i/>
          <w:iCs/>
        </w:rPr>
        <w:t>Correlation of placebo response and treatment effect</w:t>
      </w:r>
    </w:p>
    <w:p w14:paraId="22053CB2" w14:textId="33B0E72E" w:rsidR="003338EF" w:rsidRDefault="003338EF" w:rsidP="00BA2DE2">
      <w:pPr>
        <w:spacing w:line="360" w:lineRule="auto"/>
        <w:jc w:val="both"/>
        <w:rPr>
          <w:rFonts w:ascii="Calibri" w:hAnsi="Calibri" w:cs="Calibri"/>
        </w:rPr>
      </w:pPr>
      <w:r>
        <w:rPr>
          <w:rFonts w:ascii="Calibri" w:hAnsi="Calibri" w:cs="Calibri"/>
        </w:rPr>
        <w:t xml:space="preserve">In both the linear model and open label methods the correlation between placebo response and treatment effect was calculated only for those patients randomised to placebo. Note that placebo response is directly observable for these patients. This correlation </w:t>
      </w:r>
      <w:r w:rsidRPr="007B4077">
        <w:rPr>
          <w:rFonts w:ascii="Calibri" w:hAnsi="Calibri" w:cs="Calibri"/>
        </w:rPr>
        <w:t xml:space="preserve">was calculated for </w:t>
      </w:r>
      <w:r>
        <w:rPr>
          <w:rFonts w:ascii="Calibri" w:hAnsi="Calibri" w:cs="Calibri"/>
        </w:rPr>
        <w:t xml:space="preserve">positive and negative </w:t>
      </w:r>
      <w:r w:rsidRPr="007B4077">
        <w:rPr>
          <w:rFonts w:ascii="Calibri" w:hAnsi="Calibri" w:cs="Calibri"/>
        </w:rPr>
        <w:t>subscales, and the total score.</w:t>
      </w:r>
    </w:p>
    <w:p w14:paraId="0DE8B57D" w14:textId="66096E79" w:rsidR="008F78B9" w:rsidRDefault="008F78B9" w:rsidP="008F78B9">
      <w:pPr>
        <w:spacing w:line="360" w:lineRule="auto"/>
        <w:rPr>
          <w:i/>
          <w:iCs/>
        </w:rPr>
      </w:pPr>
    </w:p>
    <w:p w14:paraId="27B8CEBD" w14:textId="0AB6AB26" w:rsidR="008F78B9" w:rsidRDefault="00BA2DE2" w:rsidP="00BA2DE2">
      <w:pPr>
        <w:spacing w:line="360" w:lineRule="auto"/>
        <w:rPr>
          <w:rFonts w:ascii="Calibri" w:hAnsi="Calibri" w:cs="Calibri"/>
        </w:rPr>
      </w:pPr>
      <w:r w:rsidRPr="00BA2DE2">
        <w:t>In the case of the s</w:t>
      </w:r>
      <w:r w:rsidR="008F78B9" w:rsidRPr="00BA2DE2">
        <w:t>tudy level method</w:t>
      </w:r>
      <w:r>
        <w:t xml:space="preserve">, </w:t>
      </w:r>
      <w:r>
        <w:rPr>
          <w:rFonts w:ascii="Calibri" w:hAnsi="Calibri" w:cs="Calibri"/>
        </w:rPr>
        <w:t>t</w:t>
      </w:r>
      <w:r w:rsidR="008F78B9">
        <w:rPr>
          <w:rFonts w:ascii="Calibri" w:hAnsi="Calibri" w:cs="Calibri"/>
        </w:rPr>
        <w:t xml:space="preserve">his method of calculating the correlation rests upon </w:t>
      </w:r>
      <w:bookmarkStart w:id="11" w:name="_Hlk93309378"/>
      <w:r w:rsidR="008F78B9">
        <w:rPr>
          <w:rFonts w:ascii="Calibri" w:hAnsi="Calibri" w:cs="Calibri"/>
        </w:rPr>
        <w:t>the assumption that the correlation between treatment effects and placebo response at the patient-level equals the one at the study-level.</w:t>
      </w:r>
      <w:bookmarkEnd w:id="11"/>
    </w:p>
    <w:p w14:paraId="1CD07AB1" w14:textId="04FFA063" w:rsidR="00AD6566" w:rsidRDefault="00AD6566" w:rsidP="00BA2DE2">
      <w:pPr>
        <w:spacing w:line="360" w:lineRule="auto"/>
        <w:rPr>
          <w:rFonts w:ascii="Calibri" w:hAnsi="Calibri" w:cs="Calibri"/>
        </w:rPr>
      </w:pPr>
    </w:p>
    <w:p w14:paraId="64207B1D" w14:textId="11307722" w:rsidR="00497C19" w:rsidRDefault="00497C19" w:rsidP="00497C19">
      <w:pPr>
        <w:spacing w:line="360" w:lineRule="auto"/>
        <w:rPr>
          <w:rFonts w:ascii="Calibri" w:hAnsi="Calibri" w:cs="Calibri"/>
          <w:i/>
          <w:iCs/>
        </w:rPr>
      </w:pPr>
      <w:r w:rsidRPr="007B4077">
        <w:rPr>
          <w:rFonts w:ascii="Calibri" w:hAnsi="Calibri" w:cs="Calibri"/>
          <w:i/>
          <w:iCs/>
        </w:rPr>
        <w:t>Estimating treatment effect variability</w:t>
      </w:r>
    </w:p>
    <w:p w14:paraId="25575D0F" w14:textId="77777777" w:rsidR="00BA2DE2" w:rsidRPr="002F54E9" w:rsidRDefault="00BA2DE2" w:rsidP="00BA2DE2">
      <w:pPr>
        <w:spacing w:line="360" w:lineRule="auto"/>
        <w:jc w:val="both"/>
        <w:rPr>
          <w:rFonts w:ascii="Calibri" w:hAnsi="Calibri" w:cs="Calibri"/>
        </w:rPr>
      </w:pPr>
      <w:r>
        <w:rPr>
          <w:rFonts w:ascii="Calibri" w:hAnsi="Calibri" w:cs="Calibri"/>
        </w:rPr>
        <w:t>We have described three alternative methods for calculating the correlation between placebo response and treatment effect.</w:t>
      </w:r>
      <w:r w:rsidRPr="001155AA">
        <w:rPr>
          <w:rFonts w:ascii="Calibri" w:hAnsi="Calibri" w:cs="Calibri"/>
          <w:lang w:val="en-US"/>
        </w:rPr>
        <w:t xml:space="preserve"> </w:t>
      </w:r>
      <w:r>
        <w:rPr>
          <w:rFonts w:ascii="Calibri" w:hAnsi="Calibri" w:cs="Calibri"/>
        </w:rPr>
        <w:t>Below we describe how to use this</w:t>
      </w:r>
      <w:r w:rsidRPr="001155AA">
        <w:rPr>
          <w:rFonts w:ascii="Calibri" w:eastAsiaTheme="minorEastAsia" w:hAnsi="Calibri" w:cs="Calibri"/>
          <w:lang w:val="en-US"/>
        </w:rPr>
        <w:t xml:space="preserve"> </w:t>
      </w:r>
      <m:oMath>
        <m:r>
          <w:rPr>
            <w:rFonts w:ascii="Cambria Math" w:hAnsi="Cambria Math" w:cs="Calibri"/>
          </w:rPr>
          <m:t>ρ</m:t>
        </m:r>
      </m:oMath>
      <w:r>
        <w:rPr>
          <w:rFonts w:ascii="Calibri" w:hAnsi="Calibri" w:cs="Calibri"/>
        </w:rPr>
        <w:t xml:space="preserve"> to calculate </w:t>
      </w:r>
      <w:bookmarkStart w:id="12" w:name="_Hlk81312545"/>
      <w:r>
        <w:rPr>
          <w:rFonts w:ascii="Calibri" w:hAnsi="Calibri" w:cs="Calibri"/>
        </w:rPr>
        <w:t xml:space="preserve">heterogeneity </w:t>
      </w:r>
      <w:bookmarkEnd w:id="12"/>
      <w:r>
        <w:rPr>
          <w:rFonts w:ascii="Calibri" w:hAnsi="Calibri" w:cs="Calibri"/>
        </w:rPr>
        <w:t>of treatment effects from aggregate data.</w:t>
      </w:r>
    </w:p>
    <w:p w14:paraId="0B570B40" w14:textId="77777777" w:rsidR="00BA2DE2" w:rsidRPr="007B4077" w:rsidRDefault="00BA2DE2" w:rsidP="00497C19">
      <w:pPr>
        <w:spacing w:line="360" w:lineRule="auto"/>
        <w:rPr>
          <w:rFonts w:ascii="Calibri" w:hAnsi="Calibri" w:cs="Calibri"/>
          <w:i/>
          <w:iCs/>
        </w:rPr>
      </w:pPr>
    </w:p>
    <w:p w14:paraId="469BC9B6" w14:textId="2B88EE9B" w:rsidR="00BA2DE2" w:rsidRPr="007B4077" w:rsidRDefault="00BA2DE2" w:rsidP="00BA2DE2">
      <w:pPr>
        <w:spacing w:line="360" w:lineRule="auto"/>
        <w:jc w:val="both"/>
        <w:rPr>
          <w:rFonts w:ascii="Calibri" w:hAnsi="Calibri" w:cs="Calibri"/>
        </w:rPr>
      </w:pPr>
      <w:r>
        <w:rPr>
          <w:rFonts w:ascii="Calibri" w:hAnsi="Calibri" w:cs="Calibri"/>
        </w:rPr>
        <w:t>Due to a lack of previous estimates for the correlation between placebo and treatment effects,  prior</w:t>
      </w:r>
      <w:r w:rsidRPr="007B4077">
        <w:rPr>
          <w:rFonts w:ascii="Calibri" w:hAnsi="Calibri" w:cs="Calibri"/>
        </w:rPr>
        <w:t xml:space="preserve"> analyses of variability have </w:t>
      </w:r>
      <w:r>
        <w:rPr>
          <w:rFonts w:ascii="Calibri" w:hAnsi="Calibri" w:cs="Calibri"/>
        </w:rPr>
        <w:t>not</w:t>
      </w:r>
      <w:r w:rsidRPr="007B4077">
        <w:rPr>
          <w:rFonts w:ascii="Calibri" w:hAnsi="Calibri" w:cs="Calibri"/>
        </w:rPr>
        <w:t xml:space="preserve"> </w:t>
      </w:r>
      <w:r>
        <w:rPr>
          <w:rFonts w:ascii="Calibri" w:hAnsi="Calibri" w:cs="Calibri"/>
        </w:rPr>
        <w:t xml:space="preserve">accurately </w:t>
      </w:r>
      <w:r w:rsidRPr="007B4077">
        <w:rPr>
          <w:rFonts w:ascii="Calibri" w:hAnsi="Calibri" w:cs="Calibri"/>
        </w:rPr>
        <w:t>quantif</w:t>
      </w:r>
      <w:r>
        <w:rPr>
          <w:rFonts w:ascii="Calibri" w:hAnsi="Calibri" w:cs="Calibri"/>
        </w:rPr>
        <w:t>ied</w:t>
      </w:r>
      <w:r w:rsidRPr="007B4077">
        <w:rPr>
          <w:rFonts w:ascii="Calibri" w:hAnsi="Calibri" w:cs="Calibri"/>
        </w:rPr>
        <w:t xml:space="preserve"> the magnitude of treatment effect </w:t>
      </w:r>
      <w:r>
        <w:rPr>
          <w:rFonts w:ascii="Calibri" w:hAnsi="Calibri" w:cs="Calibri"/>
        </w:rPr>
        <w:t xml:space="preserve">heterogeneity </w:t>
      </w:r>
      <w:r>
        <w:rPr>
          <w:rFonts w:ascii="Calibri" w:hAnsi="Calibri" w:cs="Calibri"/>
        </w:rPr>
        <w:fldChar w:fldCharType="begin" w:fldLock="1"/>
      </w:r>
      <w:r w:rsidR="001C2ECA">
        <w:rPr>
          <w:rFonts w:ascii="Calibri" w:hAnsi="Calibri" w:cs="Calibri"/>
        </w:rPr>
        <w:instrText>ADDIN CSL_CITATION {"citationItems":[{"id":"ITEM-1","itemData":{"DOI":"10.1001/jamapsychiatry.2019.1530","ISSN":"2168622X","PMID":"31158853","abstract":"Importance: An assumption among clinicians and researchers is that patients with schizophrenia vary considerably in their response to antipsychotic drugs in randomized clinical trials (RCTs). Objective: To evaluate the overall variation in individual treatment response from random variation by comparing the variability between treatment and control groups. Data Sources: Cochrane Schizophrenia, MEDLINE/PubMed, Embase, PsycINFO, Cochrane CENTRAL, BIOSIS Previews, ClinicalTrials.gov, and World Health Organization International Clinical Trials Registry Platform from January 1, 1955, to December 31, 2016. Study Selection: Double-blind, placebo-controlled, RCTs of adults with a diagnosis of schizophrenia spectrum disorders and prescription for licensed antipsychotic drugs. Data Extraction and Synthesis: Means and SDs of the Positive and Negative Syndrome Scale pretreatment and posttreatment outcome difference scores were extracted. Data quality and validity were ensured by following the PRISMA guidelines. Main Outcomes and Measures: The outcome measure was the overall variability ratio of treatment to control in a meta-analysis across RCTs. Individual variability ratios were weighted by the inverse-variance method and entered into a random-effects model. A personal element of response was hypothesized to be reflected by a substantial overall increase in variability in the treatment group compared with the control group. Results: An RCT was simulated, comprising 30 patients with schizophrenia randomized to either the treatment or the control group. The different components of variation in RCTs were illustrated with simulated data. In addition, we assessed the variability ratio in 52 RCTs involving 15360 patients with a schizophrenia or schizoaffective diagnosis. The variability was slightly lower in the treatment compared with the control group (variability ratio = 0.97; 95% CI, 0.95-0.99; P =.01). Conclusions and Relevance: In this study, no evidence was found in RCTs that antipsychotic drugs increased the outcome variance, suggesting no personal element of response to treatment but instead indicating that the variance was slightly lower in the treatment group than in the control group; although the study cannot rule out that subsets of patients respond differently to treatment, it suggests that the average treatment effect is a reasonable assumption for the individual patient..","author":[{"dropping-particle":"","family":"Winkelbeiner","given":"Stephanie","non-dropping-particle":"","parse-names":false,"suffix":""},{"dropping-particle":"","family":"Leucht","given":"Stefan","non-dropping-particle":"","parse-names":false,"suffix":""},{"dropping-particle":"","family":"Kane","given":"John M.","non-dropping-particle":"","parse-names":false,"suffix":""},{"dropping-particle":"","family":"Homan","given":"Philipp","non-dropping-particle":"","parse-names":false,"suffix":""}],"container-title":"JAMA Psychiatry","id":"ITEM-1","issue":"10","issued":{"date-parts":[["2019"]]},"page":"1063-1073","title":"Evaluation of Differences in Individual Treatment Response in Schizophrenia Spectrum Disorders: A Meta-analysis","type":"article-journal","volume":"76"},"uris":["http://www.mendeley.com/documents/?uuid=86d9c75d-bf1c-4cba-b52d-a405695eb7c4"]},{"id":"ITEM-2","itemData":{"DOI":"10.1016/j.neubiorev.2020.11.033","ISSN":"18737528","PMID":"33482243","abstract":"Noninvasive brain stimulation methods such as transcranial magnetic stimulation (TMS) and transcranial direct current stimulation (tDCS) are promising add-on treatments for a number of psychiatric conditions. Yet, some of the initial excitement is wearing off. Randomized controlled trials (RCT) have found inconsistent results. This inconsistency is suspected to be the consequence of variation in treatment effects and solvable by identifying responders in RCTs and individualizing treatment. However, is there enough evidence from RCTs that patients respond differently to treatment? This question can be addressed by comparing the variability in the active stimulation group with the variability in the sham group. We searched MEDLINE/PubMed and included all double-blinded, sham-controlled RCTs and crossover trials that used TMS or tDCS in adults with a unipolar or bipolar depression, bipolar disorder, schizophrenia spectrum disorder, or obsessive compulsive disorder. In accordance with the PRISMA guidelines to ensure data quality and validity, we extracted a measure of variability of the primary outcome. A total of 130 studies with 5748 patients were considered in the analysis. We calculated variance-weighted variability ratios for each comparison of active stimulation vs sham and entered them into a random-effects model. We hypothesized that treatment effect variability in TMS or tDCS would be reflected by increased variability after active compared with sham stimulation, or in other words, a variability ratio greater than one. Across diagnoses, we found only a minimal increase in variability after active stimulation compared with sham that did not reach statistical significance (variability ratio = 1.03; 95% CI, 0.97, 1.08, P = 0.358). In conclusion, this study found little evidence for treatment effect variability in brain stimulation, suggesting that the need for personalized or stratified medicine is still an open question.","author":[{"dropping-particle":"","family":"Homan","given":"Stephanie","non-dropping-particle":"","parse-names":false,"suffix":""},{"dropping-particle":"","family":"Muscat","given":"Whitney","non-dropping-particle":"","parse-names":false,"suffix":""},{"dropping-particle":"","family":"Joanlanne","given":"Andrea","non-dropping-particle":"","parse-names":false,"suffix":""},{"dropping-particle":"","family":"Marousis","given":"Nikolaos","non-dropping-particle":"","parse-names":false,"suffix":""},{"dropping-particle":"","family":"Cecere","given":"Giacomo","non-dropping-particle":"","parse-names":false,"suffix":""},{"dropping-particle":"","family":"Hofmann","given":"Lena","non-dropping-particle":"","parse-names":false,"suffix":""},{"dropping-particle":"","family":"Ji","given":"Ellen","non-dropping-particle":"","parse-names":false,"suffix":""},{"dropping-particle":"","family":"Neumeier","given":"Maria","non-dropping-particle":"","parse-names":false,"suffix":""},{"dropping-particle":"","family":"Vetter","given":"Stefan","non-dropping-particle":"","parse-names":false,"suffix":""},{"dropping-particle":"","family":"Seifritz","given":"Erich","non-dropping-particle":"","parse-names":false,"suffix":""},{"dropping-particle":"","family":"Dierks","given":"Thomas","non-dropping-particle":"","parse-names":false,"suffix":""},{"dropping-particle":"","family":"Homan","given":"Philipp","non-dropping-particle":"","parse-names":false,"suffix":""}],"container-title":"Neuroscience and Biobehavioral Reviews","id":"ITEM-2","issue":"October 2020","issued":{"date-parts":[["2021"]]},"page":"54-62","publisher":"Elsevier Ltd","title":"Treatment effect variability in brain stimulation across psychiatric disorders: A meta-analysis of variance","type":"article-journal","volume":"124"},"uris":["http://www.mendeley.com/documents/?uuid=75bf3f99-e235-4b09-937f-5100f6088889"]},{"id":"ITEM-3","itemData":{"DOI":"10.1136/bmjopen-2019-034816","ISBN":"2019034816","ISSN":"20446055","PMID":"31874900","abstract":"Objectives To investigate if the treatment effect of antidepressants in patients with depression substantially varies in each patient (patient-by-treatment interaction or treatment heterogeneity), a necessary but largely unexplored prerequisite of personalised antidepressant treatment. Design Meta-analytic variance comparison of treatment outcome between drug arms and placebo arms of clinical trials, based on the assumption that patient-by-treatment interaction should lead to larger variances in drug arms than placebo arms. To put the results into context, we run simple simulations, assuming different definitions and rates of those who respond especially well to antidepressants. Data sources 163 randomised, placebo-controlled trials (51 396 patients) with complete results for pre-post differences, selected from a recently published systematic review. Analysis Variance ratios (VRs) and coefficients of variance ratios (CVRs) of individual trials were meta-analytically combined. The analysis was repeated for classes of antidepressants and specific antidepressants. Results VRs (VR=1.01, CI 0.99 to 1.02) and CVRs (CVR=0.82, CI 0.80 to 0.84) of the antidepressant-treatment arms were comparable or smaller than in placebo arms. Similar results were observed for classes of antidepressants and for specific antidepressants. Our simulation analysis confirmed that equal VRs can only be obtained if they are not more than a few patients who respond slightly above average. Conclusions The lack of increased treatment-outcome variance in the antidepressants versus placebo groups in randomised controlled trials indicates that no or only very small subgroups of patients respond particularly well to antidepressants. Thus, the scope for personalised treatment with antidepressants seems to be limited.","author":[{"dropping-particle":"","family":"Plöderl","given":"Martin","non-dropping-particle":"","parse-names":false,"suffix":""},{"dropping-particle":"","family":"Hengartner","given":"Michael Pascal","non-dropping-particle":"","parse-names":false,"suffix":""}],"container-title":"BMJ Open","id":"ITEM-3","issue":"12","issued":{"date-parts":[["2019"]]},"page":"34816","title":"What are the chances for personalised treatment with antidepressants? Detection of patient-by-treatment interaction with a variance ratio meta-analysis","type":"article-journal","volume":"9"},"uris":["http://www.mendeley.com/documents/?uuid=3cda3520-eedb-4464-adf0-486fea37da16"]},{"id":"ITEM-4","itemData":{"DOI":"10.1038/s41380-019-0502-5","ISBN":"4138001905","ISSN":"14765578","PMID":"31471576","abstract":"The response to antipsychotic treatment in schizophrenia appears to vary, and as such it has been proposed that different subtypes of schizophrenia exist, defined by treatment-response. This has not been formally examined using meta-analysis. Randomised controlled trials comparing placebo and antipsychotics in acute treatment of schizophrenia listed in PubMed, EMBASE and PsycINFO from inception until 30 November 2018 were examined. Relative variability of symptomatic improvement in antipsychotic-treated individuals compared to placebo-treated individuals was quantified using coefficient of variation ratio (CVR). Mean difference in symptom change was quantified using Hedges’ g. In addition, individual patient data from two clinical trials was examined in terms of both the distribution of total symptom change, and the variability of individual symptoms and symptom factors. In total, 11,006 articles were identified. Sixty six met inclusion criteria, reporting on 17,202 patients. Compared with placebo, antipsychotic-treated patients demonstrated greater total symptom improvement (g = 0.47, p &lt; 0.001) and reduced variability in symptomatic improvement for total (CVR = 0.86, p &lt; 0.001), positive (CVR = 0.89, p &lt; 0.001), and negative symptoms (CVR = 0.86, p = 0.001). Lower variability in antipsychotic-response relative to placebo was associated with studies published earlier (z = 3.98, p &lt; 0.001), younger patients (z = 3.07, p = 0.002), higher dose treatments (z = −2.62, p = 0.009), and greater mean-difference in symptom-change (z = −5.70, p &lt; 0.001). In the individual patient dataset (N = 522 patients), antipsychotic treated patients did not show significantly increased variability for any individual symptom, and there was no evidence of a bimodal distribution of response. Compared to placebo, antipsychotic treatment shows greater improvement and lower variability of change in total, positive and negative symptoms. This is contrary to the hypothesis that there is a subtype of antipsychotic non-responsive schizophrenia. Instead our findings, provide evidence for a relatively homogeneous effect of antipsychotic treatment in improving symptoms of schizophrenia.","author":[{"dropping-particle":"","family":"McCutcheon","given":"Robert A.","non-dropping-particle":"","parse-names":false,"suffix":""},{"dropping-particle":"","family":"Pillinger","given":"Toby","non-dropping-particle":"","parse-names":false,"suffix":""},{"dropping-particle":"","family":"Mizuno","given":"Yuya","non-dropping-particle":"","parse-names":false,"suffix":""},{"dropping-particle":"","family":"Montgomery","given":"Adam","non-dropping-particle":"","parse-names":false,"suffix":""},{"dropping-particle":"","family":"Pandian","given":"Haridha","non-dropping-particle":"","parse-names":false,"suffix":""},{"dropping-particle":"","family":"Vano","given":"Luke","non-dropping-particle":"","parse-names":false,"suffix":""},{"dropping-particle":"","family":"Marques","given":"Tiago Reis","non-dropping-particle":"","parse-names":false,"suffix":""},{"dropping-particle":"","family":"Howes","given":"Oliver D.","non-dropping-particle":"","parse-names":false,"suffix":""}],"container-title":"Molecular Psychiatry","id":"ITEM-4","issue":"4","issued":{"date-parts":[["2021"]]},"page":"1310-1320","publisher":"Springer US","title":"The efficacy and heterogeneity of antipsychotic response in schizophrenia: A meta-analysis","type":"article-journal","volume":"26"},"uris":["http://www.mendeley.com/documents/?uuid=881a4cd0-3518-44f5-b6a3-10f14764ecb8"]}],"mendeley":{"formattedCitation":"&lt;sup&gt;2–5&lt;/sup&gt;","plainTextFormattedCitation":"2–5","previouslyFormattedCitation":"&lt;sup&gt;2–5&lt;/sup&gt;"},"properties":{"noteIndex":0},"schema":"https://github.com/citation-style-language/schema/raw/master/csl-citation.json"}</w:instrText>
      </w:r>
      <w:r>
        <w:rPr>
          <w:rFonts w:ascii="Calibri" w:hAnsi="Calibri" w:cs="Calibri"/>
        </w:rPr>
        <w:fldChar w:fldCharType="separate"/>
      </w:r>
      <w:r w:rsidR="001C2ECA" w:rsidRPr="001C2ECA">
        <w:rPr>
          <w:rFonts w:ascii="Calibri" w:hAnsi="Calibri" w:cs="Calibri"/>
          <w:noProof/>
          <w:vertAlign w:val="superscript"/>
        </w:rPr>
        <w:t>2–5</w:t>
      </w:r>
      <w:r>
        <w:rPr>
          <w:rFonts w:ascii="Calibri" w:hAnsi="Calibri" w:cs="Calibri"/>
        </w:rPr>
        <w:fldChar w:fldCharType="end"/>
      </w:r>
      <w:r>
        <w:rPr>
          <w:rFonts w:ascii="Calibri" w:hAnsi="Calibri" w:cs="Calibri"/>
        </w:rPr>
        <w:t>.</w:t>
      </w:r>
      <w:r w:rsidRPr="007B4077">
        <w:rPr>
          <w:rFonts w:ascii="Calibri" w:hAnsi="Calibri" w:cs="Calibri"/>
        </w:rPr>
        <w:t xml:space="preserve"> </w:t>
      </w:r>
      <w:r>
        <w:rPr>
          <w:rFonts w:ascii="Calibri" w:hAnsi="Calibri" w:cs="Calibri"/>
        </w:rPr>
        <w:t>They have</w:t>
      </w:r>
      <w:r w:rsidRPr="007B4077">
        <w:rPr>
          <w:rFonts w:ascii="Calibri" w:hAnsi="Calibri" w:cs="Calibri"/>
        </w:rPr>
        <w:t xml:space="preserve"> instead</w:t>
      </w:r>
      <w:r>
        <w:rPr>
          <w:rFonts w:ascii="Calibri" w:hAnsi="Calibri" w:cs="Calibri"/>
        </w:rPr>
        <w:t xml:space="preserve"> reported a lack of </w:t>
      </w:r>
      <w:r w:rsidRPr="007B4077">
        <w:rPr>
          <w:rFonts w:ascii="Calibri" w:hAnsi="Calibri" w:cs="Calibri"/>
        </w:rPr>
        <w:t xml:space="preserve">difference between active and placebo </w:t>
      </w:r>
      <w:r>
        <w:rPr>
          <w:rFonts w:ascii="Calibri" w:hAnsi="Calibri" w:cs="Calibri"/>
        </w:rPr>
        <w:t>response</w:t>
      </w:r>
      <w:r w:rsidRPr="007B4077">
        <w:rPr>
          <w:rFonts w:ascii="Calibri" w:hAnsi="Calibri" w:cs="Calibri"/>
        </w:rPr>
        <w:t xml:space="preserve"> variabilities, that is a variability ratio (VR) that </w:t>
      </w:r>
      <w:r>
        <w:rPr>
          <w:rFonts w:ascii="Calibri" w:hAnsi="Calibri" w:cs="Calibri"/>
        </w:rPr>
        <w:t>does</w:t>
      </w:r>
      <w:r w:rsidRPr="007B4077">
        <w:rPr>
          <w:rFonts w:ascii="Calibri" w:hAnsi="Calibri" w:cs="Calibri"/>
        </w:rPr>
        <w:t xml:space="preserve"> not </w:t>
      </w:r>
      <w:r>
        <w:rPr>
          <w:rFonts w:ascii="Calibri" w:hAnsi="Calibri" w:cs="Calibri"/>
        </w:rPr>
        <w:t xml:space="preserve">demonstrate a statistically </w:t>
      </w:r>
      <w:r w:rsidRPr="007B4077">
        <w:rPr>
          <w:rFonts w:ascii="Calibri" w:hAnsi="Calibri" w:cs="Calibri"/>
        </w:rPr>
        <w:t>significant differen</w:t>
      </w:r>
      <w:r>
        <w:rPr>
          <w:rFonts w:ascii="Calibri" w:hAnsi="Calibri" w:cs="Calibri"/>
        </w:rPr>
        <w:t>ce</w:t>
      </w:r>
      <w:r w:rsidRPr="007B4077">
        <w:rPr>
          <w:rFonts w:ascii="Calibri" w:hAnsi="Calibri" w:cs="Calibri"/>
        </w:rPr>
        <w:t xml:space="preserve"> from </w:t>
      </w:r>
      <w:r>
        <w:rPr>
          <w:rFonts w:ascii="Calibri" w:hAnsi="Calibri" w:cs="Calibri"/>
        </w:rPr>
        <w:t xml:space="preserve">one. </w:t>
      </w:r>
    </w:p>
    <w:p w14:paraId="229D9127" w14:textId="77777777" w:rsidR="00497C19" w:rsidRPr="007B4077" w:rsidRDefault="00497C19" w:rsidP="00497C19">
      <w:pPr>
        <w:spacing w:line="360" w:lineRule="auto"/>
        <w:jc w:val="both"/>
        <w:rPr>
          <w:rFonts w:ascii="Calibri" w:hAnsi="Calibri" w:cs="Calibri"/>
        </w:rPr>
      </w:pPr>
    </w:p>
    <w:p w14:paraId="11D65ABD" w14:textId="77777777" w:rsidR="00497C19" w:rsidRPr="007B4077" w:rsidRDefault="00497C19" w:rsidP="00497C19">
      <w:pPr>
        <w:spacing w:line="360" w:lineRule="auto"/>
        <w:jc w:val="both"/>
        <w:rPr>
          <w:rFonts w:ascii="Calibri" w:hAnsi="Calibri" w:cs="Calibri"/>
        </w:rPr>
      </w:pPr>
      <w:r w:rsidRPr="009E08DB">
        <w:rPr>
          <w:rFonts w:ascii="Calibri" w:hAnsi="Calibri" w:cs="Calibri"/>
          <w:i/>
          <w:iCs/>
        </w:rPr>
        <w:t>VR</w:t>
      </w:r>
      <w:r w:rsidRPr="007B4077">
        <w:rPr>
          <w:rFonts w:ascii="Calibri" w:hAnsi="Calibri" w:cs="Calibri"/>
        </w:rPr>
        <w:t xml:space="preserve"> is defined as follows, with </w:t>
      </w:r>
      <w:r w:rsidRPr="009E08DB">
        <w:rPr>
          <w:rFonts w:ascii="Calibri" w:hAnsi="Calibri" w:cs="Calibri"/>
          <w:i/>
          <w:iCs/>
        </w:rPr>
        <w:t>AT</w:t>
      </w:r>
      <w:r w:rsidRPr="007B4077">
        <w:rPr>
          <w:rFonts w:ascii="Calibri" w:hAnsi="Calibri" w:cs="Calibri"/>
        </w:rPr>
        <w:t xml:space="preserve"> referring to the active treatment arm and </w:t>
      </w:r>
      <w:r w:rsidRPr="009E08DB">
        <w:rPr>
          <w:rFonts w:ascii="Calibri" w:hAnsi="Calibri" w:cs="Calibri"/>
          <w:i/>
          <w:iCs/>
        </w:rPr>
        <w:t>PL</w:t>
      </w:r>
      <w:r w:rsidRPr="007B4077">
        <w:rPr>
          <w:rFonts w:ascii="Calibri" w:hAnsi="Calibri" w:cs="Calibri"/>
        </w:rPr>
        <w:t xml:space="preserve"> referring to the placebo treatment arm:</w:t>
      </w:r>
    </w:p>
    <w:p w14:paraId="6763C8C5" w14:textId="77777777" w:rsidR="00497C19" w:rsidRPr="007B4077" w:rsidRDefault="00497C19" w:rsidP="00497C19">
      <w:pPr>
        <w:spacing w:line="360" w:lineRule="auto"/>
        <w:jc w:val="both"/>
        <w:rPr>
          <w:rFonts w:ascii="Calibri" w:hAnsi="Calibri" w:cs="Calibri"/>
        </w:rPr>
      </w:pPr>
      <m:oMathPara>
        <m:oMath>
          <m:r>
            <w:rPr>
              <w:rFonts w:ascii="Cambria Math" w:hAnsi="Cambria Math" w:cs="Calibri"/>
            </w:rPr>
            <w:lastRenderedPageBreak/>
            <m:t>VR=</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num>
            <m:den>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den>
          </m:f>
        </m:oMath>
      </m:oMathPara>
    </w:p>
    <w:p w14:paraId="7A1A0BAC" w14:textId="77777777" w:rsidR="00497C19" w:rsidRPr="007B4077" w:rsidRDefault="00497C19" w:rsidP="00497C19">
      <w:pPr>
        <w:spacing w:line="360" w:lineRule="auto"/>
        <w:jc w:val="both"/>
        <w:rPr>
          <w:rFonts w:ascii="Calibri" w:hAnsi="Calibri" w:cs="Calibri"/>
        </w:rPr>
      </w:pPr>
    </w:p>
    <w:p w14:paraId="543ECB15" w14:textId="445581AB" w:rsidR="00497C19" w:rsidRPr="007B4077" w:rsidRDefault="00497C19" w:rsidP="00497C19">
      <w:pPr>
        <w:spacing w:line="360" w:lineRule="auto"/>
        <w:jc w:val="both"/>
        <w:rPr>
          <w:rFonts w:ascii="Calibri" w:hAnsi="Calibri" w:cs="Calibri"/>
        </w:rPr>
      </w:pPr>
      <w:r w:rsidRPr="007B4077">
        <w:rPr>
          <w:rFonts w:ascii="Calibri" w:hAnsi="Calibri" w:cs="Calibri"/>
        </w:rPr>
        <w:t>The variable of clinical interest</w:t>
      </w:r>
      <w:r>
        <w:rPr>
          <w:rFonts w:ascii="Calibri" w:hAnsi="Calibri" w:cs="Calibri"/>
        </w:rPr>
        <w:t>, however,</w:t>
      </w:r>
      <w:r w:rsidRPr="007B4077">
        <w:rPr>
          <w:rFonts w:ascii="Calibri" w:hAnsi="Calibri" w:cs="Calibri"/>
        </w:rPr>
        <w:t xml:space="preserve"> is the variability of the treatment effect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sidRPr="007B4077">
        <w:rPr>
          <w:rFonts w:ascii="Calibri" w:eastAsiaTheme="minorEastAsia" w:hAnsi="Calibri" w:cs="Calibri"/>
        </w:rPr>
        <w:t>).</w:t>
      </w:r>
      <w:r>
        <w:rPr>
          <w:rFonts w:ascii="Calibri" w:eastAsiaTheme="minorEastAsia" w:hAnsi="Calibri" w:cs="Calibri"/>
        </w:rPr>
        <w:t xml:space="preserve"> This can be </w:t>
      </w:r>
      <w:r w:rsidR="00962893">
        <w:rPr>
          <w:rFonts w:ascii="Calibri" w:eastAsiaTheme="minorEastAsia" w:hAnsi="Calibri" w:cs="Calibri"/>
        </w:rPr>
        <w:t>estimated</w:t>
      </w:r>
      <w:r w:rsidRPr="007B4077">
        <w:rPr>
          <w:rFonts w:ascii="Calibri" w:eastAsiaTheme="minorEastAsia" w:hAnsi="Calibri" w:cs="Calibri"/>
        </w:rPr>
        <w:t xml:space="preserve"> </w:t>
      </w:r>
      <w:r>
        <w:rPr>
          <w:rFonts w:ascii="Calibri" w:eastAsiaTheme="minorEastAsia" w:hAnsi="Calibri" w:cs="Calibri"/>
        </w:rPr>
        <w:t>i</w:t>
      </w:r>
      <w:r w:rsidRPr="007B4077">
        <w:rPr>
          <w:rFonts w:ascii="Calibri" w:eastAsiaTheme="minorEastAsia" w:hAnsi="Calibri" w:cs="Calibri"/>
        </w:rPr>
        <w:t>f VR and the correlation (</w:t>
      </w:r>
      <m:oMath>
        <m:r>
          <w:rPr>
            <w:rFonts w:ascii="Cambria Math" w:hAnsi="Cambria Math" w:cs="Calibri"/>
          </w:rPr>
          <m:t>ρ</m:t>
        </m:r>
      </m:oMath>
      <w:r w:rsidRPr="007B4077">
        <w:rPr>
          <w:rFonts w:ascii="Calibri" w:eastAsiaTheme="minorEastAsia" w:hAnsi="Calibri" w:cs="Calibri"/>
        </w:rPr>
        <w:t>) between placebo-effect and treatment-effect are known</w:t>
      </w:r>
      <w:r>
        <w:rPr>
          <w:rFonts w:ascii="Calibri" w:eastAsiaTheme="minorEastAsia" w:hAnsi="Calibri" w:cs="Calibri"/>
        </w:rPr>
        <w:t>.</w:t>
      </w:r>
      <w:r w:rsidRPr="007B4077">
        <w:rPr>
          <w:rFonts w:ascii="Calibri" w:hAnsi="Calibri" w:cs="Calibri"/>
        </w:rPr>
        <w:t xml:space="preserve"> For instances where VR≥1, there is a single value of </w:t>
      </w:r>
      <m:oMath>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num>
          <m:den>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den>
        </m:f>
      </m:oMath>
      <w:r w:rsidRPr="007B4077">
        <w:rPr>
          <w:rFonts w:ascii="Calibri" w:eastAsiaTheme="minorEastAsia" w:hAnsi="Calibri" w:cs="Calibri"/>
        </w:rPr>
        <w:t xml:space="preserve"> for any value of </w:t>
      </w:r>
      <w:bookmarkStart w:id="13" w:name="_Hlk75957033"/>
      <m:oMath>
        <m:r>
          <w:rPr>
            <w:rFonts w:ascii="Cambria Math" w:hAnsi="Cambria Math" w:cs="Calibri"/>
          </w:rPr>
          <m:t>ρ</m:t>
        </m:r>
      </m:oMath>
      <w:bookmarkEnd w:id="13"/>
      <w:r w:rsidRPr="007B4077">
        <w:rPr>
          <w:rFonts w:ascii="Calibri" w:eastAsiaTheme="minorEastAsia" w:hAnsi="Calibri" w:cs="Calibri"/>
        </w:rPr>
        <w:t xml:space="preserve"> </w:t>
      </w:r>
      <w:r w:rsidRPr="007B4077">
        <w:rPr>
          <w:rFonts w:ascii="Calibri" w:hAnsi="Calibri" w:cs="Calibri"/>
        </w:rPr>
        <w:t>:</w:t>
      </w:r>
    </w:p>
    <w:bookmarkStart w:id="14" w:name="_Hlk76017577"/>
    <w:p w14:paraId="0801B960" w14:textId="77777777" w:rsidR="00497C19" w:rsidRPr="007B4077" w:rsidRDefault="00890F63" w:rsidP="00497C19">
      <w:pPr>
        <w:spacing w:line="36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w:bookmarkEnd w:id="14"/>
          <m:r>
            <w:rPr>
              <w:rFonts w:ascii="Cambria Math" w:hAnsi="Cambria Math" w:cs="Calibri"/>
            </w:rPr>
            <m:t>=</m:t>
          </m:r>
          <w:bookmarkStart w:id="15" w:name="_Hlk79581110"/>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d>
            <m:dPr>
              <m:ctrlPr>
                <w:rPr>
                  <w:rFonts w:ascii="Cambria Math" w:hAnsi="Cambria Math" w:cs="Calibri"/>
                  <w:i/>
                </w:rPr>
              </m:ctrlPr>
            </m:dPr>
            <m:e>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VR</m:t>
                      </m:r>
                    </m:e>
                    <m:sup>
                      <m:r>
                        <w:rPr>
                          <w:rFonts w:ascii="Cambria Math" w:hAnsi="Cambria Math" w:cs="Calibri"/>
                        </w:rPr>
                        <m:t>2</m:t>
                      </m:r>
                    </m:sup>
                  </m:sSup>
                  <m:r>
                    <w:rPr>
                      <w:rFonts w:ascii="Cambria Math" w:hAnsi="Cambria Math" w:cs="Calibri"/>
                    </w:rPr>
                    <m:t>-1+</m:t>
                  </m:r>
                  <m:sSup>
                    <m:sSupPr>
                      <m:ctrlPr>
                        <w:rPr>
                          <w:rFonts w:ascii="Cambria Math" w:hAnsi="Cambria Math" w:cs="Calibri"/>
                          <w:i/>
                        </w:rPr>
                      </m:ctrlPr>
                    </m:sSupPr>
                    <m:e>
                      <m:r>
                        <w:rPr>
                          <w:rFonts w:ascii="Cambria Math" w:hAnsi="Cambria Math" w:cs="Calibri"/>
                        </w:rPr>
                        <m:t>ρ</m:t>
                      </m:r>
                    </m:e>
                    <m:sup>
                      <m:r>
                        <w:rPr>
                          <w:rFonts w:ascii="Cambria Math" w:hAnsi="Cambria Math" w:cs="Calibri"/>
                        </w:rPr>
                        <m:t>2</m:t>
                      </m:r>
                    </m:sup>
                  </m:sSup>
                </m:e>
              </m:rad>
              <m:r>
                <w:rPr>
                  <w:rFonts w:ascii="Cambria Math" w:hAnsi="Cambria Math" w:cs="Calibri"/>
                </w:rPr>
                <m:t>-</m:t>
              </m:r>
              <w:bookmarkStart w:id="16" w:name="_Hlk72157273"/>
              <m:r>
                <w:rPr>
                  <w:rFonts w:ascii="Cambria Math" w:hAnsi="Cambria Math" w:cs="Calibri"/>
                </w:rPr>
                <m:t>ρ</m:t>
              </m:r>
              <w:bookmarkEnd w:id="16"/>
            </m:e>
          </m:d>
        </m:oMath>
      </m:oMathPara>
      <w:bookmarkEnd w:id="15"/>
    </w:p>
    <w:p w14:paraId="45315C0F" w14:textId="77777777" w:rsidR="00497C19" w:rsidRPr="007B4077" w:rsidRDefault="00497C19" w:rsidP="00497C19">
      <w:pPr>
        <w:spacing w:line="360" w:lineRule="auto"/>
        <w:rPr>
          <w:rFonts w:ascii="Calibri" w:hAnsi="Calibri" w:cs="Calibri"/>
          <w:i/>
          <w:iCs/>
        </w:rPr>
      </w:pPr>
    </w:p>
    <w:p w14:paraId="11A59088" w14:textId="77777777" w:rsidR="00497C19" w:rsidRPr="007B4077" w:rsidRDefault="00497C19" w:rsidP="00497C19">
      <w:pPr>
        <w:spacing w:line="360" w:lineRule="auto"/>
        <w:rPr>
          <w:rFonts w:ascii="Calibri" w:hAnsi="Calibri" w:cs="Calibri"/>
        </w:rPr>
      </w:pPr>
      <w:bookmarkStart w:id="17" w:name="_Hlk72157155"/>
      <w:r w:rsidRPr="007B4077">
        <w:rPr>
          <w:rFonts w:ascii="Calibri" w:hAnsi="Calibri" w:cs="Calibri"/>
        </w:rPr>
        <w:t>Whereas for instances where VR≤1 there are two possible solutions:</w:t>
      </w:r>
    </w:p>
    <w:p w14:paraId="17A66629" w14:textId="77777777" w:rsidR="00497C19" w:rsidRPr="007B4077" w:rsidRDefault="00497C19" w:rsidP="00497C19">
      <w:pPr>
        <w:spacing w:line="360" w:lineRule="auto"/>
        <w:rPr>
          <w:rFonts w:ascii="Calibri" w:hAnsi="Calibri" w:cs="Calibri"/>
        </w:rPr>
      </w:pPr>
    </w:p>
    <w:bookmarkStart w:id="18" w:name="_Hlk76038742"/>
    <w:bookmarkStart w:id="19" w:name="_Hlk76038756"/>
    <w:p w14:paraId="65A9E193" w14:textId="77777777" w:rsidR="00497C19" w:rsidRPr="007B4077" w:rsidRDefault="00890F63" w:rsidP="00497C19">
      <w:pPr>
        <w:spacing w:line="36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w:bookmarkEnd w:id="18"/>
          <m:r>
            <w:rPr>
              <w:rFonts w:ascii="Cambria Math" w:hAnsi="Cambria Math" w:cs="Calibri"/>
            </w:rPr>
            <m:t>=</m:t>
          </m:r>
          <w:bookmarkStart w:id="20" w:name="_Hlk75962257"/>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w:bookmarkEnd w:id="20"/>
          <m:d>
            <m:dPr>
              <m:ctrlPr>
                <w:rPr>
                  <w:rFonts w:ascii="Cambria Math" w:hAnsi="Cambria Math" w:cs="Calibri"/>
                  <w:i/>
                </w:rPr>
              </m:ctrlPr>
            </m:dPr>
            <m:e>
              <m:r>
                <w:rPr>
                  <w:rFonts w:ascii="Cambria Math" w:hAnsi="Cambria Math" w:cs="Calibri"/>
                </w:rPr>
                <m:t>±</m:t>
              </m:r>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VR</m:t>
                      </m:r>
                    </m:e>
                    <m:sup>
                      <m:r>
                        <w:rPr>
                          <w:rFonts w:ascii="Cambria Math" w:hAnsi="Cambria Math" w:cs="Calibri"/>
                        </w:rPr>
                        <m:t>2</m:t>
                      </m:r>
                    </m:sup>
                  </m:sSup>
                  <m:r>
                    <w:rPr>
                      <w:rFonts w:ascii="Cambria Math" w:hAnsi="Cambria Math" w:cs="Calibri"/>
                    </w:rPr>
                    <m:t>-1+</m:t>
                  </m:r>
                  <m:sSup>
                    <m:sSupPr>
                      <m:ctrlPr>
                        <w:rPr>
                          <w:rFonts w:ascii="Cambria Math" w:hAnsi="Cambria Math" w:cs="Calibri"/>
                          <w:i/>
                        </w:rPr>
                      </m:ctrlPr>
                    </m:sSupPr>
                    <m:e>
                      <m:r>
                        <w:rPr>
                          <w:rFonts w:ascii="Cambria Math" w:hAnsi="Cambria Math" w:cs="Calibri"/>
                        </w:rPr>
                        <m:t>ρ</m:t>
                      </m:r>
                    </m:e>
                    <m:sup>
                      <m:r>
                        <w:rPr>
                          <w:rFonts w:ascii="Cambria Math" w:hAnsi="Cambria Math" w:cs="Calibri"/>
                        </w:rPr>
                        <m:t>2</m:t>
                      </m:r>
                    </m:sup>
                  </m:sSup>
                </m:e>
              </m:rad>
              <m:r>
                <w:rPr>
                  <w:rFonts w:ascii="Cambria Math" w:hAnsi="Cambria Math" w:cs="Calibri"/>
                </w:rPr>
                <m:t>-</m:t>
              </m:r>
              <w:bookmarkStart w:id="21" w:name="_Hlk72158898"/>
              <m:r>
                <w:rPr>
                  <w:rFonts w:ascii="Cambria Math" w:hAnsi="Cambria Math" w:cs="Calibri"/>
                </w:rPr>
                <m:t>ρ</m:t>
              </m:r>
              <w:bookmarkEnd w:id="21"/>
            </m:e>
          </m:d>
        </m:oMath>
      </m:oMathPara>
      <w:bookmarkEnd w:id="17"/>
    </w:p>
    <w:bookmarkEnd w:id="19"/>
    <w:p w14:paraId="413FA476" w14:textId="77777777" w:rsidR="00497C19" w:rsidRPr="007B4077" w:rsidRDefault="00497C19" w:rsidP="00497C19">
      <w:pPr>
        <w:spacing w:line="360" w:lineRule="auto"/>
        <w:rPr>
          <w:rFonts w:ascii="Calibri" w:hAnsi="Calibri" w:cs="Calibri"/>
        </w:rPr>
      </w:pPr>
    </w:p>
    <w:p w14:paraId="2EC66FEF" w14:textId="35418271" w:rsidR="00962893" w:rsidRDefault="00962893" w:rsidP="00497C19">
      <w:pPr>
        <w:spacing w:line="360" w:lineRule="auto"/>
        <w:jc w:val="both"/>
        <w:rPr>
          <w:rFonts w:ascii="Calibri" w:eastAsiaTheme="minorEastAsia" w:hAnsi="Calibri" w:cs="Calibri"/>
        </w:rPr>
      </w:pPr>
      <w:r>
        <w:rPr>
          <w:rFonts w:ascii="Calibri" w:hAnsi="Calibri" w:cs="Calibri"/>
        </w:rPr>
        <w:t>In what follows we use the former formula; see some discussion</w:t>
      </w:r>
      <w:r w:rsidR="008F78B9">
        <w:rPr>
          <w:rFonts w:ascii="Calibri" w:hAnsi="Calibri" w:cs="Calibri"/>
        </w:rPr>
        <w:t xml:space="preserve"> below </w:t>
      </w:r>
      <w:r w:rsidR="008F78B9">
        <w:rPr>
          <w:rFonts w:ascii="Calibri" w:eastAsiaTheme="minorEastAsia" w:hAnsi="Calibri" w:cs="Calibri"/>
        </w:rPr>
        <w:t>and also</w:t>
      </w:r>
      <w:r w:rsidR="008F78B9">
        <w:rPr>
          <w:rFonts w:ascii="Calibri" w:eastAsiaTheme="minorEastAsia" w:hAnsi="Calibri" w:cs="Calibri"/>
        </w:rPr>
        <w:fldChar w:fldCharType="begin" w:fldLock="1"/>
      </w:r>
      <w:r w:rsidR="001C2ECA">
        <w:rPr>
          <w:rFonts w:ascii="Calibri" w:eastAsiaTheme="minorEastAsia" w:hAnsi="Calibri" w:cs="Calibri"/>
        </w:rPr>
        <w:instrText>ADDIN CSL_CITATION {"citationItems":[{"id":"ITEM-1","itemData":{"ISSN":"2331-8422","abstract":"Recently, the variability ratio (VR) effect size statistic has been used with increasing frequency in the study of differences in variation of a measured variable between two study populations. More specifically, the VR effect size statistic allows for the detection of treatment effect heterogeneity (TEH) of medical interventions. While a VR that is different from 1 is widely acknowledged to implicate a treatment effect heterogeneity (TEH) the exact relationship between those two quantities has not been discussed in detail thus far. In this note we derive a precise connection between TEH and VR. In particular, we derive precise upper and lower bounds on the TEH in terms of VR. Moreover, we provide an exemplary simulation for which VR is equal to 1 and there exist TEH. Our result has implications for the interpretation of VR effect size estimates regarding its connection to treatment effect heterogeneity of (medical) interventions.","author":[{"dropping-particle":"","family":"Volkmann","given":"Alexander","non-dropping-particle":"","parse-names":false,"suffix":""}],"id":"ITEM-1","issue":"2019","issued":{"date-parts":[["2020"]]},"title":"On the Relationship between Treatment Effect Heterogeneity and the Variability Ratio Effect Size Statistic","type":"article-journal"},"uris":["http://www.mendeley.com/documents/?uuid=fa1ddb79-2953-43fa-9413-ba5152a78eb9"]},{"id":"ITEM-2","itemData":{"DOI":"10.1371/journal.pone.0241497","ISBN":"1111111111","ISSN":"19326203","PMID":"33175895","abstract":"Background The average treatment effect of antidepressants in major depression was found to be about 2 points on the 17-item Hamilton Depression Rating Scale, which lies below clinical relevance. Here, we searched for evidence of a relevant treatment effect heterogeneity that could justify the usage of antidepressants despite their low average treatment effect. Methods Bayesian meta-analysis of 169 randomized, controlled trials including 58,687 patients. We considered the effect sizes log variability ratio (lnVR) and log coefficient of variation ratio (lnCVR) to analyze the difference in variability of active and placebo response. We used Bayesian random-effects meta-analyses (REMA) for lnVR and lnCVR and fitted a random-effects meta-regression (REMR) model to estimate the treatment effect variability between antidepressants and placebo. Results The variability ratio was found to be very close to 1 in the best fitting models (REMR: 95% highest density interval (HDI) [0.98, 1.02], REMA: 95% HDI [1.00, 1.02]). The between-study standard deviation τ under the REMA with respect to lnVR was found to be low (95% HDI [0.00, 0.02]). Simulations showed that a large treatment effect heterogeneity is only compatible with the data if a strong correlation between placebo response and individual treatment effect is assumed. Conclusions The published data from RCTs on antidepressants for the treatment of major depression is compatible with a near-constant treatment effect. Although it is impossible to rule out a substantial treatment effect heterogeneity, its existence seems rather unlikely. Since the average treatment effect of antidepressants falls short of clinical relevance, the current prescribing practice should be re-evaluated.","author":[{"dropping-particle":"","family":"Volkmann","given":"Constantin","non-dropping-particle":"","parse-names":false,"suffix":""},{"dropping-particle":"","family":"Volkmann","given":"Alexander","non-dropping-particle":"","parse-names":false,"suffix":""},{"dropping-particle":"","family":"Müller","given":"Christian A.","non-dropping-particle":"","parse-names":false,"suffix":""}],"container-title":"PLoS ONE","id":"ITEM-2","issue":"11 November","issued":{"date-parts":[["2020"]]},"page":"1-22","title":"On the treatment effect heterogeneity of antidepressants in major depression: A Bayesian meta-analysis and simulation study","type":"article-journal","volume":"15"},"uris":["http://www.mendeley.com/documents/?uuid=fb12c6f5-54cf-4e36-8bdb-55ba1e76244a"]}],"mendeley":{"formattedCitation":"&lt;sup&gt;6,7&lt;/sup&gt;","plainTextFormattedCitation":"6,7","previouslyFormattedCitation":"&lt;sup&gt;6,7&lt;/sup&gt;"},"properties":{"noteIndex":0},"schema":"https://github.com/citation-style-language/schema/raw/master/csl-citation.json"}</w:instrText>
      </w:r>
      <w:r w:rsidR="008F78B9">
        <w:rPr>
          <w:rFonts w:ascii="Calibri" w:eastAsiaTheme="minorEastAsia" w:hAnsi="Calibri" w:cs="Calibri"/>
        </w:rPr>
        <w:fldChar w:fldCharType="separate"/>
      </w:r>
      <w:r w:rsidR="001C2ECA" w:rsidRPr="001C2ECA">
        <w:rPr>
          <w:rFonts w:ascii="Calibri" w:eastAsiaTheme="minorEastAsia" w:hAnsi="Calibri" w:cs="Calibri"/>
          <w:noProof/>
          <w:vertAlign w:val="superscript"/>
        </w:rPr>
        <w:t>6,7</w:t>
      </w:r>
      <w:r w:rsidR="008F78B9">
        <w:rPr>
          <w:rFonts w:ascii="Calibri" w:eastAsiaTheme="minorEastAsia" w:hAnsi="Calibri" w:cs="Calibri"/>
        </w:rPr>
        <w:fldChar w:fldCharType="end"/>
      </w:r>
      <w:r w:rsidR="008F78B9">
        <w:rPr>
          <w:rFonts w:ascii="Calibri" w:eastAsiaTheme="minorEastAsia" w:hAnsi="Calibri" w:cs="Calibri"/>
        </w:rPr>
        <w:t xml:space="preserve"> </w:t>
      </w:r>
      <w:r>
        <w:rPr>
          <w:rFonts w:ascii="Calibri" w:hAnsi="Calibri" w:cs="Calibri"/>
        </w:rPr>
        <w:t xml:space="preserve"> regarding the second. </w:t>
      </w:r>
    </w:p>
    <w:p w14:paraId="1BE45DA0" w14:textId="77777777" w:rsidR="008F78B9" w:rsidRDefault="008F78B9" w:rsidP="00497C19">
      <w:pPr>
        <w:spacing w:line="360" w:lineRule="auto"/>
        <w:jc w:val="both"/>
        <w:rPr>
          <w:rFonts w:ascii="Calibri" w:hAnsi="Calibri" w:cs="Calibri"/>
        </w:rPr>
      </w:pPr>
    </w:p>
    <w:p w14:paraId="4313F1C5" w14:textId="09FAA80E" w:rsidR="003331D4" w:rsidRDefault="00497C19" w:rsidP="00497C19">
      <w:pPr>
        <w:spacing w:line="360" w:lineRule="auto"/>
        <w:jc w:val="both"/>
        <w:rPr>
          <w:rFonts w:ascii="Calibri" w:eastAsiaTheme="minorEastAsia" w:hAnsi="Calibri" w:cs="Calibri"/>
        </w:rPr>
      </w:pPr>
      <w:r w:rsidRPr="007B4077">
        <w:rPr>
          <w:rFonts w:ascii="Calibri" w:hAnsi="Calibri" w:cs="Calibri"/>
        </w:rPr>
        <w:t xml:space="preserve">After estimating the value for </w:t>
      </w:r>
      <m:oMath>
        <m:r>
          <w:rPr>
            <w:rFonts w:ascii="Cambria Math" w:hAnsi="Cambria Math" w:cs="Calibri"/>
          </w:rPr>
          <m:t>ρ</m:t>
        </m:r>
      </m:oMath>
      <w:r w:rsidRPr="007B4077">
        <w:rPr>
          <w:rFonts w:ascii="Calibri" w:eastAsiaTheme="minorEastAsia" w:hAnsi="Calibri" w:cs="Calibri"/>
        </w:rPr>
        <w:t xml:space="preserve"> as described </w:t>
      </w:r>
      <w:r w:rsidR="0047511A">
        <w:rPr>
          <w:rFonts w:ascii="Calibri" w:eastAsiaTheme="minorEastAsia" w:hAnsi="Calibri" w:cs="Calibri"/>
        </w:rPr>
        <w:t>in the main paper</w:t>
      </w:r>
      <w:r w:rsidR="0047511A" w:rsidRPr="007B4077">
        <w:rPr>
          <w:rFonts w:ascii="Calibri" w:eastAsiaTheme="minorEastAsia" w:hAnsi="Calibri" w:cs="Calibri"/>
        </w:rPr>
        <w:t xml:space="preserve"> </w:t>
      </w:r>
      <w:r w:rsidR="006131BE">
        <w:rPr>
          <w:rFonts w:ascii="Calibri" w:eastAsiaTheme="minorEastAsia" w:hAnsi="Calibri" w:cs="Calibri"/>
        </w:rPr>
        <w:t xml:space="preserve">(i.e. using three different methods, and picking the most conservative estimate for </w:t>
      </w:r>
      <m:oMath>
        <m:r>
          <w:rPr>
            <w:rFonts w:ascii="Cambria Math" w:hAnsi="Cambria Math" w:cs="Calibri"/>
          </w:rPr>
          <m:t>ρ</m:t>
        </m:r>
      </m:oMath>
      <w:r w:rsidR="006131BE">
        <w:rPr>
          <w:rFonts w:ascii="Calibri" w:eastAsiaTheme="minorEastAsia" w:hAnsi="Calibri" w:cs="Calibri"/>
        </w:rPr>
        <w:t xml:space="preserve">) </w:t>
      </w:r>
      <w:r w:rsidRPr="007B4077">
        <w:rPr>
          <w:rFonts w:ascii="Calibri" w:eastAsiaTheme="minorEastAsia" w:hAnsi="Calibri" w:cs="Calibri"/>
        </w:rPr>
        <w:t xml:space="preserve">we </w:t>
      </w:r>
      <w:r w:rsidR="003331D4">
        <w:rPr>
          <w:rFonts w:ascii="Calibri" w:eastAsiaTheme="minorEastAsia" w:hAnsi="Calibri" w:cs="Calibri"/>
        </w:rPr>
        <w:t xml:space="preserve">then calculated </w:t>
      </w:r>
      <w:bookmarkStart w:id="22" w:name="_Hlk76030045"/>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sidR="003331D4">
        <w:rPr>
          <w:rFonts w:ascii="Calibri" w:eastAsiaTheme="minorEastAsia" w:hAnsi="Calibri" w:cs="Calibri"/>
        </w:rPr>
        <w:t xml:space="preserve"> </w:t>
      </w:r>
      <w:bookmarkEnd w:id="22"/>
      <w:r w:rsidR="003331D4">
        <w:rPr>
          <w:rFonts w:ascii="Calibri" w:eastAsiaTheme="minorEastAsia" w:hAnsi="Calibri" w:cs="Calibri"/>
        </w:rPr>
        <w:t xml:space="preserve">for all studies </w:t>
      </w:r>
      <w:r w:rsidR="00505EA7">
        <w:rPr>
          <w:rFonts w:ascii="Calibri" w:eastAsiaTheme="minorEastAsia" w:hAnsi="Calibri" w:cs="Calibri"/>
        </w:rPr>
        <w:t>from</w:t>
      </w:r>
      <w:r w:rsidR="003331D4">
        <w:rPr>
          <w:rFonts w:ascii="Calibri" w:eastAsiaTheme="minorEastAsia" w:hAnsi="Calibri" w:cs="Calibri"/>
        </w:rPr>
        <w:t xml:space="preserve"> a recent meta-analysis</w:t>
      </w:r>
      <w:r w:rsidR="00962893">
        <w:rPr>
          <w:rFonts w:ascii="Calibri" w:eastAsiaTheme="minorEastAsia" w:hAnsi="Calibri" w:cs="Calibri"/>
        </w:rPr>
        <w:fldChar w:fldCharType="begin" w:fldLock="1"/>
      </w:r>
      <w:r w:rsidR="001C2ECA">
        <w:rPr>
          <w:rFonts w:ascii="Calibri" w:eastAsiaTheme="minorEastAsia" w:hAnsi="Calibri" w:cs="Calibri"/>
        </w:rPr>
        <w:instrText>ADDIN CSL_CITATION {"citationItems":[{"id":"ITEM-1","itemData":{"DOI":"10.1038/s41380-019-0502-5","ISBN":"4138001905","ISSN":"14765578","PMID":"31471576","abstract":"The response to antipsychotic treatment in schizophrenia appears to vary, and as such it has been proposed that different subtypes of schizophrenia exist, defined by treatment-response. This has not been formally examined using meta-analysis. Randomised controlled trials comparing placebo and antipsychotics in acute treatment of schizophrenia listed in PubMed, EMBASE and PsycINFO from inception until 30 November 2018 were examined. Relative variability of symptomatic improvement in antipsychotic-treated individuals compared to placebo-treated individuals was quantified using coefficient of variation ratio (CVR). Mean difference in symptom change was quantified using Hedges’ g. In addition, individual patient data from two clinical trials was examined in terms of both the distribution of total symptom change, and the variability of individual symptoms and symptom factors. In total, 11,006 articles were identified. Sixty six met inclusion criteria, reporting on 17,202 patients. Compared with placebo, antipsychotic-treated patients demonstrated greater total symptom improvement (g = 0.47, p &lt; 0.001) and reduced variability in symptomatic improvement for total (CVR = 0.86, p &lt; 0.001), positive (CVR = 0.89, p &lt; 0.001), and negative symptoms (CVR = 0.86, p = 0.001). Lower variability in antipsychotic-response relative to placebo was associated with studies published earlier (z = 3.98, p &lt; 0.001), younger patients (z = 3.07, p = 0.002), higher dose treatments (z = −2.62, p = 0.009), and greater mean-difference in symptom-change (z = −5.70, p &lt; 0.001). In the individual patient dataset (N = 522 patients), antipsychotic treated patients did not show significantly increased variability for any individual symptom, and there was no evidence of a bimodal distribution of response. Compared to placebo, antipsychotic treatment shows greater improvement and lower variability of change in total, positive and negative symptoms. This is contrary to the hypothesis that there is a subtype of antipsychotic non-responsive schizophrenia. Instead our findings, provide evidence for a relatively homogeneous effect of antipsychotic treatment in improving symptoms of schizophrenia.","author":[{"dropping-particle":"","family":"McCutcheon","given":"Robert A.","non-dropping-particle":"","parse-names":false,"suffix":""},{"dropping-particle":"","family":"Pillinger","given":"Toby","non-dropping-particle":"","parse-names":false,"suffix":""},{"dropping-particle":"","family":"Mizuno","given":"Yuya","non-dropping-particle":"","parse-names":false,"suffix":""},{"dropping-particle":"","family":"Montgomery","given":"Adam","non-dropping-particle":"","parse-names":false,"suffix":""},{"dropping-particle":"","family":"Pandian","given":"Haridha","non-dropping-particle":"","parse-names":false,"suffix":""},{"dropping-particle":"","family":"Vano","given":"Luke","non-dropping-particle":"","parse-names":false,"suffix":""},{"dropping-particle":"","family":"Marques","given":"Tiago Reis","non-dropping-particle":"","parse-names":false,"suffix":""},{"dropping-particle":"","family":"Howes","given":"Oliver D.","non-dropping-particle":"","parse-names":false,"suffix":""}],"container-title":"Molecular Psychiatry","id":"ITEM-1","issue":"4","issued":{"date-parts":[["2021"]]},"page":"1310-1320","publisher":"Springer US","title":"The efficacy and heterogeneity of antipsychotic response in schizophrenia: A meta-analysis","type":"article-journal","volume":"26"},"uris":["http://www.mendeley.com/documents/?uuid=881a4cd0-3518-44f5-b6a3-10f14764ecb8"]}],"mendeley":{"formattedCitation":"&lt;sup&gt;2&lt;/sup&gt;","plainTextFormattedCitation":"2","previouslyFormattedCitation":"&lt;sup&gt;2&lt;/sup&gt;"},"properties":{"noteIndex":0},"schema":"https://github.com/citation-style-language/schema/raw/master/csl-citation.json"}</w:instrText>
      </w:r>
      <w:r w:rsidR="00962893">
        <w:rPr>
          <w:rFonts w:ascii="Calibri" w:eastAsiaTheme="minorEastAsia" w:hAnsi="Calibri" w:cs="Calibri"/>
        </w:rPr>
        <w:fldChar w:fldCharType="separate"/>
      </w:r>
      <w:r w:rsidR="00312F45" w:rsidRPr="00312F45">
        <w:rPr>
          <w:rFonts w:ascii="Calibri" w:eastAsiaTheme="minorEastAsia" w:hAnsi="Calibri" w:cs="Calibri"/>
          <w:noProof/>
          <w:vertAlign w:val="superscript"/>
        </w:rPr>
        <w:t>2</w:t>
      </w:r>
      <w:r w:rsidR="00962893">
        <w:rPr>
          <w:rFonts w:ascii="Calibri" w:eastAsiaTheme="minorEastAsia" w:hAnsi="Calibri" w:cs="Calibri"/>
        </w:rPr>
        <w:fldChar w:fldCharType="end"/>
      </w:r>
      <w:r w:rsidR="00962893">
        <w:rPr>
          <w:rFonts w:ascii="Calibri" w:eastAsiaTheme="minorEastAsia" w:hAnsi="Calibri" w:cs="Calibri"/>
        </w:rPr>
        <w:t xml:space="preserve"> given the formula above</w:t>
      </w:r>
      <w:r w:rsidR="003331D4">
        <w:rPr>
          <w:rFonts w:ascii="Calibri" w:eastAsiaTheme="minorEastAsia" w:hAnsi="Calibri" w:cs="Calibri"/>
        </w:rPr>
        <w:t>. The sampling variance for</w:t>
      </w:r>
      <w:r w:rsidR="008A6643">
        <w:rPr>
          <w:rFonts w:ascii="Calibri" w:eastAsiaTheme="minorEastAsia" w:hAnsi="Calibri" w:cs="Calibri"/>
        </w:rPr>
        <w:t xml:space="preserve"> the natural logarithm of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sidR="008A6643">
        <w:rPr>
          <w:rFonts w:ascii="Calibri" w:eastAsiaTheme="minorEastAsia" w:hAnsi="Calibri" w:cs="Calibri"/>
        </w:rPr>
        <w:t>,</w:t>
      </w:r>
      <w:r w:rsidR="003331D4">
        <w:rPr>
          <w:rFonts w:ascii="Calibri" w:eastAsiaTheme="minorEastAsia" w:hAnsi="Calibri" w:cs="Calibri"/>
        </w:rPr>
        <w:t xml:space="preserve"> </w:t>
      </w: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func>
      </m:oMath>
      <w:r w:rsidR="003331D4">
        <w:rPr>
          <w:rFonts w:ascii="Calibri" w:eastAsiaTheme="minorEastAsia" w:hAnsi="Calibri" w:cs="Calibri"/>
        </w:rPr>
        <w:t xml:space="preserve"> </w:t>
      </w:r>
      <w:r w:rsidR="00D74D81">
        <w:rPr>
          <w:rFonts w:ascii="Calibri" w:eastAsiaTheme="minorEastAsia" w:hAnsi="Calibri" w:cs="Calibri"/>
        </w:rPr>
        <w:t xml:space="preserve">was estimated </w:t>
      </w:r>
      <w:r w:rsidR="0078412F">
        <w:rPr>
          <w:rFonts w:ascii="Calibri" w:eastAsiaTheme="minorEastAsia" w:hAnsi="Calibri" w:cs="Calibri"/>
        </w:rPr>
        <w:t xml:space="preserve">numerically. More specifically, </w:t>
      </w:r>
      <w:r w:rsidR="006131BE">
        <w:rPr>
          <w:rFonts w:ascii="Calibri" w:eastAsiaTheme="minorEastAsia" w:hAnsi="Calibri" w:cs="Calibri"/>
        </w:rPr>
        <w:t xml:space="preserve">based on previous work, </w:t>
      </w:r>
      <w:r w:rsidR="0078412F">
        <w:rPr>
          <w:rFonts w:ascii="Calibri" w:eastAsiaTheme="minorEastAsia" w:hAnsi="Calibri" w:cs="Calibri"/>
        </w:rPr>
        <w:t xml:space="preserve">for every study we can estimate the population standard deviation and </w:t>
      </w:r>
      <w:r w:rsidR="00544227">
        <w:rPr>
          <w:rFonts w:ascii="Calibri" w:eastAsiaTheme="minorEastAsia" w:hAnsi="Calibri" w:cs="Calibri"/>
        </w:rPr>
        <w:t xml:space="preserve">the </w:t>
      </w:r>
      <w:r w:rsidR="0078412F">
        <w:rPr>
          <w:rFonts w:ascii="Calibri" w:eastAsiaTheme="minorEastAsia" w:hAnsi="Calibri" w:cs="Calibri"/>
        </w:rPr>
        <w:t xml:space="preserve">sampling variance of </w:t>
      </w: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e>
        </m:func>
      </m:oMath>
      <w:r w:rsidR="006131BE">
        <w:rPr>
          <w:rFonts w:ascii="Calibri" w:eastAsiaTheme="minorEastAsia" w:hAnsi="Calibri" w:cs="Calibri"/>
        </w:rPr>
        <w:t xml:space="preserve"> as</w:t>
      </w:r>
      <w:r w:rsidR="006A7D4D">
        <w:rPr>
          <w:rFonts w:ascii="Calibri" w:eastAsiaTheme="minorEastAsia" w:hAnsi="Calibri" w:cs="Calibri"/>
        </w:rPr>
        <w:fldChar w:fldCharType="begin" w:fldLock="1"/>
      </w:r>
      <w:r w:rsidR="001C2ECA">
        <w:rPr>
          <w:rFonts w:ascii="Calibri" w:eastAsiaTheme="minorEastAsia" w:hAnsi="Calibri" w:cs="Calibri"/>
        </w:rPr>
        <w:instrText>ADDIN CSL_CITATION {"citationItems":[{"id":"ITEM-1","itemData":{"DOI":"10.1111/2041-210X.12309","ISSN":"2041210X","abstract":"Summary: Meta-analysis has become a standard way of summarizing empirical studies in many fields, including ecology and evolution. In ecology and evolution, meta-analyses comparing two groups (usually experimental and control groups) have almost exclusively focused on comparing the means, using standardized metrics such as Cohen's / Hedges' d or the response ratio. However, an experimental treatment may not only affect the mean but also the variance. Investigating differences in the variance between two groups may be informative, especially when a treatment influences the variance in addition to or instead of the mean. In this paper, we propose the effect size statistic lnCVR (the natural logarithm of the ratio between the coefficients of variation, CV, from two groups), which enables us to meta-analytically compare differences between the variability of two groups. We illustrate the use of lnCVR with examples from ecology and evolution. Further, as an alternative approach to the use of lnCVR, we propose the combined use of ln s (the log standard deviation) and lnx- (the log mean) in a hierarchical (linear mixed) model. The use of ln s with lnx- overcomes potential limitations of lnCVR and it provides a more flexible, albeit more complex, way to examine variation beyond two-group comparisons. Relevantly, we also refer to the potential use of ln s and lnCV (the log CV) in the context of comparative analysis. Our approaches to compare variability could be applied to already published meta-analytic data sets that compare two-group means to uncover potentially overlooked effects on the variance. Additionally, our approaches should be applied to future meta-analyses, especially when one suspects a treatment has an effect not only on the mean, but also on the variance. Notably, the application of the proposed methods extends beyond the fields of ecology and evolution.","author":[{"dropping-particle":"","family":"Nakagawa","given":"Shinichi","non-dropping-particle":"","parse-names":false,"suffix":""},{"dropping-particle":"","family":"Poulin","given":"Robert","non-dropping-particle":"","parse-names":false,"suffix":""},{"dropping-particle":"","family":"Mengersen","given":"Kerrie","non-dropping-particle":"","parse-names":false,"suffix":""},{"dropping-particle":"","family":"Reinhold","given":"Klaus","non-dropping-particle":"","parse-names":false,"suffix":""},{"dropping-particle":"","family":"Engqvist","given":"Leif","non-dropping-particle":"","parse-names":false,"suffix":""},{"dropping-particle":"","family":"Lagisz","given":"Malgorzata","non-dropping-particle":"","parse-names":false,"suffix":""},{"dropping-particle":"","family":"Senior","given":"Alistair M.","non-dropping-particle":"","parse-names":false,"suffix":""}],"container-title":"Methods in Ecology and Evolution","id":"ITEM-1","issue":"2","issued":{"date-parts":[["2015"]]},"page":"143-152","title":"Meta-analysis of variation: Ecological and evolutionary applications and beyond","type":"article-journal","volume":"6"},"uris":["http://www.mendeley.com/documents/?uuid=ac104acd-4a57-4145-8621-e0fa1258399b"]}],"mendeley":{"formattedCitation":"&lt;sup&gt;8&lt;/sup&gt;","plainTextFormattedCitation":"8","previouslyFormattedCitation":"&lt;sup&gt;8&lt;/sup&gt;"},"properties":{"noteIndex":0},"schema":"https://github.com/citation-style-language/schema/raw/master/csl-citation.json"}</w:instrText>
      </w:r>
      <w:r w:rsidR="006A7D4D">
        <w:rPr>
          <w:rFonts w:ascii="Calibri" w:eastAsiaTheme="minorEastAsia" w:hAnsi="Calibri" w:cs="Calibri"/>
        </w:rPr>
        <w:fldChar w:fldCharType="separate"/>
      </w:r>
      <w:r w:rsidR="001C2ECA" w:rsidRPr="001C2ECA">
        <w:rPr>
          <w:rFonts w:ascii="Calibri" w:eastAsiaTheme="minorEastAsia" w:hAnsi="Calibri" w:cs="Calibri"/>
          <w:noProof/>
          <w:vertAlign w:val="superscript"/>
        </w:rPr>
        <w:t>8</w:t>
      </w:r>
      <w:r w:rsidR="006A7D4D">
        <w:rPr>
          <w:rFonts w:ascii="Calibri" w:eastAsiaTheme="minorEastAsia" w:hAnsi="Calibri" w:cs="Calibri"/>
        </w:rPr>
        <w:fldChar w:fldCharType="end"/>
      </w:r>
    </w:p>
    <w:p w14:paraId="1D92991B" w14:textId="1D9DAC73" w:rsidR="0078412F" w:rsidRDefault="006131BE" w:rsidP="0078412F">
      <w:pPr>
        <w:spacing w:line="360" w:lineRule="auto"/>
        <w:jc w:val="center"/>
        <w:rPr>
          <w:rFonts w:ascii="Calibri" w:eastAsiaTheme="minorEastAsia" w:hAnsi="Calibri" w:cs="Calibri"/>
        </w:rPr>
      </w:pPr>
      <w:r>
        <w:rPr>
          <w:rFonts w:ascii="Calibri" w:eastAsiaTheme="minorEastAsia" w:hAnsi="Calibri" w:cs="Calibri"/>
        </w:rPr>
        <w:t xml:space="preserve"> </w:t>
      </w: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acc>
              <m:accPr>
                <m:ctrlPr>
                  <w:rPr>
                    <w:rFonts w:ascii="Cambria Math" w:eastAsiaTheme="minorEastAsia"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e>
            </m:acc>
          </m:e>
        </m:func>
        <m:r>
          <w:rPr>
            <w:rFonts w:ascii="Cambria Math" w:eastAsiaTheme="minorEastAsia" w:hAnsi="Cambria Math" w:cs="Calibri"/>
          </w:rPr>
          <m:t>=</m:t>
        </m:r>
        <m:func>
          <m:funcPr>
            <m:ctrlPr>
              <w:rPr>
                <w:rFonts w:ascii="Cambria Math" w:eastAsiaTheme="minorEastAsia" w:hAnsi="Cambria Math" w:cs="Calibri"/>
                <w:i/>
                <w:lang w:val="en-US"/>
              </w:rPr>
            </m:ctrlPr>
          </m:funcPr>
          <m:fName>
            <m:r>
              <m:rPr>
                <m:sty m:val="p"/>
              </m:rPr>
              <w:rPr>
                <w:rFonts w:ascii="Cambria Math" w:eastAsiaTheme="minorEastAsia" w:hAnsi="Cambria Math" w:cs="Calibri"/>
                <w:lang w:val="en-US"/>
              </w:rPr>
              <m:t>ln</m:t>
            </m:r>
          </m:fName>
          <m:e>
            <m:sSub>
              <m:sSubPr>
                <m:ctrlPr>
                  <w:rPr>
                    <w:rFonts w:ascii="Cambria Math" w:eastAsiaTheme="minorEastAsia" w:hAnsi="Cambria Math" w:cs="Calibri"/>
                    <w:i/>
                    <w:lang w:val="en-US"/>
                  </w:rPr>
                </m:ctrlPr>
              </m:sSubPr>
              <m:e>
                <m:r>
                  <w:rPr>
                    <w:rFonts w:ascii="Cambria Math" w:eastAsiaTheme="minorEastAsia" w:hAnsi="Cambria Math" w:cs="Calibri"/>
                    <w:lang w:val="en-US"/>
                  </w:rPr>
                  <m:t>s</m:t>
                </m:r>
              </m:e>
              <m:sub>
                <m:r>
                  <w:rPr>
                    <w:rFonts w:ascii="Cambria Math" w:eastAsiaTheme="minorEastAsia" w:hAnsi="Cambria Math" w:cs="Calibri"/>
                    <w:lang w:val="en-US"/>
                  </w:rPr>
                  <m:t>PL</m:t>
                </m:r>
              </m:sub>
            </m:sSub>
          </m:e>
        </m:func>
        <m:r>
          <w:rPr>
            <w:rFonts w:ascii="Cambria Math" w:eastAsiaTheme="minorEastAsia" w:hAnsi="Cambria Math" w:cs="Calibri"/>
            <w:lang w:val="en-US"/>
          </w:rPr>
          <m:t>+</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PL</m:t>
                </m:r>
              </m:sub>
            </m:sSub>
            <m:r>
              <w:rPr>
                <w:rFonts w:ascii="Cambria Math" w:eastAsiaTheme="minorEastAsia" w:hAnsi="Cambria Math" w:cs="Calibri"/>
              </w:rPr>
              <m:t>-1)</m:t>
            </m:r>
          </m:den>
        </m:f>
        <m:r>
          <w:rPr>
            <w:rFonts w:ascii="Cambria Math" w:eastAsiaTheme="minorEastAsia" w:hAnsi="Cambria Math" w:cs="Calibri"/>
          </w:rPr>
          <m:t xml:space="preserve"> </m:t>
        </m:r>
      </m:oMath>
      <w:r w:rsidR="00544227">
        <w:rPr>
          <w:rFonts w:ascii="Calibri" w:eastAsiaTheme="minorEastAsia" w:hAnsi="Calibri" w:cs="Calibri"/>
        </w:rPr>
        <w:t xml:space="preserve"> </w:t>
      </w:r>
      <w:r w:rsidR="00544227">
        <w:rPr>
          <w:rFonts w:ascii="Calibri" w:eastAsiaTheme="minorEastAsia" w:hAnsi="Calibri" w:cs="Calibri"/>
          <w:lang w:val="en-US"/>
        </w:rPr>
        <w:t xml:space="preserve">and </w:t>
      </w:r>
      <m:oMath>
        <m:r>
          <w:rPr>
            <w:rFonts w:ascii="Cambria Math" w:eastAsiaTheme="minorEastAsia" w:hAnsi="Cambria Math" w:cs="Calibri"/>
          </w:rPr>
          <m:t xml:space="preserve"> </m:t>
        </m:r>
        <m:sSubSup>
          <m:sSubSupPr>
            <m:ctrlPr>
              <w:rPr>
                <w:rFonts w:ascii="Cambria Math" w:eastAsiaTheme="minorEastAsia" w:hAnsi="Cambria Math" w:cs="Calibri"/>
                <w:i/>
              </w:rPr>
            </m:ctrlPr>
          </m:sSubSupPr>
          <m:e>
            <m:r>
              <w:rPr>
                <w:rFonts w:ascii="Cambria Math" w:eastAsiaTheme="minorEastAsia" w:hAnsi="Cambria Math" w:cs="Calibri"/>
              </w:rPr>
              <m:t>S</m:t>
            </m:r>
          </m:e>
          <m:sub>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acc>
                  <m:accPr>
                    <m:ctrlPr>
                      <w:rPr>
                        <w:rFonts w:ascii="Cambria Math" w:eastAsiaTheme="minorEastAsia" w:hAnsi="Cambria Math" w:cs="Calibri"/>
                        <w:i/>
                      </w:rPr>
                    </m:ctrlPr>
                  </m:accPr>
                  <m:e>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PL</m:t>
                        </m:r>
                      </m:sub>
                    </m:sSub>
                  </m:e>
                </m:acc>
              </m:e>
            </m:func>
          </m:sub>
          <m:sup>
            <m:r>
              <w:rPr>
                <w:rFonts w:ascii="Cambria Math" w:eastAsiaTheme="minorEastAsia" w:hAnsi="Cambria Math" w:cs="Calibri"/>
              </w:rPr>
              <m:t>2</m:t>
            </m:r>
          </m:sup>
        </m:sSubSup>
      </m:oMath>
      <w:r w:rsidR="0078412F">
        <w:rPr>
          <w:rFonts w:ascii="Calibri" w:eastAsiaTheme="minorEastAsia" w:hAnsi="Calibri" w:cs="Calibri"/>
        </w:rPr>
        <w:t xml:space="preserve">= </w:t>
      </w:r>
      <m:oMath>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PL</m:t>
                </m:r>
              </m:sub>
            </m:sSub>
            <m:r>
              <w:rPr>
                <w:rFonts w:ascii="Cambria Math" w:eastAsiaTheme="minorEastAsia" w:hAnsi="Cambria Math" w:cs="Calibri"/>
              </w:rPr>
              <m:t>-1)</m:t>
            </m:r>
          </m:den>
        </m:f>
      </m:oMath>
    </w:p>
    <w:p w14:paraId="4F2FC4E9" w14:textId="64CF54FF" w:rsidR="00D74D81" w:rsidRDefault="00544227" w:rsidP="00497C19">
      <w:pPr>
        <w:spacing w:line="360" w:lineRule="auto"/>
        <w:jc w:val="both"/>
        <w:rPr>
          <w:rFonts w:ascii="Calibri" w:eastAsiaTheme="minorEastAsia" w:hAnsi="Calibri" w:cs="Calibri"/>
        </w:rPr>
      </w:pPr>
      <w:r>
        <w:rPr>
          <w:rFonts w:ascii="Calibri" w:eastAsiaTheme="minorEastAsia" w:hAnsi="Calibri" w:cs="Calibri"/>
        </w:rPr>
        <w:t xml:space="preserve">where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s</m:t>
            </m:r>
          </m:e>
          <m:sub>
            <m:r>
              <w:rPr>
                <w:rFonts w:ascii="Cambria Math" w:eastAsiaTheme="minorEastAsia" w:hAnsi="Cambria Math" w:cs="Calibri"/>
                <w:lang w:val="en-US"/>
              </w:rPr>
              <m:t>PL</m:t>
            </m:r>
          </m:sub>
        </m:sSub>
      </m:oMath>
      <w:r>
        <w:rPr>
          <w:rFonts w:ascii="Calibri" w:eastAsiaTheme="minorEastAsia" w:hAnsi="Calibri" w:cs="Calibri"/>
          <w:lang w:val="en-US"/>
        </w:rPr>
        <w:t xml:space="preserve"> is the standard deviation of the placebo group, and </w:t>
      </w:r>
      <m:oMath>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PL</m:t>
            </m:r>
          </m:sub>
        </m:sSub>
      </m:oMath>
      <w:r>
        <w:rPr>
          <w:rFonts w:ascii="Calibri" w:eastAsiaTheme="minorEastAsia" w:hAnsi="Calibri" w:cs="Calibri"/>
        </w:rPr>
        <w:t xml:space="preserve"> the number of patients</w:t>
      </w:r>
      <w:r w:rsidR="00962893">
        <w:rPr>
          <w:rFonts w:ascii="Calibri" w:eastAsiaTheme="minorEastAsia" w:hAnsi="Calibri" w:cs="Calibri"/>
        </w:rPr>
        <w:t xml:space="preserve"> in placebo in that </w:t>
      </w:r>
      <w:proofErr w:type="gramStart"/>
      <w:r w:rsidR="00962893">
        <w:rPr>
          <w:rFonts w:ascii="Calibri" w:eastAsiaTheme="minorEastAsia" w:hAnsi="Calibri" w:cs="Calibri"/>
        </w:rPr>
        <w:t>study.</w:t>
      </w:r>
      <w:proofErr w:type="gramEnd"/>
      <w:r w:rsidR="00962893">
        <w:rPr>
          <w:rFonts w:ascii="Calibri" w:eastAsiaTheme="minorEastAsia" w:hAnsi="Calibri" w:cs="Calibri"/>
        </w:rPr>
        <w:t xml:space="preserve"> </w:t>
      </w:r>
      <w:r>
        <w:rPr>
          <w:rFonts w:ascii="Calibri" w:eastAsiaTheme="minorEastAsia" w:hAnsi="Calibri" w:cs="Calibri"/>
        </w:rPr>
        <w:t>Likewise, for the active treatment we have</w:t>
      </w:r>
      <w:r w:rsidR="006131BE">
        <w:rPr>
          <w:rFonts w:ascii="Calibri" w:eastAsiaTheme="minorEastAsia" w:hAnsi="Calibri" w:cs="Calibri"/>
        </w:rPr>
        <w:t>:</w:t>
      </w:r>
      <w:r>
        <w:rPr>
          <w:rFonts w:ascii="Calibri" w:eastAsiaTheme="minorEastAsia" w:hAnsi="Calibri" w:cs="Calibri"/>
        </w:rPr>
        <w:t xml:space="preserve"> </w:t>
      </w:r>
    </w:p>
    <w:p w14:paraId="023C044F" w14:textId="670CDF21" w:rsidR="00544227" w:rsidRDefault="00890F63" w:rsidP="00544227">
      <w:pPr>
        <w:spacing w:line="360" w:lineRule="auto"/>
        <w:jc w:val="center"/>
        <w:rPr>
          <w:rFonts w:ascii="Calibri" w:eastAsiaTheme="minorEastAsia" w:hAnsi="Calibri" w:cs="Calibri"/>
        </w:rPr>
      </w:pP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e>
            </m:acc>
          </m:e>
        </m:func>
        <m:r>
          <w:rPr>
            <w:rFonts w:ascii="Cambria Math" w:eastAsiaTheme="minorEastAsia" w:hAnsi="Cambria Math" w:cs="Calibri"/>
          </w:rPr>
          <m:t>=</m:t>
        </m:r>
        <m:func>
          <m:funcPr>
            <m:ctrlPr>
              <w:rPr>
                <w:rFonts w:ascii="Cambria Math" w:eastAsiaTheme="minorEastAsia" w:hAnsi="Cambria Math" w:cs="Calibri"/>
                <w:i/>
                <w:lang w:val="en-US"/>
              </w:rPr>
            </m:ctrlPr>
          </m:funcPr>
          <m:fName>
            <m:r>
              <m:rPr>
                <m:sty m:val="p"/>
              </m:rPr>
              <w:rPr>
                <w:rFonts w:ascii="Cambria Math" w:eastAsiaTheme="minorEastAsia" w:hAnsi="Cambria Math" w:cs="Calibri"/>
                <w:lang w:val="en-US"/>
              </w:rPr>
              <m:t>ln</m:t>
            </m:r>
          </m:fName>
          <m:e>
            <m:sSub>
              <m:sSubPr>
                <m:ctrlPr>
                  <w:rPr>
                    <w:rFonts w:ascii="Cambria Math" w:eastAsiaTheme="minorEastAsia" w:hAnsi="Cambria Math" w:cs="Calibri"/>
                    <w:i/>
                    <w:lang w:val="en-US"/>
                  </w:rPr>
                </m:ctrlPr>
              </m:sSubPr>
              <m:e>
                <m:r>
                  <w:rPr>
                    <w:rFonts w:ascii="Cambria Math" w:eastAsiaTheme="minorEastAsia" w:hAnsi="Cambria Math" w:cs="Calibri"/>
                    <w:lang w:val="en-US"/>
                  </w:rPr>
                  <m:t>s</m:t>
                </m:r>
              </m:e>
              <m:sub>
                <m:r>
                  <w:rPr>
                    <w:rFonts w:ascii="Cambria Math" w:eastAsiaTheme="minorEastAsia" w:hAnsi="Cambria Math" w:cs="Calibri"/>
                    <w:lang w:val="en-US"/>
                  </w:rPr>
                  <m:t>AT</m:t>
                </m:r>
              </m:sub>
            </m:sSub>
          </m:e>
        </m:func>
        <m:r>
          <w:rPr>
            <w:rFonts w:ascii="Cambria Math" w:eastAsiaTheme="minorEastAsia" w:hAnsi="Cambria Math" w:cs="Calibri"/>
            <w:lang w:val="en-US"/>
          </w:rPr>
          <m:t>+</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AT</m:t>
                </m:r>
              </m:sub>
            </m:sSub>
            <m:r>
              <w:rPr>
                <w:rFonts w:ascii="Cambria Math" w:eastAsiaTheme="minorEastAsia" w:hAnsi="Cambria Math" w:cs="Calibri"/>
              </w:rPr>
              <m:t>-1)</m:t>
            </m:r>
          </m:den>
        </m:f>
        <m:r>
          <w:rPr>
            <w:rFonts w:ascii="Cambria Math" w:eastAsiaTheme="minorEastAsia" w:hAnsi="Cambria Math" w:cs="Calibri"/>
          </w:rPr>
          <m:t xml:space="preserve"> </m:t>
        </m:r>
      </m:oMath>
      <w:r w:rsidR="00544227">
        <w:rPr>
          <w:rFonts w:ascii="Calibri" w:eastAsiaTheme="minorEastAsia" w:hAnsi="Calibri" w:cs="Calibri"/>
        </w:rPr>
        <w:t xml:space="preserve"> </w:t>
      </w:r>
      <w:r w:rsidR="00544227">
        <w:rPr>
          <w:rFonts w:ascii="Calibri" w:eastAsiaTheme="minorEastAsia" w:hAnsi="Calibri" w:cs="Calibri"/>
          <w:lang w:val="en-US"/>
        </w:rPr>
        <w:t xml:space="preserve">and </w:t>
      </w:r>
      <m:oMath>
        <m:r>
          <w:rPr>
            <w:rFonts w:ascii="Cambria Math" w:eastAsiaTheme="minorEastAsia" w:hAnsi="Cambria Math" w:cs="Calibri"/>
          </w:rPr>
          <m:t xml:space="preserve">  </m:t>
        </m:r>
        <m:sSubSup>
          <m:sSubSupPr>
            <m:ctrlPr>
              <w:rPr>
                <w:rFonts w:ascii="Cambria Math" w:eastAsiaTheme="minorEastAsia" w:hAnsi="Cambria Math" w:cs="Calibri"/>
                <w:i/>
              </w:rPr>
            </m:ctrlPr>
          </m:sSubSupPr>
          <m:e>
            <m:r>
              <w:rPr>
                <w:rFonts w:ascii="Cambria Math" w:eastAsiaTheme="minorEastAsia" w:hAnsi="Cambria Math" w:cs="Calibri"/>
              </w:rPr>
              <m:t>S</m:t>
            </m:r>
          </m:e>
          <m:sub>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acc>
                  <m:accPr>
                    <m:ctrlPr>
                      <w:rPr>
                        <w:rFonts w:ascii="Cambria Math" w:eastAsiaTheme="minorEastAsia" w:hAnsi="Cambria Math" w:cs="Calibri"/>
                        <w:i/>
                      </w:rPr>
                    </m:ctrlPr>
                  </m:accPr>
                  <m:e>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AT</m:t>
                        </m:r>
                      </m:sub>
                    </m:sSub>
                  </m:e>
                </m:acc>
              </m:e>
            </m:func>
          </m:sub>
          <m:sup>
            <m:r>
              <w:rPr>
                <w:rFonts w:ascii="Cambria Math" w:eastAsiaTheme="minorEastAsia" w:hAnsi="Cambria Math" w:cs="Calibri"/>
              </w:rPr>
              <m:t>2</m:t>
            </m:r>
          </m:sup>
        </m:sSubSup>
      </m:oMath>
      <w:r w:rsidR="00544227">
        <w:rPr>
          <w:rFonts w:ascii="Calibri" w:eastAsiaTheme="minorEastAsia" w:hAnsi="Calibri" w:cs="Calibri"/>
        </w:rPr>
        <w:t xml:space="preserve">= </w:t>
      </w:r>
      <m:oMath>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AT</m:t>
                </m:r>
              </m:sub>
            </m:sSub>
            <m:r>
              <w:rPr>
                <w:rFonts w:ascii="Cambria Math" w:eastAsiaTheme="minorEastAsia" w:hAnsi="Cambria Math" w:cs="Calibri"/>
              </w:rPr>
              <m:t>-1)</m:t>
            </m:r>
          </m:den>
        </m:f>
      </m:oMath>
    </w:p>
    <w:p w14:paraId="30B6DC69" w14:textId="08C57BBF" w:rsidR="00066E63" w:rsidRDefault="00544227" w:rsidP="00497C19">
      <w:pPr>
        <w:spacing w:line="360" w:lineRule="auto"/>
        <w:jc w:val="both"/>
        <w:rPr>
          <w:rFonts w:ascii="Calibri" w:eastAsiaTheme="minorEastAsia" w:hAnsi="Calibri" w:cs="Calibri"/>
        </w:rPr>
      </w:pPr>
      <w:r>
        <w:rPr>
          <w:rFonts w:ascii="Calibri" w:eastAsiaTheme="minorEastAsia" w:hAnsi="Calibri" w:cs="Calibri"/>
        </w:rPr>
        <w:t xml:space="preserve">We now </w:t>
      </w:r>
      <w:r w:rsidR="00962893">
        <w:rPr>
          <w:rFonts w:ascii="Calibri" w:eastAsiaTheme="minorEastAsia" w:hAnsi="Calibri" w:cs="Calibri"/>
        </w:rPr>
        <w:t>rewrite</w:t>
      </w:r>
      <w:r>
        <w:rPr>
          <w:rFonts w:ascii="Calibri" w:eastAsiaTheme="minorEastAsia" w:hAnsi="Calibri" w:cs="Calibri"/>
        </w:rPr>
        <w:t xml:space="preserve"> </w:t>
      </w:r>
    </w:p>
    <w:p w14:paraId="588715C8" w14:textId="37C82038" w:rsidR="00544227" w:rsidRPr="007B4077" w:rsidRDefault="00890F63" w:rsidP="00544227">
      <w:pPr>
        <w:spacing w:line="36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r>
            <w:rPr>
              <w:rFonts w:ascii="Cambria Math" w:hAnsi="Cambria Math" w:cs="Calibri"/>
            </w:rPr>
            <m:t>=</m:t>
          </m:r>
          <m:d>
            <m:dPr>
              <m:ctrlPr>
                <w:rPr>
                  <w:rFonts w:ascii="Cambria Math" w:hAnsi="Cambria Math" w:cs="Calibri"/>
                  <w:i/>
                </w:rPr>
              </m:ctrlPr>
            </m:dPr>
            <m:e>
              <m:rad>
                <m:radPr>
                  <m:degHide m:val="1"/>
                  <m:ctrlPr>
                    <w:rPr>
                      <w:rFonts w:ascii="Cambria Math" w:hAnsi="Cambria Math" w:cs="Calibri"/>
                      <w:i/>
                    </w:rPr>
                  </m:ctrlPr>
                </m:radPr>
                <m:deg/>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e>
                    <m:sup>
                      <m:r>
                        <w:rPr>
                          <w:rFonts w:ascii="Cambria Math" w:hAnsi="Cambria Math" w:cs="Calibri"/>
                        </w:rPr>
                        <m:t>2</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σ</m:t>
                      </m:r>
                    </m:e>
                    <m:sub>
                      <m:r>
                        <w:rPr>
                          <w:rFonts w:ascii="Cambria Math" w:hAnsi="Cambria Math" w:cs="Calibri"/>
                        </w:rPr>
                        <m:t>PL</m:t>
                      </m:r>
                    </m:sub>
                    <m:sup>
                      <m:r>
                        <w:rPr>
                          <w:rFonts w:ascii="Cambria Math" w:hAnsi="Cambria Math" w:cs="Calibri"/>
                        </w:rPr>
                        <m:t>2</m:t>
                      </m:r>
                    </m:sup>
                  </m:sSubSup>
                  <m:r>
                    <w:rPr>
                      <w:rFonts w:ascii="Cambria Math" w:hAnsi="Cambria Math" w:cs="Calibri"/>
                    </w:rPr>
                    <m:t>+</m:t>
                  </m:r>
                  <m:sSubSup>
                    <m:sSubSupPr>
                      <m:ctrlPr>
                        <w:rPr>
                          <w:rFonts w:ascii="Cambria Math" w:hAnsi="Cambria Math" w:cs="Calibri"/>
                          <w:i/>
                        </w:rPr>
                      </m:ctrlPr>
                    </m:sSubSupPr>
                    <m:e>
                      <m:r>
                        <w:rPr>
                          <w:rFonts w:ascii="Cambria Math" w:hAnsi="Cambria Math" w:cs="Calibri"/>
                        </w:rPr>
                        <m:t>σ</m:t>
                      </m:r>
                    </m:e>
                    <m:sub>
                      <m:r>
                        <w:rPr>
                          <w:rFonts w:ascii="Cambria Math" w:hAnsi="Cambria Math" w:cs="Calibri"/>
                        </w:rPr>
                        <m:t>PL</m:t>
                      </m:r>
                    </m:sub>
                    <m:sup>
                      <m:r>
                        <w:rPr>
                          <w:rFonts w:ascii="Cambria Math" w:hAnsi="Cambria Math" w:cs="Calibri"/>
                        </w:rPr>
                        <m:t>2</m:t>
                      </m:r>
                    </m:sup>
                  </m:sSubSup>
                  <m:sSup>
                    <m:sSupPr>
                      <m:ctrlPr>
                        <w:rPr>
                          <w:rFonts w:ascii="Cambria Math" w:hAnsi="Cambria Math" w:cs="Calibri"/>
                          <w:i/>
                        </w:rPr>
                      </m:ctrlPr>
                    </m:sSupPr>
                    <m:e>
                      <m:r>
                        <w:rPr>
                          <w:rFonts w:ascii="Cambria Math" w:hAnsi="Cambria Math" w:cs="Calibri"/>
                        </w:rPr>
                        <m:t>ρ</m:t>
                      </m:r>
                    </m:e>
                    <m:sup>
                      <m:r>
                        <w:rPr>
                          <w:rFonts w:ascii="Cambria Math" w:hAnsi="Cambria Math" w:cs="Calibri"/>
                        </w:rPr>
                        <m:t>2</m:t>
                      </m:r>
                    </m:sup>
                  </m:sSup>
                </m:e>
              </m:rad>
              <m:r>
                <w:rPr>
                  <w:rFonts w:ascii="Cambria Math" w:hAnsi="Cambria Math" w:cs="Calibri"/>
                </w:rPr>
                <m:t>-ρ</m:t>
              </m:r>
            </m:e>
          </m:d>
        </m:oMath>
      </m:oMathPara>
    </w:p>
    <w:p w14:paraId="1FED4A11" w14:textId="41D233EB" w:rsidR="00F41641" w:rsidRDefault="00544227" w:rsidP="00497C19">
      <w:pPr>
        <w:spacing w:line="360" w:lineRule="auto"/>
        <w:jc w:val="both"/>
        <w:rPr>
          <w:rFonts w:ascii="Calibri" w:eastAsiaTheme="minorEastAsia" w:hAnsi="Calibri" w:cs="Calibri"/>
        </w:rPr>
      </w:pPr>
      <w:r>
        <w:rPr>
          <w:rFonts w:ascii="Calibri" w:eastAsiaTheme="minorEastAsia" w:hAnsi="Calibri" w:cs="Calibri"/>
        </w:rPr>
        <w:t xml:space="preserve">Thus, we </w:t>
      </w:r>
      <w:r w:rsidR="006131BE">
        <w:rPr>
          <w:rFonts w:ascii="Calibri" w:eastAsiaTheme="minorEastAsia" w:hAnsi="Calibri" w:cs="Calibri"/>
        </w:rPr>
        <w:t>need</w:t>
      </w:r>
      <w:r>
        <w:rPr>
          <w:rFonts w:ascii="Calibri" w:eastAsiaTheme="minorEastAsia" w:hAnsi="Calibri" w:cs="Calibri"/>
        </w:rPr>
        <w:t xml:space="preserve"> three </w:t>
      </w:r>
      <w:r w:rsidR="006131BE">
        <w:rPr>
          <w:rFonts w:ascii="Calibri" w:eastAsiaTheme="minorEastAsia" w:hAnsi="Calibri" w:cs="Calibri"/>
        </w:rPr>
        <w:t>estimates</w:t>
      </w:r>
      <w:r>
        <w:rPr>
          <w:rFonts w:ascii="Calibri" w:eastAsiaTheme="minorEastAsia" w:hAnsi="Calibri" w:cs="Calibri"/>
        </w:rPr>
        <w:t xml:space="preserve"> (</w:t>
      </w:r>
      <m:oMath>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e>
        </m:acc>
      </m:oMath>
      <w:r>
        <w:rPr>
          <w:rFonts w:ascii="Calibri" w:eastAsiaTheme="minorEastAsia" w:hAnsi="Calibri" w:cs="Calibri"/>
        </w:rPr>
        <w:t xml:space="preserve"> ,</w:t>
      </w:r>
      <m:oMath>
        <m:r>
          <w:rPr>
            <w:rFonts w:ascii="Cambria Math" w:hAnsi="Cambria Math" w:cs="Calibri"/>
          </w:rPr>
          <m:t xml:space="preserve"> </m:t>
        </m:r>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e>
        </m:acc>
      </m:oMath>
      <w:r>
        <w:rPr>
          <w:rFonts w:ascii="Calibri" w:eastAsiaTheme="minorEastAsia" w:hAnsi="Calibri" w:cs="Calibri"/>
        </w:rPr>
        <w:t xml:space="preserve">, </w:t>
      </w:r>
      <m:oMath>
        <m:acc>
          <m:accPr>
            <m:ctrlPr>
              <w:rPr>
                <w:rFonts w:ascii="Cambria Math" w:hAnsi="Cambria Math" w:cs="Calibri"/>
                <w:i/>
              </w:rPr>
            </m:ctrlPr>
          </m:accPr>
          <m:e>
            <m:r>
              <w:rPr>
                <w:rFonts w:ascii="Cambria Math" w:hAnsi="Cambria Math" w:cs="Calibri"/>
              </w:rPr>
              <m:t>ρ</m:t>
            </m:r>
          </m:e>
        </m:acc>
      </m:oMath>
      <w:r>
        <w:rPr>
          <w:rFonts w:ascii="Calibri" w:eastAsiaTheme="minorEastAsia" w:hAnsi="Calibri" w:cs="Calibri"/>
        </w:rPr>
        <w:t xml:space="preserve">) to </w:t>
      </w:r>
      <w:r w:rsidR="00285F98">
        <w:rPr>
          <w:rFonts w:ascii="Calibri" w:eastAsiaTheme="minorEastAsia" w:hAnsi="Calibri" w:cs="Calibri"/>
        </w:rPr>
        <w:t xml:space="preserve">obtain an </w:t>
      </w:r>
      <w:r>
        <w:rPr>
          <w:rFonts w:ascii="Calibri" w:eastAsiaTheme="minorEastAsia" w:hAnsi="Calibri" w:cs="Calibri"/>
        </w:rPr>
        <w:t xml:space="preserve">estimate </w:t>
      </w:r>
      <m:oMath>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acc>
      </m:oMath>
      <w:r>
        <w:rPr>
          <w:rFonts w:ascii="Calibri" w:eastAsiaTheme="minorEastAsia" w:hAnsi="Calibri" w:cs="Calibri"/>
        </w:rPr>
        <w:t xml:space="preserve">. Each of these three numbers is estimated in a different way, and </w:t>
      </w:r>
      <w:r w:rsidR="00F41641">
        <w:rPr>
          <w:rFonts w:ascii="Calibri" w:eastAsiaTheme="minorEastAsia" w:hAnsi="Calibri" w:cs="Calibri"/>
        </w:rPr>
        <w:t xml:space="preserve">they </w:t>
      </w:r>
      <w:r>
        <w:rPr>
          <w:rFonts w:ascii="Calibri" w:eastAsiaTheme="minorEastAsia" w:hAnsi="Calibri" w:cs="Calibri"/>
        </w:rPr>
        <w:t xml:space="preserve">come with </w:t>
      </w:r>
      <w:r w:rsidR="00F41641">
        <w:rPr>
          <w:rFonts w:ascii="Calibri" w:eastAsiaTheme="minorEastAsia" w:hAnsi="Calibri" w:cs="Calibri"/>
        </w:rPr>
        <w:t>their</w:t>
      </w:r>
      <w:r>
        <w:rPr>
          <w:rFonts w:ascii="Calibri" w:eastAsiaTheme="minorEastAsia" w:hAnsi="Calibri" w:cs="Calibri"/>
        </w:rPr>
        <w:t xml:space="preserve"> own uncertainty. </w:t>
      </w:r>
      <w:r w:rsidR="006A7D4D">
        <w:rPr>
          <w:rFonts w:ascii="Calibri" w:eastAsiaTheme="minorEastAsia" w:hAnsi="Calibri" w:cs="Calibri"/>
        </w:rPr>
        <w:t>F</w:t>
      </w:r>
      <w:r w:rsidR="00285F98">
        <w:rPr>
          <w:rFonts w:ascii="Calibri" w:eastAsiaTheme="minorEastAsia" w:hAnsi="Calibri" w:cs="Calibri"/>
        </w:rPr>
        <w:t xml:space="preserve">or </w:t>
      </w:r>
      <m:oMath>
        <m:r>
          <w:rPr>
            <w:rFonts w:ascii="Cambria Math" w:hAnsi="Cambria Math" w:cs="Calibri"/>
          </w:rPr>
          <m:t>ρ</m:t>
        </m:r>
      </m:oMath>
      <w:r w:rsidR="006131BE">
        <w:rPr>
          <w:rFonts w:ascii="Calibri" w:eastAsiaTheme="minorEastAsia" w:hAnsi="Calibri" w:cs="Calibri"/>
        </w:rPr>
        <w:t xml:space="preserve">, </w:t>
      </w:r>
      <w:r w:rsidR="00285F98">
        <w:rPr>
          <w:rFonts w:ascii="Calibri" w:eastAsiaTheme="minorEastAsia" w:hAnsi="Calibri" w:cs="Calibri"/>
        </w:rPr>
        <w:t>we assumed this was</w:t>
      </w:r>
      <w:r w:rsidR="006A7D4D">
        <w:rPr>
          <w:rFonts w:ascii="Calibri" w:eastAsiaTheme="minorEastAsia" w:hAnsi="Calibri" w:cs="Calibri"/>
        </w:rPr>
        <w:t xml:space="preserve"> a</w:t>
      </w:r>
      <w:r w:rsidR="00285F98">
        <w:rPr>
          <w:rFonts w:ascii="Calibri" w:eastAsiaTheme="minorEastAsia" w:hAnsi="Calibri" w:cs="Calibri"/>
        </w:rPr>
        <w:t xml:space="preserve"> fixed value</w:t>
      </w:r>
      <w:r w:rsidR="006A7D4D">
        <w:rPr>
          <w:rFonts w:ascii="Calibri" w:eastAsiaTheme="minorEastAsia" w:hAnsi="Calibri" w:cs="Calibri"/>
        </w:rPr>
        <w:t>, namely the most conservative value for the coefficient</w:t>
      </w:r>
      <w:r w:rsidR="006131BE">
        <w:rPr>
          <w:rFonts w:ascii="Calibri" w:eastAsiaTheme="minorEastAsia" w:hAnsi="Calibri" w:cs="Calibri"/>
        </w:rPr>
        <w:t xml:space="preserve"> (but </w:t>
      </w:r>
      <w:r w:rsidR="006131BE">
        <w:rPr>
          <w:rFonts w:ascii="Calibri" w:eastAsiaTheme="minorEastAsia" w:hAnsi="Calibri" w:cs="Calibri"/>
        </w:rPr>
        <w:lastRenderedPageBreak/>
        <w:t xml:space="preserve">see sensitivity analyses described below; results did not materially change when we </w:t>
      </w:r>
      <w:r w:rsidR="006A7D4D">
        <w:rPr>
          <w:rFonts w:ascii="Calibri" w:eastAsiaTheme="minorEastAsia" w:hAnsi="Calibri" w:cs="Calibri"/>
        </w:rPr>
        <w:t>used the alternative values for</w:t>
      </w:r>
      <w:r w:rsidR="006131BE">
        <w:rPr>
          <w:rFonts w:ascii="Calibri" w:eastAsiaTheme="minorEastAsia" w:hAnsi="Calibri" w:cs="Calibri"/>
        </w:rPr>
        <w:t xml:space="preserve"> </w:t>
      </w:r>
      <m:oMath>
        <m:r>
          <w:rPr>
            <w:rFonts w:ascii="Cambria Math" w:hAnsi="Cambria Math" w:cs="Calibri"/>
          </w:rPr>
          <m:t>ρ</m:t>
        </m:r>
      </m:oMath>
      <w:r w:rsidR="006131BE">
        <w:rPr>
          <w:rFonts w:ascii="Calibri" w:eastAsiaTheme="minorEastAsia" w:hAnsi="Calibri" w:cs="Calibri"/>
        </w:rPr>
        <w:t>)</w:t>
      </w:r>
      <w:r w:rsidR="00285F98">
        <w:rPr>
          <w:rFonts w:ascii="Calibri" w:eastAsiaTheme="minorEastAsia" w:hAnsi="Calibri" w:cs="Calibri"/>
        </w:rPr>
        <w:t xml:space="preserve">. </w:t>
      </w:r>
    </w:p>
    <w:p w14:paraId="381E9118" w14:textId="77777777" w:rsidR="008F78B9" w:rsidRDefault="008F78B9" w:rsidP="00497C19">
      <w:pPr>
        <w:spacing w:line="360" w:lineRule="auto"/>
        <w:jc w:val="both"/>
        <w:rPr>
          <w:rFonts w:ascii="Calibri" w:eastAsiaTheme="minorEastAsia" w:hAnsi="Calibri" w:cs="Calibri"/>
        </w:rPr>
      </w:pPr>
    </w:p>
    <w:p w14:paraId="728C738A" w14:textId="237CB1B5" w:rsidR="0022698A" w:rsidRDefault="00285F98" w:rsidP="00497C19">
      <w:pPr>
        <w:spacing w:line="360" w:lineRule="auto"/>
        <w:jc w:val="both"/>
        <w:rPr>
          <w:rFonts w:ascii="Calibri" w:eastAsiaTheme="minorEastAsia" w:hAnsi="Calibri" w:cs="Calibri"/>
        </w:rPr>
      </w:pPr>
      <w:r>
        <w:rPr>
          <w:rFonts w:ascii="Calibri" w:eastAsiaTheme="minorEastAsia" w:hAnsi="Calibri" w:cs="Calibri"/>
        </w:rPr>
        <w:t xml:space="preserve">Next, we want to </w:t>
      </w:r>
      <w:r w:rsidR="00712134">
        <w:rPr>
          <w:rFonts w:ascii="Calibri" w:eastAsiaTheme="minorEastAsia" w:hAnsi="Calibri" w:cs="Calibri"/>
        </w:rPr>
        <w:t>quantify</w:t>
      </w:r>
      <w:r>
        <w:rPr>
          <w:rFonts w:ascii="Calibri" w:eastAsiaTheme="minorEastAsia" w:hAnsi="Calibri" w:cs="Calibri"/>
        </w:rPr>
        <w:t xml:space="preserve"> the uncertainty </w:t>
      </w:r>
      <w:r w:rsidR="00712134">
        <w:rPr>
          <w:rFonts w:ascii="Calibri" w:eastAsiaTheme="minorEastAsia" w:hAnsi="Calibri" w:cs="Calibri"/>
        </w:rPr>
        <w:t xml:space="preserve">associated with our estimated </w:t>
      </w:r>
      <m:oMath>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acc>
      </m:oMath>
      <w:r>
        <w:rPr>
          <w:rFonts w:ascii="Calibri" w:eastAsiaTheme="minorEastAsia" w:hAnsi="Calibri" w:cs="Calibri"/>
        </w:rPr>
        <w:t xml:space="preserve">. Unfortunately, there is no </w:t>
      </w:r>
      <w:r w:rsidR="00712134">
        <w:rPr>
          <w:rFonts w:ascii="Calibri" w:eastAsiaTheme="minorEastAsia" w:hAnsi="Calibri" w:cs="Calibri"/>
        </w:rPr>
        <w:t>simple</w:t>
      </w:r>
      <w:r>
        <w:rPr>
          <w:rFonts w:ascii="Calibri" w:eastAsiaTheme="minorEastAsia" w:hAnsi="Calibri" w:cs="Calibri"/>
        </w:rPr>
        <w:t xml:space="preserve"> way to</w:t>
      </w:r>
      <w:r w:rsidR="00712134">
        <w:rPr>
          <w:rFonts w:ascii="Calibri" w:eastAsiaTheme="minorEastAsia" w:hAnsi="Calibri" w:cs="Calibri"/>
        </w:rPr>
        <w:t xml:space="preserve"> do</w:t>
      </w:r>
      <w:r>
        <w:rPr>
          <w:rFonts w:ascii="Calibri" w:eastAsiaTheme="minorEastAsia" w:hAnsi="Calibri" w:cs="Calibri"/>
        </w:rPr>
        <w:t xml:space="preserve"> this in an analytical manner. Instead, we use</w:t>
      </w:r>
      <w:r w:rsidR="00F41641">
        <w:rPr>
          <w:rFonts w:ascii="Calibri" w:eastAsiaTheme="minorEastAsia" w:hAnsi="Calibri" w:cs="Calibri"/>
        </w:rPr>
        <w:t>d</w:t>
      </w:r>
      <w:r>
        <w:rPr>
          <w:rFonts w:ascii="Calibri" w:eastAsiaTheme="minorEastAsia" w:hAnsi="Calibri" w:cs="Calibri"/>
        </w:rPr>
        <w:t xml:space="preserve"> a sampling method: we generate</w:t>
      </w:r>
      <w:r w:rsidR="00F41641">
        <w:rPr>
          <w:rFonts w:ascii="Calibri" w:eastAsiaTheme="minorEastAsia" w:hAnsi="Calibri" w:cs="Calibri"/>
        </w:rPr>
        <w:t>d</w:t>
      </w:r>
      <w:r>
        <w:rPr>
          <w:rFonts w:ascii="Calibri" w:eastAsiaTheme="minorEastAsia" w:hAnsi="Calibri" w:cs="Calibri"/>
        </w:rPr>
        <w:t xml:space="preserve"> 10,000 values of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oMath>
      <w:r>
        <w:rPr>
          <w:rFonts w:ascii="Calibri" w:eastAsiaTheme="minorEastAsia" w:hAnsi="Calibri" w:cs="Calibri"/>
        </w:rPr>
        <w:t xml:space="preserve"> and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oMath>
      <w:r>
        <w:rPr>
          <w:rFonts w:ascii="Calibri" w:eastAsiaTheme="minorEastAsia" w:hAnsi="Calibri" w:cs="Calibri"/>
        </w:rPr>
        <w:t xml:space="preserve"> by </w:t>
      </w:r>
      <w:r w:rsidR="00712134">
        <w:rPr>
          <w:rFonts w:ascii="Calibri" w:eastAsiaTheme="minorEastAsia" w:hAnsi="Calibri" w:cs="Calibri"/>
        </w:rPr>
        <w:t>drawing</w:t>
      </w:r>
      <w:r>
        <w:rPr>
          <w:rFonts w:ascii="Calibri" w:eastAsiaTheme="minorEastAsia" w:hAnsi="Calibri" w:cs="Calibri"/>
        </w:rPr>
        <w:t xml:space="preserve"> from their corresponding distributions. For instance, we sample</w:t>
      </w:r>
      <w:r w:rsidR="00712134">
        <w:rPr>
          <w:rFonts w:ascii="Calibri" w:eastAsiaTheme="minorEastAsia" w:hAnsi="Calibri" w:cs="Calibri"/>
        </w:rPr>
        <w:t>d</w:t>
      </w:r>
      <w:r>
        <w:rPr>
          <w:rFonts w:ascii="Calibri" w:eastAsiaTheme="minorEastAsia" w:hAnsi="Calibri" w:cs="Calibri"/>
        </w:rPr>
        <w:t xml:space="preserve"> 10,000 values of </w:t>
      </w: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e>
        </m:func>
      </m:oMath>
      <w:r>
        <w:rPr>
          <w:rFonts w:ascii="Calibri" w:eastAsiaTheme="minorEastAsia" w:hAnsi="Calibri" w:cs="Calibri"/>
        </w:rPr>
        <w:t xml:space="preserve"> by drawing from the normal distribution </w:t>
      </w:r>
      <m:oMath>
        <m:r>
          <w:rPr>
            <w:rFonts w:ascii="Cambria Math" w:eastAsiaTheme="minorEastAsia" w:hAnsi="Cambria Math" w:cs="Calibri"/>
          </w:rPr>
          <m:t>N</m:t>
        </m:r>
        <m:d>
          <m:dPr>
            <m:ctrlPr>
              <w:rPr>
                <w:rFonts w:ascii="Cambria Math" w:eastAsiaTheme="minorEastAsia" w:hAnsi="Cambria Math" w:cs="Calibri"/>
                <w:i/>
              </w:rPr>
            </m:ctrlPr>
          </m:dPr>
          <m:e>
            <m:func>
              <m:funcPr>
                <m:ctrlPr>
                  <w:rPr>
                    <w:rFonts w:ascii="Cambria Math" w:eastAsiaTheme="minorEastAsia" w:hAnsi="Cambria Math" w:cs="Calibri"/>
                    <w:i/>
                    <w:lang w:val="en-US"/>
                  </w:rPr>
                </m:ctrlPr>
              </m:funcPr>
              <m:fName>
                <m:r>
                  <m:rPr>
                    <m:sty m:val="p"/>
                  </m:rPr>
                  <w:rPr>
                    <w:rFonts w:ascii="Cambria Math" w:eastAsiaTheme="minorEastAsia" w:hAnsi="Cambria Math" w:cs="Calibri"/>
                    <w:lang w:val="en-US"/>
                  </w:rPr>
                  <m:t>ln</m:t>
                </m:r>
              </m:fName>
              <m:e>
                <m:sSub>
                  <m:sSubPr>
                    <m:ctrlPr>
                      <w:rPr>
                        <w:rFonts w:ascii="Cambria Math" w:eastAsiaTheme="minorEastAsia" w:hAnsi="Cambria Math" w:cs="Calibri"/>
                        <w:i/>
                        <w:lang w:val="en-US"/>
                      </w:rPr>
                    </m:ctrlPr>
                  </m:sSubPr>
                  <m:e>
                    <m:r>
                      <w:rPr>
                        <w:rFonts w:ascii="Cambria Math" w:eastAsiaTheme="minorEastAsia" w:hAnsi="Cambria Math" w:cs="Calibri"/>
                        <w:lang w:val="en-US"/>
                      </w:rPr>
                      <m:t>s</m:t>
                    </m:r>
                  </m:e>
                  <m:sub>
                    <m:r>
                      <w:rPr>
                        <w:rFonts w:ascii="Cambria Math" w:eastAsiaTheme="minorEastAsia" w:hAnsi="Cambria Math" w:cs="Calibri"/>
                        <w:lang w:val="en-US"/>
                      </w:rPr>
                      <m:t>PL</m:t>
                    </m:r>
                  </m:sub>
                </m:sSub>
              </m:e>
            </m:func>
            <m:r>
              <w:rPr>
                <w:rFonts w:ascii="Cambria Math" w:eastAsiaTheme="minorEastAsia" w:hAnsi="Cambria Math" w:cs="Calibri"/>
                <w:lang w:val="en-US"/>
              </w:rPr>
              <m:t>+</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PL</m:t>
                        </m:r>
                      </m:sub>
                    </m:sSub>
                    <m:r>
                      <w:rPr>
                        <w:rFonts w:ascii="Cambria Math" w:eastAsiaTheme="minorEastAsia" w:hAnsi="Cambria Math" w:cs="Calibri"/>
                      </w:rPr>
                      <m:t>-1</m:t>
                    </m:r>
                  </m:e>
                </m:d>
              </m:den>
            </m:f>
            <m:r>
              <w:rPr>
                <w:rFonts w:ascii="Cambria Math" w:eastAsiaTheme="minorEastAsia" w:hAnsi="Cambria Math" w:cs="Calibri"/>
              </w:rPr>
              <m:t xml:space="preserve">, </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PL</m:t>
                        </m:r>
                      </m:sub>
                    </m:sSub>
                    <m:r>
                      <w:rPr>
                        <w:rFonts w:ascii="Cambria Math" w:eastAsiaTheme="minorEastAsia" w:hAnsi="Cambria Math" w:cs="Calibri"/>
                      </w:rPr>
                      <m:t>-1</m:t>
                    </m:r>
                  </m:e>
                </m:d>
              </m:den>
            </m:f>
          </m:e>
        </m:d>
      </m:oMath>
      <w:r>
        <w:rPr>
          <w:rFonts w:ascii="Calibri" w:eastAsiaTheme="minorEastAsia" w:hAnsi="Calibri" w:cs="Calibri"/>
        </w:rPr>
        <w:t xml:space="preserve">; likewise for </w:t>
      </w:r>
      <m:oMath>
        <m:func>
          <m:funcPr>
            <m:ctrlPr>
              <w:rPr>
                <w:rFonts w:ascii="Cambria Math" w:eastAsiaTheme="minorEastAsia" w:hAnsi="Cambria Math" w:cs="Calibri"/>
                <w:i/>
              </w:rPr>
            </m:ctrlPr>
          </m:funcPr>
          <m:fName>
            <m:r>
              <m:rPr>
                <m:sty m:val="p"/>
              </m:rPr>
              <w:rPr>
                <w:rFonts w:ascii="Cambria Math" w:eastAsiaTheme="minorEastAsia"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AT</m:t>
                </m:r>
              </m:sub>
            </m:sSub>
          </m:e>
        </m:func>
      </m:oMath>
      <w:r>
        <w:rPr>
          <w:rFonts w:ascii="Calibri" w:eastAsiaTheme="minorEastAsia" w:hAnsi="Calibri" w:cs="Calibri"/>
        </w:rPr>
        <w:t>. For each of these 10,000 pairs we calculate</w:t>
      </w:r>
      <w:r w:rsidR="00F41641">
        <w:rPr>
          <w:rFonts w:ascii="Calibri" w:eastAsiaTheme="minorEastAsia" w:hAnsi="Calibri" w:cs="Calibri"/>
        </w:rPr>
        <w:t>d</w:t>
      </w:r>
      <w:r>
        <w:rPr>
          <w:rFonts w:ascii="Calibri" w:eastAsiaTheme="minorEastAsia" w:hAnsi="Calibri" w:cs="Calibri"/>
        </w:rPr>
        <w:t xml:space="preserve"> the corresponding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Pr>
          <w:rFonts w:ascii="Calibri" w:eastAsiaTheme="minorEastAsia" w:hAnsi="Calibri" w:cs="Calibri"/>
        </w:rPr>
        <w:t xml:space="preserve">; </w:t>
      </w:r>
      <w:r w:rsidR="00712134">
        <w:rPr>
          <w:rFonts w:ascii="Calibri" w:eastAsiaTheme="minorEastAsia" w:hAnsi="Calibri" w:cs="Calibri"/>
        </w:rPr>
        <w:t xml:space="preserve">finally, </w:t>
      </w:r>
      <w:r>
        <w:rPr>
          <w:rFonts w:ascii="Calibri" w:eastAsiaTheme="minorEastAsia" w:hAnsi="Calibri" w:cs="Calibri"/>
        </w:rPr>
        <w:t xml:space="preserve">from </w:t>
      </w:r>
      <w:r w:rsidR="00712134">
        <w:rPr>
          <w:rFonts w:ascii="Calibri" w:eastAsiaTheme="minorEastAsia" w:hAnsi="Calibri" w:cs="Calibri"/>
        </w:rPr>
        <w:t>10,000</w:t>
      </w:r>
      <w:r>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Pr>
          <w:rFonts w:ascii="Calibri" w:eastAsiaTheme="minorEastAsia" w:hAnsi="Calibri" w:cs="Calibri"/>
        </w:rPr>
        <w:t xml:space="preserve"> we calculate</w:t>
      </w:r>
      <w:r w:rsidR="00F41641">
        <w:rPr>
          <w:rFonts w:ascii="Calibri" w:eastAsiaTheme="minorEastAsia" w:hAnsi="Calibri" w:cs="Calibri"/>
        </w:rPr>
        <w:t>d</w:t>
      </w:r>
      <w:r>
        <w:rPr>
          <w:rFonts w:ascii="Calibri" w:eastAsiaTheme="minorEastAsia" w:hAnsi="Calibri" w:cs="Calibri"/>
        </w:rPr>
        <w:t xml:space="preserve"> the corresponding </w:t>
      </w:r>
      <w:r w:rsidR="00712134">
        <w:rPr>
          <w:rFonts w:ascii="Calibri" w:eastAsiaTheme="minorEastAsia" w:hAnsi="Calibri" w:cs="Calibri"/>
        </w:rPr>
        <w:t xml:space="preserve">standard deviation. This quantifies our uncertainty (standard error) around the estimated value of </w:t>
      </w:r>
      <m:oMath>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acc>
      </m:oMath>
      <w:r w:rsidR="00712134">
        <w:rPr>
          <w:rFonts w:ascii="Calibri" w:eastAsiaTheme="minorEastAsia" w:hAnsi="Calibri" w:cs="Calibri"/>
        </w:rPr>
        <w:t xml:space="preserve">. In a sensitivity analysis we also used the uncertainty around the estimation of </w:t>
      </w:r>
      <m:oMath>
        <m:acc>
          <m:accPr>
            <m:ctrlPr>
              <w:rPr>
                <w:rFonts w:ascii="Cambria Math" w:hAnsi="Cambria Math" w:cs="Calibri"/>
                <w:i/>
              </w:rPr>
            </m:ctrlPr>
          </m:accPr>
          <m:e>
            <m:r>
              <w:rPr>
                <w:rFonts w:ascii="Cambria Math" w:hAnsi="Cambria Math" w:cs="Calibri"/>
              </w:rPr>
              <m:t>ρ</m:t>
            </m:r>
          </m:e>
        </m:acc>
      </m:oMath>
      <w:r w:rsidR="006131BE">
        <w:rPr>
          <w:rFonts w:ascii="Calibri" w:eastAsiaTheme="minorEastAsia" w:hAnsi="Calibri" w:cs="Calibri"/>
        </w:rPr>
        <w:t xml:space="preserve"> to generate 10,000 values</w:t>
      </w:r>
      <w:r w:rsidR="00712134">
        <w:rPr>
          <w:rFonts w:ascii="Calibri" w:eastAsiaTheme="minorEastAsia" w:hAnsi="Calibri" w:cs="Calibri"/>
        </w:rPr>
        <w:t xml:space="preserve">; results </w:t>
      </w:r>
      <w:r w:rsidR="006131BE">
        <w:rPr>
          <w:rFonts w:ascii="Calibri" w:eastAsiaTheme="minorEastAsia" w:hAnsi="Calibri" w:cs="Calibri"/>
        </w:rPr>
        <w:t xml:space="preserve">regarding the standard errors of </w:t>
      </w:r>
      <m:oMath>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acc>
      </m:oMath>
      <w:r w:rsidR="006131BE">
        <w:rPr>
          <w:rFonts w:ascii="Calibri" w:eastAsiaTheme="minorEastAsia" w:hAnsi="Calibri" w:cs="Calibri"/>
        </w:rPr>
        <w:t xml:space="preserve"> </w:t>
      </w:r>
      <w:r w:rsidR="00712134">
        <w:rPr>
          <w:rFonts w:ascii="Calibri" w:eastAsiaTheme="minorEastAsia" w:hAnsi="Calibri" w:cs="Calibri"/>
        </w:rPr>
        <w:t xml:space="preserve">did not </w:t>
      </w:r>
      <w:r w:rsidR="00F41641">
        <w:rPr>
          <w:rFonts w:ascii="Calibri" w:eastAsiaTheme="minorEastAsia" w:hAnsi="Calibri" w:cs="Calibri"/>
        </w:rPr>
        <w:t xml:space="preserve">materially </w:t>
      </w:r>
      <w:r w:rsidR="00712134">
        <w:rPr>
          <w:rFonts w:ascii="Calibri" w:eastAsiaTheme="minorEastAsia" w:hAnsi="Calibri" w:cs="Calibri"/>
        </w:rPr>
        <w:t xml:space="preserve">change.  </w:t>
      </w:r>
    </w:p>
    <w:p w14:paraId="09A1E0A3" w14:textId="223382CA" w:rsidR="00285F98" w:rsidRDefault="00285F98" w:rsidP="00497C19">
      <w:pPr>
        <w:spacing w:line="360" w:lineRule="auto"/>
        <w:jc w:val="both"/>
        <w:rPr>
          <w:rFonts w:ascii="Calibri" w:eastAsiaTheme="minorEastAsia" w:hAnsi="Calibri" w:cs="Calibri"/>
        </w:rPr>
      </w:pPr>
    </w:p>
    <w:p w14:paraId="7A62A273" w14:textId="45FDD533" w:rsidR="00EA2B0B" w:rsidRDefault="00712134" w:rsidP="00712134">
      <w:pPr>
        <w:spacing w:line="360" w:lineRule="auto"/>
        <w:jc w:val="both"/>
        <w:rPr>
          <w:rFonts w:ascii="Calibri" w:hAnsi="Calibri" w:cs="Calibri"/>
        </w:rPr>
      </w:pPr>
      <w:r>
        <w:rPr>
          <w:rFonts w:ascii="Calibri" w:eastAsiaTheme="minorEastAsia" w:hAnsi="Calibri" w:cs="Calibri"/>
        </w:rPr>
        <w:t xml:space="preserve">Having estimated </w:t>
      </w:r>
      <m:oMath>
        <m:func>
          <m:funcPr>
            <m:ctrlPr>
              <w:rPr>
                <w:rFonts w:ascii="Cambria Math" w:hAnsi="Cambria Math" w:cs="Calibri"/>
                <w:i/>
              </w:rPr>
            </m:ctrlPr>
          </m:funcPr>
          <m:fName>
            <m:r>
              <m:rPr>
                <m:sty m:val="p"/>
              </m:rPr>
              <w:rPr>
                <w:rFonts w:ascii="Cambria Math"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func>
      </m:oMath>
      <w:r>
        <w:rPr>
          <w:rFonts w:ascii="Calibri" w:eastAsiaTheme="minorEastAsia" w:hAnsi="Calibri" w:cs="Calibri"/>
        </w:rPr>
        <w:t xml:space="preserve"> and the corresponding standard error from each study, we </w:t>
      </w:r>
      <w:r w:rsidR="003331D4">
        <w:rPr>
          <w:rFonts w:ascii="Calibri" w:eastAsiaTheme="minorEastAsia" w:hAnsi="Calibri" w:cs="Calibri"/>
        </w:rPr>
        <w:t>then combined</w:t>
      </w:r>
      <w:r w:rsidR="006131BE">
        <w:rPr>
          <w:rFonts w:ascii="Calibri" w:eastAsiaTheme="minorEastAsia" w:hAnsi="Calibri" w:cs="Calibri"/>
        </w:rPr>
        <w:t xml:space="preserve"> results</w:t>
      </w:r>
      <w:r w:rsidR="003331D4">
        <w:rPr>
          <w:rFonts w:ascii="Calibri" w:eastAsiaTheme="minorEastAsia" w:hAnsi="Calibri" w:cs="Calibri"/>
        </w:rPr>
        <w:t xml:space="preserve"> in a random effects meta-analysis</w:t>
      </w:r>
      <w:r w:rsidR="008A6643">
        <w:rPr>
          <w:rFonts w:ascii="Calibri" w:eastAsiaTheme="minorEastAsia" w:hAnsi="Calibri" w:cs="Calibri"/>
        </w:rPr>
        <w:t xml:space="preserve"> (</w:t>
      </w:r>
      <w:r>
        <w:rPr>
          <w:rFonts w:ascii="Calibri" w:eastAsiaTheme="minorEastAsia" w:hAnsi="Calibri" w:cs="Calibri"/>
        </w:rPr>
        <w:t xml:space="preserve">note that </w:t>
      </w:r>
      <w:r w:rsidR="008A6643">
        <w:rPr>
          <w:rFonts w:ascii="Calibri" w:eastAsiaTheme="minorEastAsia" w:hAnsi="Calibri" w:cs="Calibri"/>
        </w:rPr>
        <w:t>the results presented</w:t>
      </w:r>
      <w:r>
        <w:rPr>
          <w:rFonts w:ascii="Calibri" w:eastAsiaTheme="minorEastAsia" w:hAnsi="Calibri" w:cs="Calibri"/>
        </w:rPr>
        <w:t xml:space="preserve"> in text are</w:t>
      </w:r>
      <w:r w:rsidR="008A6643">
        <w:rPr>
          <w:rFonts w:ascii="Calibri" w:eastAsiaTheme="minorEastAsia" w:hAnsi="Calibri" w:cs="Calibri"/>
        </w:rPr>
        <w:t xml:space="preserve"> as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sidR="008A6643">
        <w:rPr>
          <w:rFonts w:ascii="Calibri" w:eastAsiaTheme="minorEastAsia" w:hAnsi="Calibri" w:cs="Calibri"/>
        </w:rPr>
        <w:t xml:space="preserve"> rather than </w:t>
      </w:r>
      <w:r w:rsidR="003D05E2">
        <w:rPr>
          <w:rFonts w:ascii="Calibri" w:eastAsiaTheme="minorEastAsia" w:hAnsi="Calibri" w:cs="Calibri"/>
        </w:rPr>
        <w:t>its</w:t>
      </w:r>
      <w:r w:rsidR="008A6643">
        <w:rPr>
          <w:rFonts w:ascii="Calibri" w:eastAsiaTheme="minorEastAsia" w:hAnsi="Calibri" w:cs="Calibri"/>
        </w:rPr>
        <w:t xml:space="preserve"> logarithm</w:t>
      </w:r>
      <w:r>
        <w:rPr>
          <w:rFonts w:ascii="Calibri" w:eastAsiaTheme="minorEastAsia" w:hAnsi="Calibri" w:cs="Calibri"/>
        </w:rPr>
        <w:t>,</w:t>
      </w:r>
      <w:r w:rsidR="008A6643">
        <w:rPr>
          <w:rFonts w:ascii="Calibri" w:eastAsiaTheme="minorEastAsia" w:hAnsi="Calibri" w:cs="Calibri"/>
        </w:rPr>
        <w:t xml:space="preserve"> for interpretability</w:t>
      </w:r>
      <w:r w:rsidR="00293EC8">
        <w:rPr>
          <w:rFonts w:ascii="Calibri" w:eastAsiaTheme="minorEastAsia" w:hAnsi="Calibri" w:cs="Calibri"/>
        </w:rPr>
        <w:t>)</w:t>
      </w:r>
      <w:r w:rsidR="00497C19" w:rsidRPr="007B4077">
        <w:rPr>
          <w:rFonts w:ascii="Calibri" w:eastAsiaTheme="minorEastAsia" w:hAnsi="Calibri" w:cs="Calibri"/>
        </w:rPr>
        <w:t xml:space="preserve">. </w:t>
      </w:r>
      <w:r w:rsidR="00EA2B0B">
        <w:rPr>
          <w:rFonts w:ascii="Calibri" w:eastAsiaTheme="minorEastAsia" w:hAnsi="Calibri" w:cs="Calibri"/>
        </w:rPr>
        <w:t xml:space="preserve">The </w:t>
      </w:r>
      <w:r w:rsidR="00EA2B0B" w:rsidRPr="007B4077">
        <w:rPr>
          <w:rFonts w:ascii="Calibri" w:hAnsi="Calibri" w:cs="Calibri"/>
        </w:rPr>
        <w:t xml:space="preserve">analysis </w:t>
      </w:r>
      <w:r w:rsidR="00EA2B0B">
        <w:rPr>
          <w:rFonts w:ascii="Calibri" w:hAnsi="Calibri" w:cs="Calibri"/>
        </w:rPr>
        <w:t xml:space="preserve"> was </w:t>
      </w:r>
      <w:r w:rsidR="00EA2B0B" w:rsidRPr="007B4077">
        <w:rPr>
          <w:rFonts w:ascii="Calibri" w:hAnsi="Calibri" w:cs="Calibri"/>
        </w:rPr>
        <w:t>implemented by the package ‘</w:t>
      </w:r>
      <w:r w:rsidR="00EA2B0B">
        <w:rPr>
          <w:rFonts w:ascii="Calibri" w:hAnsi="Calibri" w:cs="Calibri"/>
        </w:rPr>
        <w:t>meta</w:t>
      </w:r>
      <w:r w:rsidR="00EA2B0B" w:rsidRPr="007B4077">
        <w:rPr>
          <w:rFonts w:ascii="Calibri" w:hAnsi="Calibri" w:cs="Calibri"/>
        </w:rPr>
        <w:t xml:space="preserve">’ (version </w:t>
      </w:r>
      <w:r w:rsidR="00EA2B0B">
        <w:rPr>
          <w:rFonts w:ascii="Calibri" w:hAnsi="Calibri" w:cs="Calibri"/>
        </w:rPr>
        <w:t>4.18-2</w:t>
      </w:r>
      <w:r w:rsidR="00EA2B0B" w:rsidRPr="007B4077">
        <w:rPr>
          <w:rFonts w:ascii="Calibri" w:hAnsi="Calibri" w:cs="Calibri"/>
        </w:rPr>
        <w:t>) for R (version 3.6.3)</w:t>
      </w:r>
      <w:r w:rsidR="00EA2B0B">
        <w:rPr>
          <w:rFonts w:ascii="Calibri" w:hAnsi="Calibri" w:cs="Calibri"/>
        </w:rPr>
        <w:t xml:space="preserve"> </w:t>
      </w:r>
      <w:r w:rsidR="00EA2B0B">
        <w:rPr>
          <w:rFonts w:ascii="Calibri" w:eastAsiaTheme="minorEastAsia" w:hAnsi="Calibri" w:cs="Calibri"/>
        </w:rPr>
        <w:t>with between study inconsistency quantified using the I</w:t>
      </w:r>
      <w:r w:rsidR="00EA2B0B" w:rsidRPr="007052D1">
        <w:rPr>
          <w:rFonts w:ascii="Calibri" w:eastAsiaTheme="minorEastAsia" w:hAnsi="Calibri" w:cs="Calibri"/>
          <w:vertAlign w:val="superscript"/>
        </w:rPr>
        <w:t>2</w:t>
      </w:r>
      <w:r w:rsidR="00EA2B0B">
        <w:rPr>
          <w:rFonts w:ascii="Calibri" w:eastAsiaTheme="minorEastAsia" w:hAnsi="Calibri" w:cs="Calibri"/>
        </w:rPr>
        <w:t xml:space="preserve"> statistic.</w:t>
      </w:r>
      <w:r w:rsidR="00EA2B0B">
        <w:rPr>
          <w:rFonts w:ascii="Calibri" w:hAnsi="Calibri" w:cs="Calibri"/>
        </w:rPr>
        <w:fldChar w:fldCharType="begin" w:fldLock="1"/>
      </w:r>
      <w:r w:rsidR="001C2ECA">
        <w:rPr>
          <w:rFonts w:ascii="Calibri" w:hAnsi="Calibri" w:cs="Calibri"/>
        </w:rPr>
        <w:instrText>ADDIN CSL_CITATION {"citationItems":[{"id":"ITEM-1","itemData":{"DOI":"10.1136/ebmental-2019-300117","ISSN":"13620347","PMID":"31563865","abstract":"Objective Meta-analysis is of fundamental importance to obtain an unbiased assessment of the available evidence. In general, the use of meta-analysis has been increasing over the last three decades with mental health as a major research topic. It is then essential to well understand its methodology and interpret its results. In this publication, we describe how to perform a meta-analysis with the freely available statistical software environment R, using a working example taken from the field of mental health. Methods R package meta is used to conduct standard meta-analysis. Sensitivity analyses for missing binary outcome data and potential selection bias are conducted with R package metasens. All essential R commands are provided and clearly described to conduct and report analyses. Results The working example considers a binary outcome: we show how to conduct a fixed effect and random effects meta-analysis and subgroup analysis, produce a forest and funnel plot and to test and adjust for funnel plot asymmetry. All these steps work similar for other outcome types. Conclusions R represents a powerful and flexible tool to conduct meta-analyses. This publication gives a brief glimpse into the topic and provides directions to more advanced meta-analysis methods available in R.","author":[{"dropping-particle":"","family":"Balduzzi","given":"Sara","non-dropping-particle":"","parse-names":false,"suffix":""},{"dropping-particle":"","family":"Rücker","given":"Gerta","non-dropping-particle":"","parse-names":false,"suffix":""},{"dropping-particle":"","family":"Schwarzer","given":"Guido","non-dropping-particle":"","parse-names":false,"suffix":""}],"container-title":"Evidence-Based Mental Health","id":"ITEM-1","issue":"4","issued":{"date-parts":[["2019"]]},"page":"153-160","title":"How to perform a meta-analysis with R: A practical tutorial","type":"article","volume":"22"},"uris":["http://www.mendeley.com/documents/?uuid=8a45f0da-ecd7-4504-acfc-d48822e52feb"]},{"id":"ITEM-2","itemData":{"DOI":"10.1002/sim.1186","ISSN":"0277-6715","author":[{"dropping-particle":"","family":"Higgins","given":"Julian P. T.","non-dropping-particle":"","parse-names":false,"suffix":""},{"dropping-particle":"","family":"Thompson","given":"Simon G.","non-dropping-particle":"","parse-names":false,"suffix":""}],"container-title":"Statistics in Medicine","id":"ITEM-2","issue":"11","issued":{"date-parts":[["2002","6"]]},"page":"1539-1558","title":"Quantifying heterogeneity in a meta-analysis","type":"article-journal","volume":"21"},"uris":["http://www.mendeley.com/documents/?uuid=ca941f83-065c-4f14-8f29-54708e1d5255","http://www.mendeley.com/documents/?uuid=ada74ca5-b876-4596-8ef2-4cc4cb5145b4"]}],"mendeley":{"formattedCitation":"&lt;sup&gt;9,10&lt;/sup&gt;","plainTextFormattedCitation":"9,10","previouslyFormattedCitation":"&lt;sup&gt;9,10&lt;/sup&gt;"},"properties":{"noteIndex":0},"schema":"https://github.com/citation-style-language/schema/raw/master/csl-citation.json"}</w:instrText>
      </w:r>
      <w:r w:rsidR="00EA2B0B">
        <w:rPr>
          <w:rFonts w:ascii="Calibri" w:hAnsi="Calibri" w:cs="Calibri"/>
        </w:rPr>
        <w:fldChar w:fldCharType="separate"/>
      </w:r>
      <w:r w:rsidR="001C2ECA" w:rsidRPr="001C2ECA">
        <w:rPr>
          <w:rFonts w:ascii="Calibri" w:hAnsi="Calibri" w:cs="Calibri"/>
          <w:noProof/>
          <w:vertAlign w:val="superscript"/>
        </w:rPr>
        <w:t>9,10</w:t>
      </w:r>
      <w:r w:rsidR="00EA2B0B">
        <w:rPr>
          <w:rFonts w:ascii="Calibri" w:hAnsi="Calibri" w:cs="Calibri"/>
        </w:rPr>
        <w:fldChar w:fldCharType="end"/>
      </w:r>
      <w:r w:rsidR="00EA2B0B">
        <w:rPr>
          <w:rFonts w:ascii="Calibri" w:hAnsi="Calibri" w:cs="Calibri"/>
        </w:rPr>
        <w:t xml:space="preserve"> </w:t>
      </w:r>
      <w:r w:rsidR="00EA2B0B">
        <w:rPr>
          <w:rFonts w:ascii="Calibri" w:eastAsiaTheme="minorEastAsia" w:hAnsi="Calibri" w:cs="Calibri"/>
        </w:rPr>
        <w:t xml:space="preserve">In addition to a single summary estimate across all trials meta-analyses were also performed with studies grouped according to antipsychotics used.  Meta-analyses were also performed for positive and negative PANSS subscales where these were reported, using the relevant value of </w:t>
      </w:r>
      <m:oMath>
        <m:r>
          <w:rPr>
            <w:rFonts w:ascii="Cambria Math" w:hAnsi="Cambria Math" w:cs="Calibri"/>
          </w:rPr>
          <m:t>ρ</m:t>
        </m:r>
      </m:oMath>
      <w:r w:rsidR="00EA2B0B">
        <w:rPr>
          <w:rFonts w:ascii="Calibri" w:eastAsiaTheme="minorEastAsia" w:hAnsi="Calibri" w:cs="Calibri"/>
        </w:rPr>
        <w:t xml:space="preserve"> calculated above.</w:t>
      </w:r>
      <w:r w:rsidR="00EA2B0B" w:rsidRPr="007B4077">
        <w:rPr>
          <w:rFonts w:ascii="Calibri" w:hAnsi="Calibri" w:cs="Calibri"/>
        </w:rPr>
        <w:t xml:space="preserve"> </w:t>
      </w:r>
      <w:r w:rsidR="00EA2B0B">
        <w:rPr>
          <w:rFonts w:ascii="Calibri" w:hAnsi="Calibri" w:cs="Calibri"/>
        </w:rPr>
        <w:t>In a sensitivity analysis we redid the calculations using instead the most liberal value (</w:t>
      </w:r>
      <w:proofErr w:type="gramStart"/>
      <w:r w:rsidR="00EA2B0B">
        <w:rPr>
          <w:rFonts w:ascii="Calibri" w:eastAsiaTheme="minorEastAsia" w:hAnsi="Calibri" w:cs="Calibri"/>
        </w:rPr>
        <w:t>i.e.</w:t>
      </w:r>
      <w:proofErr w:type="gramEnd"/>
      <w:r w:rsidR="00EA2B0B">
        <w:rPr>
          <w:rFonts w:ascii="Calibri" w:eastAsiaTheme="minorEastAsia" w:hAnsi="Calibri" w:cs="Calibri"/>
        </w:rPr>
        <w:t xml:space="preserve"> the value corresponding to the correlation of highest absolute magnitude) </w:t>
      </w:r>
      <w:r w:rsidR="00EA2B0B">
        <w:rPr>
          <w:rFonts w:ascii="Calibri" w:hAnsi="Calibri" w:cs="Calibri"/>
        </w:rPr>
        <w:t xml:space="preserve">for </w:t>
      </w:r>
      <m:oMath>
        <m:r>
          <w:rPr>
            <w:rFonts w:ascii="Cambria Math" w:hAnsi="Cambria Math" w:cs="Calibri"/>
          </w:rPr>
          <m:t>ρ</m:t>
        </m:r>
      </m:oMath>
      <w:r w:rsidR="00EA2B0B">
        <w:rPr>
          <w:rFonts w:ascii="Calibri" w:eastAsiaTheme="minorEastAsia" w:hAnsi="Calibri" w:cs="Calibri"/>
        </w:rPr>
        <w:t xml:space="preserve"> among the three methods.</w:t>
      </w:r>
    </w:p>
    <w:p w14:paraId="3A7C3E9A" w14:textId="77777777" w:rsidR="00EA2B0B" w:rsidRDefault="00EA2B0B" w:rsidP="00712134">
      <w:pPr>
        <w:spacing w:line="360" w:lineRule="auto"/>
        <w:jc w:val="both"/>
        <w:rPr>
          <w:rFonts w:ascii="Calibri" w:hAnsi="Calibri" w:cs="Calibri"/>
        </w:rPr>
      </w:pPr>
    </w:p>
    <w:p w14:paraId="657DBEA8" w14:textId="34FF2005" w:rsidR="00882074" w:rsidRDefault="00497C19" w:rsidP="00712134">
      <w:pPr>
        <w:spacing w:line="360" w:lineRule="auto"/>
        <w:jc w:val="both"/>
        <w:rPr>
          <w:rFonts w:ascii="Calibri" w:eastAsiaTheme="minorEastAsia" w:hAnsi="Calibri" w:cs="Calibri"/>
        </w:rPr>
      </w:pPr>
      <w:r>
        <w:rPr>
          <w:rFonts w:ascii="Calibri" w:eastAsiaTheme="minorEastAsia" w:hAnsi="Calibri" w:cs="Calibri"/>
        </w:rPr>
        <w:t xml:space="preserve">To centre the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Pr>
          <w:rFonts w:ascii="Calibri" w:eastAsiaTheme="minorEastAsia" w:hAnsi="Calibri" w:cs="Calibri"/>
        </w:rPr>
        <w:t xml:space="preserve"> around a clinically meaningful value w</w:t>
      </w:r>
      <w:r w:rsidRPr="007B4077">
        <w:rPr>
          <w:rFonts w:ascii="Calibri" w:eastAsiaTheme="minorEastAsia" w:hAnsi="Calibri" w:cs="Calibri"/>
        </w:rPr>
        <w:t xml:space="preserve">e also calculated an estimate of the mean treatment effect by performing a random effects meta-analysis of unadjusted mean difference between placebo and active </w:t>
      </w:r>
      <w:r>
        <w:rPr>
          <w:rFonts w:ascii="Calibri" w:eastAsiaTheme="minorEastAsia" w:hAnsi="Calibri" w:cs="Calibri"/>
        </w:rPr>
        <w:t>treatment</w:t>
      </w:r>
      <w:r w:rsidR="004E43C0">
        <w:rPr>
          <w:rFonts w:ascii="Calibri" w:eastAsiaTheme="minorEastAsia" w:hAnsi="Calibri" w:cs="Calibri"/>
        </w:rPr>
        <w:t>.</w:t>
      </w:r>
      <w:r w:rsidR="003331D4" w:rsidRPr="007B4077">
        <w:rPr>
          <w:rFonts w:ascii="Calibri" w:hAnsi="Calibri" w:cs="Calibri"/>
        </w:rPr>
        <w:t xml:space="preserve"> </w:t>
      </w:r>
      <w:bookmarkStart w:id="23" w:name="_Hlk81576904"/>
      <w:r w:rsidR="00657EC2">
        <w:rPr>
          <w:rFonts w:ascii="Calibri" w:hAnsi="Calibri" w:cs="Calibri"/>
        </w:rPr>
        <w:t>At this point readers should n</w:t>
      </w:r>
      <w:r w:rsidR="00712134">
        <w:rPr>
          <w:rFonts w:ascii="Calibri" w:hAnsi="Calibri" w:cs="Calibri"/>
        </w:rPr>
        <w:t xml:space="preserve">ote that the estimated </w:t>
      </w:r>
      <m:oMath>
        <m:func>
          <m:funcPr>
            <m:ctrlPr>
              <w:rPr>
                <w:rFonts w:ascii="Cambria Math" w:hAnsi="Cambria Math" w:cs="Calibri"/>
                <w:i/>
              </w:rPr>
            </m:ctrlPr>
          </m:funcPr>
          <m:fName>
            <m:r>
              <m:rPr>
                <m:sty m:val="p"/>
              </m:rPr>
              <w:rPr>
                <w:rFonts w:ascii="Cambria Math" w:hAnsi="Cambria Math" w:cs="Calibri"/>
              </w:rPr>
              <m:t>ln</m:t>
            </m:r>
          </m:fName>
          <m:e>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e>
        </m:func>
      </m:oMath>
      <w:r w:rsidR="00712134">
        <w:rPr>
          <w:rFonts w:ascii="Calibri" w:eastAsiaTheme="minorEastAsia" w:hAnsi="Calibri" w:cs="Calibri"/>
        </w:rPr>
        <w:t xml:space="preserve"> across studies are correlated, </w:t>
      </w:r>
      <w:proofErr w:type="gramStart"/>
      <w:r w:rsidR="00712134">
        <w:rPr>
          <w:rFonts w:ascii="Calibri" w:eastAsiaTheme="minorEastAsia" w:hAnsi="Calibri" w:cs="Calibri"/>
        </w:rPr>
        <w:t>owing to the fact that</w:t>
      </w:r>
      <w:proofErr w:type="gramEnd"/>
      <w:r w:rsidR="00712134">
        <w:rPr>
          <w:rFonts w:ascii="Calibri" w:eastAsiaTheme="minorEastAsia" w:hAnsi="Calibri" w:cs="Calibri"/>
        </w:rPr>
        <w:t xml:space="preserve"> they are all calculated using the same values for </w:t>
      </w:r>
      <m:oMath>
        <m:r>
          <w:rPr>
            <w:rFonts w:ascii="Cambria Math" w:hAnsi="Cambria Math" w:cs="Calibri"/>
          </w:rPr>
          <m:t>ρ</m:t>
        </m:r>
      </m:oMath>
      <w:r w:rsidR="00712134">
        <w:rPr>
          <w:rFonts w:ascii="Calibri" w:eastAsiaTheme="minorEastAsia" w:hAnsi="Calibri" w:cs="Calibri"/>
        </w:rPr>
        <w:t xml:space="preserve">. </w:t>
      </w:r>
      <w:r w:rsidR="009173B5">
        <w:rPr>
          <w:rFonts w:ascii="Calibri" w:eastAsiaTheme="minorEastAsia" w:hAnsi="Calibri" w:cs="Calibri"/>
        </w:rPr>
        <w:t xml:space="preserve">Our analysis disregards this correlation, and this could in principle </w:t>
      </w:r>
      <w:r w:rsidR="00F41641">
        <w:rPr>
          <w:rFonts w:ascii="Calibri" w:eastAsiaTheme="minorEastAsia" w:hAnsi="Calibri" w:cs="Calibri"/>
        </w:rPr>
        <w:t xml:space="preserve">be a </w:t>
      </w:r>
      <w:r w:rsidR="009173B5">
        <w:rPr>
          <w:rFonts w:ascii="Calibri" w:eastAsiaTheme="minorEastAsia" w:hAnsi="Calibri" w:cs="Calibri"/>
        </w:rPr>
        <w:t>limitation, leading to narrow</w:t>
      </w:r>
      <w:r w:rsidR="00590750">
        <w:rPr>
          <w:rFonts w:ascii="Calibri" w:eastAsiaTheme="minorEastAsia" w:hAnsi="Calibri" w:cs="Calibri"/>
        </w:rPr>
        <w:t>er</w:t>
      </w:r>
      <w:r w:rsidR="009173B5">
        <w:rPr>
          <w:rFonts w:ascii="Calibri" w:eastAsiaTheme="minorEastAsia" w:hAnsi="Calibri" w:cs="Calibri"/>
        </w:rPr>
        <w:t xml:space="preserve"> confidence intervals. However, we calculated the </w:t>
      </w:r>
      <w:r w:rsidR="009173B5">
        <w:rPr>
          <w:rFonts w:ascii="Calibri" w:eastAsiaTheme="minorEastAsia" w:hAnsi="Calibri" w:cs="Calibri"/>
        </w:rPr>
        <w:lastRenderedPageBreak/>
        <w:t xml:space="preserve">correlations induced across the study-specific estimates and we found them to be </w:t>
      </w:r>
      <w:r w:rsidR="006131BE">
        <w:rPr>
          <w:rFonts w:ascii="Calibri" w:eastAsiaTheme="minorEastAsia" w:hAnsi="Calibri" w:cs="Calibri"/>
        </w:rPr>
        <w:t>very small for most cases</w:t>
      </w:r>
      <w:r w:rsidR="009173B5">
        <w:rPr>
          <w:rFonts w:ascii="Calibri" w:eastAsiaTheme="minorEastAsia" w:hAnsi="Calibri" w:cs="Calibri"/>
        </w:rPr>
        <w:t xml:space="preserve">. Thus, </w:t>
      </w:r>
      <w:r w:rsidR="00657EC2">
        <w:rPr>
          <w:rFonts w:ascii="Calibri" w:eastAsiaTheme="minorEastAsia" w:hAnsi="Calibri" w:cs="Calibri"/>
        </w:rPr>
        <w:t xml:space="preserve">disregarding these induced correlations </w:t>
      </w:r>
      <w:r w:rsidR="009173B5">
        <w:rPr>
          <w:rFonts w:ascii="Calibri" w:eastAsiaTheme="minorEastAsia" w:hAnsi="Calibri" w:cs="Calibri"/>
        </w:rPr>
        <w:t>is expected to have minimal impact</w:t>
      </w:r>
      <w:r w:rsidR="00657EC2">
        <w:rPr>
          <w:rFonts w:ascii="Calibri" w:eastAsiaTheme="minorEastAsia" w:hAnsi="Calibri" w:cs="Calibri"/>
        </w:rPr>
        <w:t xml:space="preserve"> on our results</w:t>
      </w:r>
      <w:r w:rsidR="009173B5">
        <w:rPr>
          <w:rFonts w:ascii="Calibri" w:eastAsiaTheme="minorEastAsia" w:hAnsi="Calibri" w:cs="Calibri"/>
        </w:rPr>
        <w:t>.</w:t>
      </w:r>
    </w:p>
    <w:bookmarkEnd w:id="23"/>
    <w:p w14:paraId="0C77F634" w14:textId="77777777" w:rsidR="00657EC2" w:rsidRDefault="00657EC2" w:rsidP="00497C19">
      <w:pPr>
        <w:spacing w:line="360" w:lineRule="auto"/>
        <w:jc w:val="both"/>
        <w:rPr>
          <w:rFonts w:ascii="Calibri" w:eastAsiaTheme="minorEastAsia" w:hAnsi="Calibri" w:cs="Calibri"/>
        </w:rPr>
      </w:pPr>
    </w:p>
    <w:p w14:paraId="25068614" w14:textId="05912319" w:rsidR="00657EC2" w:rsidRDefault="006131BE" w:rsidP="00712134">
      <w:pPr>
        <w:spacing w:line="360" w:lineRule="auto"/>
        <w:jc w:val="both"/>
        <w:rPr>
          <w:rFonts w:ascii="Calibri" w:hAnsi="Calibri" w:cs="Calibri"/>
        </w:rPr>
      </w:pPr>
      <w:r>
        <w:rPr>
          <w:rFonts w:ascii="Calibri" w:eastAsiaTheme="minorEastAsia" w:hAnsi="Calibri" w:cs="Calibri"/>
        </w:rPr>
        <w:t xml:space="preserve">In some trials the observed VR was not compatible with our main estimate of </w:t>
      </w:r>
      <m:oMath>
        <m:r>
          <w:rPr>
            <w:rFonts w:ascii="Cambria Math" w:hAnsi="Cambria Math" w:cs="Calibri"/>
          </w:rPr>
          <m:t>ρ</m:t>
        </m:r>
      </m:oMath>
      <w:r>
        <w:rPr>
          <w:rFonts w:ascii="Calibri" w:eastAsiaTheme="minorEastAsia" w:hAnsi="Calibri" w:cs="Calibri"/>
        </w:rPr>
        <w:t xml:space="preserve"> (in cases of low VR a greater absolute value of </w:t>
      </w:r>
      <m:oMath>
        <m:r>
          <w:rPr>
            <w:rFonts w:ascii="Cambria Math" w:hAnsi="Cambria Math" w:cs="Calibri"/>
          </w:rPr>
          <m:t>ρ</m:t>
        </m:r>
      </m:oMath>
      <w:r>
        <w:rPr>
          <w:rFonts w:ascii="Calibri" w:eastAsiaTheme="minorEastAsia" w:hAnsi="Calibri" w:cs="Calibri"/>
        </w:rPr>
        <w:t xml:space="preserve"> is required for solutions to contain only real numbers). These trials were removed in our main analysis. </w:t>
      </w:r>
    </w:p>
    <w:p w14:paraId="6740F1E2" w14:textId="77777777" w:rsidR="00882074" w:rsidRDefault="00882074" w:rsidP="00497C19">
      <w:pPr>
        <w:spacing w:line="360" w:lineRule="auto"/>
        <w:jc w:val="both"/>
        <w:rPr>
          <w:rFonts w:ascii="Calibri" w:hAnsi="Calibri" w:cs="Calibri"/>
        </w:rPr>
      </w:pPr>
    </w:p>
    <w:p w14:paraId="41951776" w14:textId="1F382AAB" w:rsidR="00497C19" w:rsidRDefault="00BE1CDF" w:rsidP="00497C19">
      <w:pPr>
        <w:spacing w:line="360" w:lineRule="auto"/>
        <w:jc w:val="both"/>
        <w:rPr>
          <w:rFonts w:ascii="Calibri" w:eastAsiaTheme="minorEastAsia" w:hAnsi="Calibri" w:cs="Calibri"/>
        </w:rPr>
      </w:pPr>
      <w:r>
        <w:rPr>
          <w:rFonts w:ascii="Calibri" w:hAnsi="Calibri" w:cs="Calibri"/>
        </w:rPr>
        <w:t>For studies in which VR</w:t>
      </w:r>
      <w:r w:rsidR="00E62E31">
        <w:rPr>
          <w:rFonts w:ascii="Calibri" w:hAnsi="Calibri" w:cs="Calibri"/>
        </w:rPr>
        <w:t>&lt;1</w:t>
      </w:r>
      <w:r>
        <w:rPr>
          <w:rFonts w:ascii="Calibri" w:hAnsi="Calibri" w:cs="Calibri"/>
        </w:rPr>
        <w:t xml:space="preserve"> there exist</w:t>
      </w:r>
      <w:r w:rsidR="00D74D81">
        <w:rPr>
          <w:rFonts w:ascii="Calibri" w:hAnsi="Calibri" w:cs="Calibri"/>
        </w:rPr>
        <w:t>s</w:t>
      </w:r>
      <w:r>
        <w:rPr>
          <w:rFonts w:ascii="Calibri" w:hAnsi="Calibri" w:cs="Calibri"/>
        </w:rPr>
        <w:t xml:space="preserve"> </w:t>
      </w:r>
      <w:r w:rsidR="00D74D81">
        <w:rPr>
          <w:rFonts w:ascii="Calibri" w:hAnsi="Calibri" w:cs="Calibri"/>
        </w:rPr>
        <w:t xml:space="preserve">an additional second </w:t>
      </w:r>
      <w:r>
        <w:rPr>
          <w:rFonts w:ascii="Calibri" w:hAnsi="Calibri" w:cs="Calibri"/>
        </w:rPr>
        <w:t>solution</w:t>
      </w:r>
      <w:r>
        <w:rPr>
          <w:rFonts w:ascii="Calibri" w:eastAsiaTheme="minorEastAsia" w:hAnsi="Calibri" w:cs="Calibri"/>
        </w:rPr>
        <w:t>:</w:t>
      </w:r>
    </w:p>
    <w:p w14:paraId="297255D7" w14:textId="2253D281" w:rsidR="00BE1CDF" w:rsidRDefault="00BE1CDF" w:rsidP="00497C19">
      <w:pPr>
        <w:spacing w:line="360" w:lineRule="auto"/>
        <w:jc w:val="both"/>
        <w:rPr>
          <w:rFonts w:ascii="Calibri" w:eastAsiaTheme="minorEastAsia" w:hAnsi="Calibri" w:cs="Calibri"/>
        </w:rPr>
      </w:pPr>
    </w:p>
    <w:bookmarkStart w:id="24" w:name="_Hlk81489414"/>
    <w:p w14:paraId="3B8FDC3A" w14:textId="3C2C7B22" w:rsidR="00BE1CDF" w:rsidRPr="007B4077" w:rsidRDefault="00890F63" w:rsidP="00BE1CDF">
      <w:pPr>
        <w:spacing w:line="36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d>
            <m:dPr>
              <m:ctrlPr>
                <w:rPr>
                  <w:rFonts w:ascii="Cambria Math" w:hAnsi="Cambria Math" w:cs="Calibri"/>
                  <w:i/>
                </w:rPr>
              </m:ctrlPr>
            </m:dPr>
            <m:e>
              <m:r>
                <w:rPr>
                  <w:rFonts w:ascii="Cambria Math" w:hAnsi="Cambria Math" w:cs="Calibri"/>
                </w:rPr>
                <m:t>-</m:t>
              </m:r>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VR</m:t>
                      </m:r>
                    </m:e>
                    <m:sup>
                      <m:r>
                        <w:rPr>
                          <w:rFonts w:ascii="Cambria Math" w:hAnsi="Cambria Math" w:cs="Calibri"/>
                        </w:rPr>
                        <m:t>2</m:t>
                      </m:r>
                    </m:sup>
                  </m:sSup>
                  <m:r>
                    <w:rPr>
                      <w:rFonts w:ascii="Cambria Math" w:hAnsi="Cambria Math" w:cs="Calibri"/>
                    </w:rPr>
                    <m:t>-1+</m:t>
                  </m:r>
                  <m:sSup>
                    <m:sSupPr>
                      <m:ctrlPr>
                        <w:rPr>
                          <w:rFonts w:ascii="Cambria Math" w:hAnsi="Cambria Math" w:cs="Calibri"/>
                          <w:i/>
                        </w:rPr>
                      </m:ctrlPr>
                    </m:sSupPr>
                    <m:e>
                      <m:r>
                        <w:rPr>
                          <w:rFonts w:ascii="Cambria Math" w:hAnsi="Cambria Math" w:cs="Calibri"/>
                        </w:rPr>
                        <m:t>ρ</m:t>
                      </m:r>
                    </m:e>
                    <m:sup>
                      <m:r>
                        <w:rPr>
                          <w:rFonts w:ascii="Cambria Math" w:hAnsi="Cambria Math" w:cs="Calibri"/>
                        </w:rPr>
                        <m:t>2</m:t>
                      </m:r>
                    </m:sup>
                  </m:sSup>
                </m:e>
              </m:rad>
              <m:r>
                <w:rPr>
                  <w:rFonts w:ascii="Cambria Math" w:hAnsi="Cambria Math" w:cs="Calibri"/>
                </w:rPr>
                <m:t>-ρ</m:t>
              </m:r>
            </m:e>
          </m:d>
        </m:oMath>
      </m:oMathPara>
    </w:p>
    <w:bookmarkEnd w:id="24"/>
    <w:p w14:paraId="04BF5797" w14:textId="3C05B7CF" w:rsidR="00BE1CDF" w:rsidRDefault="00BE1CDF" w:rsidP="00497C19">
      <w:pPr>
        <w:spacing w:line="360" w:lineRule="auto"/>
        <w:jc w:val="both"/>
        <w:rPr>
          <w:rFonts w:ascii="Calibri" w:hAnsi="Calibri" w:cs="Calibri"/>
        </w:rPr>
      </w:pPr>
    </w:p>
    <w:p w14:paraId="5F3D81B2" w14:textId="543857EC" w:rsidR="00497C19" w:rsidRDefault="00D74D81">
      <w:r>
        <w:t>We present</w:t>
      </w:r>
      <w:r w:rsidR="00F02F78">
        <w:t>ed</w:t>
      </w:r>
      <w:r>
        <w:t xml:space="preserve"> only the findings for the first solution:</w:t>
      </w:r>
    </w:p>
    <w:p w14:paraId="057A8D27" w14:textId="4985D76A" w:rsidR="00D74D81" w:rsidRDefault="00D74D81"/>
    <w:bookmarkStart w:id="25" w:name="_Hlk81489522"/>
    <w:p w14:paraId="2A0B6113" w14:textId="7B8D9CF2" w:rsidR="00D74D81" w:rsidRPr="007B4077" w:rsidRDefault="00890F63" w:rsidP="00D74D81">
      <w:pPr>
        <w:spacing w:line="36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w:bookmarkEnd w:id="25"/>
          <m:r>
            <w:rPr>
              <w:rFonts w:ascii="Cambria Math" w:hAnsi="Cambria Math" w:cs="Calibri"/>
            </w:rPr>
            <m:t>=</m:t>
          </m:r>
          <m:sSub>
            <m:sSubPr>
              <m:ctrlPr>
                <w:rPr>
                  <w:rFonts w:ascii="Cambria Math" w:hAnsi="Cambria Math" w:cs="Calibri"/>
                  <w:i/>
                </w:rPr>
              </m:ctrlPr>
            </m:sSubPr>
            <m:e>
              <m:r>
                <w:rPr>
                  <w:rFonts w:ascii="Cambria Math" w:hAnsi="Cambria Math" w:cs="Calibri"/>
                </w:rPr>
                <m:t>σ</m:t>
              </m:r>
            </m:e>
            <m:sub>
              <m:r>
                <w:rPr>
                  <w:rFonts w:ascii="Cambria Math" w:hAnsi="Cambria Math" w:cs="Calibri"/>
                </w:rPr>
                <m:t>PL</m:t>
              </m:r>
            </m:sub>
          </m:sSub>
          <m:d>
            <m:dPr>
              <m:ctrlPr>
                <w:rPr>
                  <w:rFonts w:ascii="Cambria Math" w:hAnsi="Cambria Math" w:cs="Calibri"/>
                  <w:i/>
                </w:rPr>
              </m:ctrlPr>
            </m:dPr>
            <m:e>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VR</m:t>
                      </m:r>
                    </m:e>
                    <m:sup>
                      <m:r>
                        <w:rPr>
                          <w:rFonts w:ascii="Cambria Math" w:hAnsi="Cambria Math" w:cs="Calibri"/>
                        </w:rPr>
                        <m:t>2</m:t>
                      </m:r>
                    </m:sup>
                  </m:sSup>
                  <m:r>
                    <w:rPr>
                      <w:rFonts w:ascii="Cambria Math" w:hAnsi="Cambria Math" w:cs="Calibri"/>
                    </w:rPr>
                    <m:t>-1+</m:t>
                  </m:r>
                  <m:sSup>
                    <m:sSupPr>
                      <m:ctrlPr>
                        <w:rPr>
                          <w:rFonts w:ascii="Cambria Math" w:hAnsi="Cambria Math" w:cs="Calibri"/>
                          <w:i/>
                        </w:rPr>
                      </m:ctrlPr>
                    </m:sSupPr>
                    <m:e>
                      <m:r>
                        <w:rPr>
                          <w:rFonts w:ascii="Cambria Math" w:hAnsi="Cambria Math" w:cs="Calibri"/>
                        </w:rPr>
                        <m:t>ρ</m:t>
                      </m:r>
                    </m:e>
                    <m:sup>
                      <m:r>
                        <w:rPr>
                          <w:rFonts w:ascii="Cambria Math" w:hAnsi="Cambria Math" w:cs="Calibri"/>
                        </w:rPr>
                        <m:t>2</m:t>
                      </m:r>
                    </m:sup>
                  </m:sSup>
                </m:e>
              </m:rad>
              <m:r>
                <w:rPr>
                  <w:rFonts w:ascii="Cambria Math" w:hAnsi="Cambria Math" w:cs="Calibri"/>
                </w:rPr>
                <m:t>-ρ</m:t>
              </m:r>
            </m:e>
          </m:d>
        </m:oMath>
      </m:oMathPara>
    </w:p>
    <w:p w14:paraId="6C3F16DD" w14:textId="77777777" w:rsidR="00E20CF3" w:rsidRDefault="00E20CF3" w:rsidP="008F78B9">
      <w:pPr>
        <w:spacing w:line="360" w:lineRule="auto"/>
        <w:jc w:val="both"/>
      </w:pPr>
    </w:p>
    <w:p w14:paraId="2EA5CF38" w14:textId="430AD7DD" w:rsidR="00D74D81" w:rsidRDefault="00D74D81" w:rsidP="008F78B9">
      <w:pPr>
        <w:spacing w:line="360" w:lineRule="auto"/>
        <w:jc w:val="both"/>
        <w:rPr>
          <w:rFonts w:eastAsiaTheme="minorEastAsia"/>
        </w:rPr>
      </w:pPr>
      <w:r>
        <w:t xml:space="preserve">This is because the alternative of using the second solution for those studies with VR&lt;1 leads to a situation in which there </w:t>
      </w:r>
      <w:r w:rsidR="00F41641">
        <w:t xml:space="preserve">is </w:t>
      </w:r>
      <w:r>
        <w:t xml:space="preserve">a </w:t>
      </w:r>
      <w:proofErr w:type="gramStart"/>
      <w:r>
        <w:t>large discontinu</w:t>
      </w:r>
      <w:r w:rsidR="00F02F78">
        <w:t>ities</w:t>
      </w:r>
      <w:proofErr w:type="gramEnd"/>
      <w:r>
        <w:t xml:space="preserve"> for the estimate of </w:t>
      </w:r>
      <m:oMath>
        <m:sSub>
          <m:sSubPr>
            <m:ctrlPr>
              <w:rPr>
                <w:rFonts w:ascii="Cambria Math" w:hAnsi="Cambria Math" w:cs="Calibri"/>
                <w:i/>
              </w:rPr>
            </m:ctrlPr>
          </m:sSubPr>
          <m:e>
            <m:r>
              <w:rPr>
                <w:rFonts w:ascii="Cambria Math" w:hAnsi="Cambria Math" w:cs="Calibri"/>
              </w:rPr>
              <m:t>σ</m:t>
            </m:r>
          </m:e>
          <m:sub>
            <m:r>
              <w:rPr>
                <w:rFonts w:ascii="Cambria Math" w:hAnsi="Cambria Math" w:cs="Calibri"/>
              </w:rPr>
              <m:t>TE</m:t>
            </m:r>
          </m:sub>
        </m:sSub>
      </m:oMath>
      <w:r>
        <w:rPr>
          <w:rFonts w:eastAsiaTheme="minorEastAsia"/>
        </w:rPr>
        <w:t xml:space="preserve"> between a study with a VR of e.g. 1.01 and a study with a VR of e.g. 0.99. This discontinuity appears </w:t>
      </w:r>
      <w:r w:rsidR="00F41641">
        <w:rPr>
          <w:rFonts w:eastAsiaTheme="minorEastAsia"/>
        </w:rPr>
        <w:t xml:space="preserve">implausible, </w:t>
      </w:r>
      <w:r>
        <w:rPr>
          <w:rFonts w:eastAsiaTheme="minorEastAsia"/>
        </w:rPr>
        <w:t>and we have therefore restricted the possible solutions.</w:t>
      </w:r>
    </w:p>
    <w:p w14:paraId="120803C4" w14:textId="58853ECF" w:rsidR="00EA2B0B" w:rsidRDefault="00EA2B0B" w:rsidP="008F78B9">
      <w:pPr>
        <w:spacing w:line="360" w:lineRule="auto"/>
        <w:jc w:val="both"/>
        <w:rPr>
          <w:rFonts w:eastAsiaTheme="minorEastAsia"/>
        </w:rPr>
      </w:pPr>
    </w:p>
    <w:p w14:paraId="1E8A61A9" w14:textId="53F911FF" w:rsidR="00EA2B0B" w:rsidRDefault="00EA2B0B" w:rsidP="00EA2B0B">
      <w:pPr>
        <w:spacing w:line="360" w:lineRule="auto"/>
        <w:jc w:val="both"/>
        <w:rPr>
          <w:rFonts w:ascii="Calibri" w:eastAsiaTheme="minorEastAsia" w:hAnsi="Calibri" w:cs="Calibri"/>
        </w:rPr>
      </w:pPr>
      <w:r>
        <w:rPr>
          <w:rFonts w:ascii="Calibri" w:hAnsi="Calibri" w:cs="Calibri"/>
        </w:rPr>
        <w:t>Throughout, r</w:t>
      </w:r>
      <w:r w:rsidRPr="00AD1C75">
        <w:rPr>
          <w:rFonts w:ascii="Calibri" w:hAnsi="Calibri" w:cs="Calibri"/>
        </w:rPr>
        <w:t xml:space="preserve">eported </w:t>
      </w:r>
      <w:r>
        <w:rPr>
          <w:rFonts w:ascii="Calibri" w:hAnsi="Calibri" w:cs="Calibri"/>
        </w:rPr>
        <w:t xml:space="preserve">p values </w:t>
      </w:r>
      <w:r w:rsidRPr="00AD1C75">
        <w:rPr>
          <w:rFonts w:ascii="Calibri" w:hAnsi="Calibri" w:cs="Calibri"/>
        </w:rPr>
        <w:t>are two sided</w:t>
      </w:r>
      <w:r>
        <w:rPr>
          <w:rFonts w:ascii="Calibri" w:hAnsi="Calibri" w:cs="Calibri"/>
        </w:rPr>
        <w:t>,</w:t>
      </w:r>
      <w:r w:rsidRPr="00AD1C75">
        <w:rPr>
          <w:rFonts w:ascii="Calibri" w:hAnsi="Calibri" w:cs="Calibri"/>
        </w:rPr>
        <w:t xml:space="preserve"> and test against a null hypothesis of</w:t>
      </w:r>
      <w:r>
        <w:rPr>
          <w:rFonts w:ascii="Calibri" w:hAnsi="Calibri" w:cs="Calibri"/>
        </w:rPr>
        <w:t xml:space="preserve"> both the correlation (</w:t>
      </w:r>
      <m:oMath>
        <m:r>
          <w:rPr>
            <w:rFonts w:ascii="Cambria Math" w:hAnsi="Cambria Math" w:cs="Calibri"/>
          </w:rPr>
          <m:t>ρ</m:t>
        </m:r>
      </m:oMath>
      <w:r>
        <w:rPr>
          <w:rFonts w:ascii="Calibri" w:eastAsiaTheme="minorEastAsia" w:hAnsi="Calibri" w:cs="Calibri"/>
        </w:rPr>
        <w:t>)</w:t>
      </w:r>
      <w:r w:rsidRPr="00AD1C75">
        <w:rPr>
          <w:rFonts w:ascii="Calibri" w:eastAsiaTheme="minorEastAsia" w:hAnsi="Calibri" w:cs="Calibri"/>
        </w:rPr>
        <w:t xml:space="preserve"> and</w:t>
      </w:r>
      <w:r>
        <w:rPr>
          <w:rFonts w:ascii="Calibri" w:eastAsiaTheme="minorEastAsia" w:hAnsi="Calibri" w:cs="Calibri"/>
        </w:rPr>
        <w:t xml:space="preserve"> the heterogeneity of treatment effects not differing from zero.</w:t>
      </w:r>
    </w:p>
    <w:p w14:paraId="4DD700C0" w14:textId="77777777" w:rsidR="002B5602" w:rsidRPr="002B5602" w:rsidRDefault="002B5602" w:rsidP="008F78B9">
      <w:pPr>
        <w:spacing w:line="360" w:lineRule="auto"/>
        <w:jc w:val="both"/>
        <w:rPr>
          <w:rFonts w:eastAsiaTheme="minorEastAsia"/>
          <w:b/>
          <w:bCs/>
        </w:rPr>
      </w:pPr>
    </w:p>
    <w:p w14:paraId="576E7C28" w14:textId="299A12AB" w:rsidR="002B5602" w:rsidRDefault="002B5602" w:rsidP="008F78B9">
      <w:pPr>
        <w:spacing w:line="360" w:lineRule="auto"/>
        <w:jc w:val="both"/>
        <w:rPr>
          <w:rFonts w:ascii="Calibri" w:hAnsi="Calibri" w:cs="Calibri"/>
        </w:rPr>
      </w:pPr>
      <w:r>
        <w:rPr>
          <w:rFonts w:ascii="Calibri" w:hAnsi="Calibri" w:cs="Calibri"/>
        </w:rPr>
        <w:t xml:space="preserve">The assumption underlying the open label method is supported by the fact that PANSS scores at the end of the double-blind period for those initially randomized to antipsychotic treatment were </w:t>
      </w:r>
      <w:proofErr w:type="gramStart"/>
      <w:r>
        <w:rPr>
          <w:rFonts w:ascii="Calibri" w:hAnsi="Calibri" w:cs="Calibri"/>
        </w:rPr>
        <w:t>similar to</w:t>
      </w:r>
      <w:proofErr w:type="gramEnd"/>
      <w:r>
        <w:rPr>
          <w:rFonts w:ascii="Calibri" w:hAnsi="Calibri" w:cs="Calibri"/>
        </w:rPr>
        <w:t xml:space="preserve"> the scores at the end of the open label period for those initially receiving placebo (see supplementary eFigure </w:t>
      </w:r>
      <w:r w:rsidR="00890B44">
        <w:rPr>
          <w:rFonts w:ascii="Calibri" w:hAnsi="Calibri" w:cs="Calibri"/>
        </w:rPr>
        <w:t>2</w:t>
      </w:r>
      <w:r>
        <w:rPr>
          <w:rFonts w:ascii="Calibri" w:hAnsi="Calibri" w:cs="Calibri"/>
        </w:rPr>
        <w:t>).</w:t>
      </w:r>
    </w:p>
    <w:p w14:paraId="3303119D" w14:textId="17C78B8E" w:rsidR="002B5602" w:rsidRDefault="002B5602" w:rsidP="008F78B9">
      <w:pPr>
        <w:spacing w:line="360" w:lineRule="auto"/>
        <w:jc w:val="both"/>
        <w:rPr>
          <w:rFonts w:ascii="Calibri" w:hAnsi="Calibri" w:cs="Calibri"/>
        </w:rPr>
      </w:pPr>
    </w:p>
    <w:p w14:paraId="34DA7F24" w14:textId="2CF395DA" w:rsidR="002B5602" w:rsidRDefault="002B5602" w:rsidP="002B5602">
      <w:pPr>
        <w:spacing w:line="360" w:lineRule="auto"/>
        <w:jc w:val="both"/>
        <w:rPr>
          <w:rFonts w:ascii="Calibri" w:hAnsi="Calibri" w:cs="Calibri"/>
        </w:rPr>
      </w:pPr>
      <w:r>
        <w:rPr>
          <w:rFonts w:ascii="Calibri" w:hAnsi="Calibri" w:cs="Calibri"/>
        </w:rPr>
        <w:t xml:space="preserve">Both methods estimate individual treatment effects and thereby allow for estimation of treatment effect heterogeneity within the trial. Clinically meaningful heterogeneity was </w:t>
      </w:r>
      <w:r>
        <w:rPr>
          <w:rFonts w:ascii="Calibri" w:hAnsi="Calibri" w:cs="Calibri"/>
        </w:rPr>
        <w:lastRenderedPageBreak/>
        <w:t>apparent with both methods when observing the distribution of treatment effects (see supplementary eFigure</w:t>
      </w:r>
      <w:r w:rsidR="00890B44">
        <w:rPr>
          <w:rFonts w:ascii="Calibri" w:hAnsi="Calibri" w:cs="Calibri"/>
        </w:rPr>
        <w:t>3</w:t>
      </w:r>
      <w:r>
        <w:rPr>
          <w:rFonts w:ascii="Calibri" w:hAnsi="Calibri" w:cs="Calibri"/>
        </w:rPr>
        <w:t>).</w:t>
      </w:r>
    </w:p>
    <w:p w14:paraId="5B098A42" w14:textId="1E4280C7" w:rsidR="00C539F7" w:rsidRDefault="00C539F7" w:rsidP="002B5602">
      <w:pPr>
        <w:spacing w:line="360" w:lineRule="auto"/>
        <w:jc w:val="both"/>
        <w:rPr>
          <w:rFonts w:ascii="Calibri" w:hAnsi="Calibri" w:cs="Calibri"/>
        </w:rPr>
      </w:pPr>
    </w:p>
    <w:p w14:paraId="15781A96" w14:textId="77777777" w:rsidR="003C3303" w:rsidRDefault="003C3303" w:rsidP="002B5602">
      <w:pPr>
        <w:spacing w:line="360" w:lineRule="auto"/>
        <w:jc w:val="both"/>
        <w:rPr>
          <w:rFonts w:ascii="Calibri" w:hAnsi="Calibri" w:cs="Calibri"/>
        </w:rPr>
      </w:pPr>
    </w:p>
    <w:p w14:paraId="53FED1EC" w14:textId="1BE25789" w:rsidR="003C3303" w:rsidRPr="003C3303" w:rsidRDefault="003C3303" w:rsidP="003C3303">
      <w:pPr>
        <w:spacing w:line="360" w:lineRule="auto"/>
        <w:jc w:val="both"/>
        <w:rPr>
          <w:rFonts w:eastAsiaTheme="minorEastAsia"/>
          <w:b/>
          <w:bCs/>
          <w:i/>
          <w:iCs/>
        </w:rPr>
      </w:pPr>
      <w:r w:rsidRPr="003C3303">
        <w:rPr>
          <w:rFonts w:eastAsiaTheme="minorEastAsia"/>
          <w:b/>
          <w:bCs/>
          <w:i/>
          <w:iCs/>
        </w:rPr>
        <w:t>Results</w:t>
      </w:r>
    </w:p>
    <w:p w14:paraId="71C82CBD" w14:textId="5544DA24" w:rsidR="003C3303" w:rsidRPr="00890B44" w:rsidRDefault="003C3303" w:rsidP="003C3303">
      <w:pPr>
        <w:spacing w:line="360" w:lineRule="auto"/>
        <w:rPr>
          <w:rFonts w:ascii="Calibri" w:hAnsi="Calibri" w:cs="Calibri"/>
          <w:i/>
          <w:iCs/>
        </w:rPr>
      </w:pPr>
    </w:p>
    <w:p w14:paraId="5C52D071" w14:textId="54367C1D" w:rsidR="003C3303" w:rsidRDefault="003C3303" w:rsidP="003C3303">
      <w:pPr>
        <w:spacing w:line="360" w:lineRule="auto"/>
        <w:jc w:val="both"/>
        <w:rPr>
          <w:rFonts w:ascii="Calibri" w:hAnsi="Calibri" w:cs="Calibri"/>
        </w:rPr>
      </w:pPr>
      <w:r>
        <w:rPr>
          <w:rFonts w:ascii="Calibri" w:hAnsi="Calibri" w:cs="Calibri"/>
        </w:rPr>
        <w:t xml:space="preserve">The assumption underlying the open label method is supported by the fact that PANSS scores at the end of the double-blind period for those initially randomized to antipsychotic treatment were </w:t>
      </w:r>
      <w:proofErr w:type="gramStart"/>
      <w:r>
        <w:rPr>
          <w:rFonts w:ascii="Calibri" w:hAnsi="Calibri" w:cs="Calibri"/>
        </w:rPr>
        <w:t>similar to</w:t>
      </w:r>
      <w:proofErr w:type="gramEnd"/>
      <w:r>
        <w:rPr>
          <w:rFonts w:ascii="Calibri" w:hAnsi="Calibri" w:cs="Calibri"/>
        </w:rPr>
        <w:t xml:space="preserve"> the scores at the end of the open label period for those initially receiving placebo (see supplementary </w:t>
      </w:r>
      <w:proofErr w:type="spellStart"/>
      <w:r>
        <w:rPr>
          <w:rFonts w:ascii="Calibri" w:hAnsi="Calibri" w:cs="Calibri"/>
        </w:rPr>
        <w:t>eFigure</w:t>
      </w:r>
      <w:proofErr w:type="spellEnd"/>
      <w:r>
        <w:rPr>
          <w:rFonts w:ascii="Calibri" w:hAnsi="Calibri" w:cs="Calibri"/>
        </w:rPr>
        <w:t xml:space="preserve"> 2).</w:t>
      </w:r>
      <w:r>
        <w:rPr>
          <w:rFonts w:ascii="Calibri" w:hAnsi="Calibri" w:cs="Calibri"/>
        </w:rPr>
        <w:t xml:space="preserve"> </w:t>
      </w:r>
      <w:r>
        <w:rPr>
          <w:rFonts w:ascii="Calibri" w:hAnsi="Calibri" w:cs="Calibri"/>
        </w:rPr>
        <w:t xml:space="preserve">Both </w:t>
      </w:r>
      <w:r>
        <w:rPr>
          <w:rFonts w:ascii="Calibri" w:hAnsi="Calibri" w:cs="Calibri"/>
        </w:rPr>
        <w:t xml:space="preserve">of the individual patient data </w:t>
      </w:r>
      <w:r>
        <w:rPr>
          <w:rFonts w:ascii="Calibri" w:hAnsi="Calibri" w:cs="Calibri"/>
        </w:rPr>
        <w:t>methods estimate individual treatment effects and thereby allow for estimation of treatment effect heterogeneity within the trial. Clinically meaningful heterogeneity was apparent with both methods when observing the distribution of treatment effects (see supplementary eFigure3).</w:t>
      </w:r>
    </w:p>
    <w:p w14:paraId="4D8BAA38" w14:textId="77777777" w:rsidR="00C539F7" w:rsidRPr="007B4077" w:rsidRDefault="00C539F7" w:rsidP="002B5602">
      <w:pPr>
        <w:spacing w:line="360" w:lineRule="auto"/>
        <w:jc w:val="both"/>
        <w:rPr>
          <w:rFonts w:ascii="Calibri" w:hAnsi="Calibri" w:cs="Calibri"/>
        </w:rPr>
      </w:pPr>
    </w:p>
    <w:p w14:paraId="603A9CC4" w14:textId="77777777" w:rsidR="00CA3511" w:rsidRDefault="00CA3511">
      <w:pPr>
        <w:rPr>
          <w:rFonts w:eastAsiaTheme="minorEastAsia"/>
          <w:b/>
          <w:bCs/>
        </w:rPr>
      </w:pPr>
      <w:bookmarkStart w:id="26" w:name="_Hlk91080883"/>
      <w:r>
        <w:rPr>
          <w:rFonts w:eastAsiaTheme="minorEastAsia"/>
          <w:b/>
          <w:bCs/>
        </w:rPr>
        <w:br w:type="page"/>
      </w:r>
    </w:p>
    <w:p w14:paraId="52334E0C" w14:textId="34E21489" w:rsidR="00DE04AF" w:rsidRPr="00DE04AF" w:rsidRDefault="00DE04AF" w:rsidP="00DE04AF">
      <w:pPr>
        <w:spacing w:line="360" w:lineRule="auto"/>
        <w:jc w:val="both"/>
        <w:rPr>
          <w:rFonts w:ascii="Calibri" w:eastAsia="Times New Roman" w:hAnsi="Calibri" w:cs="Calibri"/>
          <w:color w:val="000000"/>
          <w:lang w:eastAsia="en-GB"/>
        </w:rPr>
      </w:pPr>
      <w:r w:rsidRPr="00DE04AF">
        <w:rPr>
          <w:rFonts w:ascii="Calibri" w:eastAsia="Times New Roman" w:hAnsi="Calibri" w:cs="Calibri"/>
          <w:color w:val="000000"/>
          <w:lang w:eastAsia="en-GB"/>
        </w:rPr>
        <w:lastRenderedPageBreak/>
        <w:t> </w:t>
      </w:r>
    </w:p>
    <w:p w14:paraId="322850F8" w14:textId="77777777" w:rsidR="00DE04AF" w:rsidRDefault="00DE04AF" w:rsidP="0086599E">
      <w:pPr>
        <w:spacing w:line="360" w:lineRule="auto"/>
        <w:jc w:val="both"/>
        <w:rPr>
          <w:rFonts w:ascii="Calibri" w:hAnsi="Calibri" w:cs="Calibri"/>
        </w:rPr>
      </w:pPr>
    </w:p>
    <w:p w14:paraId="7AEA48B9" w14:textId="77777777" w:rsidR="00DE04AF" w:rsidRDefault="00DE04AF" w:rsidP="0086599E">
      <w:pPr>
        <w:spacing w:line="360" w:lineRule="auto"/>
        <w:jc w:val="both"/>
        <w:rPr>
          <w:rFonts w:ascii="Calibri" w:hAnsi="Calibri" w:cs="Calibri"/>
        </w:rPr>
      </w:pPr>
    </w:p>
    <w:bookmarkEnd w:id="26"/>
    <w:p w14:paraId="32E477DF" w14:textId="67635FA7" w:rsidR="00EA590A" w:rsidRDefault="00EA590A">
      <w:pPr>
        <w:rPr>
          <w:rFonts w:eastAsiaTheme="minorEastAsia"/>
        </w:rPr>
      </w:pPr>
    </w:p>
    <w:p w14:paraId="40D55C73" w14:textId="727246E0" w:rsidR="00EA590A" w:rsidRDefault="00EA590A">
      <w:pPr>
        <w:rPr>
          <w:rFonts w:eastAsiaTheme="minorEastAsia"/>
        </w:rPr>
      </w:pPr>
    </w:p>
    <w:p w14:paraId="7B11E50C" w14:textId="42A0DF1D" w:rsidR="00EA590A" w:rsidRDefault="00EA590A">
      <w:pPr>
        <w:rPr>
          <w:rFonts w:eastAsiaTheme="minorEastAsia"/>
        </w:rPr>
      </w:pPr>
      <w:r w:rsidRPr="00EA590A">
        <w:rPr>
          <w:rFonts w:eastAsiaTheme="minorEastAsia"/>
          <w:noProof/>
          <w:lang w:val="it-IT" w:eastAsia="it-IT"/>
        </w:rPr>
        <mc:AlternateContent>
          <mc:Choice Requires="wps">
            <w:drawing>
              <wp:anchor distT="0" distB="0" distL="114300" distR="114300" simplePos="0" relativeHeight="251659264" behindDoc="0" locked="0" layoutInCell="1" allowOverlap="1" wp14:anchorId="0DEBBA47" wp14:editId="408F9BF7">
                <wp:simplePos x="0" y="0"/>
                <wp:positionH relativeFrom="column">
                  <wp:posOffset>-914400</wp:posOffset>
                </wp:positionH>
                <wp:positionV relativeFrom="paragraph">
                  <wp:posOffset>2042160</wp:posOffset>
                </wp:positionV>
                <wp:extent cx="1371600" cy="297180"/>
                <wp:effectExtent l="3810" t="0" r="3810" b="381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BBD7AC9" w14:textId="77777777" w:rsidR="00AD6566" w:rsidRDefault="00AD6566" w:rsidP="00EA590A">
                            <w:pPr>
                              <w:jc w:val="center"/>
                              <w:rPr>
                                <w:lang w:val="en"/>
                              </w:rPr>
                            </w:pPr>
                            <w:r>
                              <w:rPr>
                                <w:lang w:val="en"/>
                              </w:rPr>
                              <w:t>Screening</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EBBA47" id="AutoShape 3" o:spid="_x0000_s1026" style="position:absolute;margin-left:-1in;margin-top:160.8pt;width:108pt;height:23.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" fillcolor="#ccecff">
                <v:path arrowok="t"/>
                <v:textbox style="layout-flow:vertical;mso-layout-flow-alt:bottom-to-top" inset="3.6pt,,3.6pt">
                  <w:txbxContent>
                    <w:p w14:paraId="3BBD7AC9" w14:textId="77777777" w:rsidR="00AD6566" w:rsidRDefault="00AD6566" w:rsidP="00EA590A">
                      <w:pPr>
                        <w:jc w:val="center"/>
                        <w:rPr>
                          <w:lang w:val="en"/>
                        </w:rPr>
                      </w:pPr>
                      <w:r>
                        <w:rPr>
                          <w:lang w:val="en"/>
                        </w:rPr>
                        <w:t>Screening</w:t>
                      </w:r>
                    </w:p>
                  </w:txbxContent>
                </v:textbox>
              </v:roundrect>
            </w:pict>
          </mc:Fallback>
        </mc:AlternateContent>
      </w:r>
      <w:r w:rsidRPr="00EA590A">
        <w:rPr>
          <w:rFonts w:eastAsiaTheme="minorEastAsia"/>
          <w:noProof/>
          <w:lang w:val="it-IT" w:eastAsia="it-IT"/>
        </w:rPr>
        <mc:AlternateContent>
          <mc:Choice Requires="wps">
            <w:drawing>
              <wp:anchor distT="0" distB="0" distL="114300" distR="114300" simplePos="0" relativeHeight="251660288" behindDoc="0" locked="0" layoutInCell="1" allowOverlap="1" wp14:anchorId="28D9AB99" wp14:editId="4B741D29">
                <wp:simplePos x="0" y="0"/>
                <wp:positionH relativeFrom="column">
                  <wp:posOffset>-914400</wp:posOffset>
                </wp:positionH>
                <wp:positionV relativeFrom="paragraph">
                  <wp:posOffset>5242560</wp:posOffset>
                </wp:positionV>
                <wp:extent cx="1371600" cy="297180"/>
                <wp:effectExtent l="3810" t="0" r="3810" b="381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6F1C5472" w14:textId="77777777" w:rsidR="00AD6566" w:rsidRDefault="00AD6566" w:rsidP="00EA590A">
                            <w:pPr>
                              <w:jc w:val="center"/>
                              <w:rPr>
                                <w:lang w:val="en"/>
                              </w:rPr>
                            </w:pPr>
                            <w:r>
                              <w:rPr>
                                <w:lang w:val="en"/>
                              </w:rPr>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D9AB99" id="AutoShape 4" o:spid="_x0000_s1027" style="position:absolute;margin-left:-1in;margin-top:412.8pt;width:108pt;height:23.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" fillcolor="#ccecff">
                <v:path arrowok="t"/>
                <v:textbox style="layout-flow:vertical;mso-layout-flow-alt:bottom-to-top" inset="3.6pt,,3.6pt">
                  <w:txbxContent>
                    <w:p w14:paraId="6F1C5472" w14:textId="77777777" w:rsidR="00AD6566" w:rsidRDefault="00AD6566" w:rsidP="00EA590A">
                      <w:pPr>
                        <w:jc w:val="center"/>
                        <w:rPr>
                          <w:lang w:val="en"/>
                        </w:rPr>
                      </w:pPr>
                      <w:r>
                        <w:rPr>
                          <w:lang w:val="en"/>
                        </w:rPr>
                        <w:t>Included</w:t>
                      </w:r>
                    </w:p>
                  </w:txbxContent>
                </v:textbox>
              </v:roundrect>
            </w:pict>
          </mc:Fallback>
        </mc:AlternateContent>
      </w:r>
      <w:r w:rsidRPr="00EA590A">
        <w:rPr>
          <w:rFonts w:eastAsiaTheme="minorEastAsia"/>
          <w:noProof/>
          <w:lang w:val="it-IT" w:eastAsia="it-IT"/>
        </w:rPr>
        <mc:AlternateContent>
          <mc:Choice Requires="wps">
            <w:drawing>
              <wp:anchor distT="0" distB="0" distL="114300" distR="114300" simplePos="0" relativeHeight="251661312" behindDoc="0" locked="0" layoutInCell="1" allowOverlap="1" wp14:anchorId="1FAA677B" wp14:editId="481AE947">
                <wp:simplePos x="0" y="0"/>
                <wp:positionH relativeFrom="column">
                  <wp:posOffset>-914400</wp:posOffset>
                </wp:positionH>
                <wp:positionV relativeFrom="paragraph">
                  <wp:posOffset>3642360</wp:posOffset>
                </wp:positionV>
                <wp:extent cx="1371600" cy="297180"/>
                <wp:effectExtent l="3810" t="0" r="381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CE09B0B" w14:textId="77777777" w:rsidR="00AD6566" w:rsidRDefault="00AD6566" w:rsidP="00EA590A">
                            <w:pPr>
                              <w:jc w:val="center"/>
                              <w:rPr>
                                <w:lang w:val="en"/>
                              </w:rPr>
                            </w:pPr>
                            <w:r>
                              <w:rPr>
                                <w:lang w:val="en"/>
                              </w:rPr>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AA677B" id="AutoShape 5" o:spid="_x0000_s1028" style="position:absolute;margin-left:-1in;margin-top:286.8pt;width:108pt;height:23.4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" fillcolor="#ccecff">
                <v:path arrowok="t"/>
                <v:textbox style="layout-flow:vertical;mso-layout-flow-alt:bottom-to-top" inset="3.6pt,,3.6pt">
                  <w:txbxContent>
                    <w:p w14:paraId="2CE09B0B" w14:textId="77777777" w:rsidR="00AD6566" w:rsidRDefault="00AD6566" w:rsidP="00EA590A">
                      <w:pPr>
                        <w:jc w:val="center"/>
                        <w:rPr>
                          <w:lang w:val="en"/>
                        </w:rPr>
                      </w:pPr>
                      <w:r>
                        <w:rPr>
                          <w:lang w:val="en"/>
                        </w:rPr>
                        <w:t>Eligibility</w:t>
                      </w:r>
                    </w:p>
                  </w:txbxContent>
                </v:textbox>
              </v:roundrect>
            </w:pict>
          </mc:Fallback>
        </mc:AlternateContent>
      </w:r>
      <w:r w:rsidRPr="00EA590A">
        <w:rPr>
          <w:rFonts w:eastAsiaTheme="minorEastAsia"/>
          <w:noProof/>
          <w:lang w:val="it-IT" w:eastAsia="it-IT"/>
        </w:rPr>
        <mc:AlternateContent>
          <mc:Choice Requires="wps">
            <w:drawing>
              <wp:anchor distT="36576" distB="36576" distL="36576" distR="36576" simplePos="0" relativeHeight="251662336" behindDoc="0" locked="0" layoutInCell="1" allowOverlap="1" wp14:anchorId="1A8E9530" wp14:editId="151E57CC">
                <wp:simplePos x="0" y="0"/>
                <wp:positionH relativeFrom="column">
                  <wp:posOffset>1680210</wp:posOffset>
                </wp:positionH>
                <wp:positionV relativeFrom="paragraph">
                  <wp:posOffset>855980</wp:posOffset>
                </wp:positionV>
                <wp:extent cx="0" cy="457200"/>
                <wp:effectExtent l="63500" t="0" r="50800" b="2540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47E1B94" id="_x0000_t32" coordsize="21600,21600" o:spt="32" o:oned="t" path="m,l21600,21600e" filled="f">
                <v:path arrowok="t" fillok="f" o:connecttype="none"/>
                <o:lock v:ext="edit" shapetype="t"/>
              </v:shapetype>
              <v:shape id="AutoShape 6" o:spid="_x0000_s1026" type="#_x0000_t32" style="position:absolute;margin-left:132.3pt;margin-top:67.4pt;width:0;height:36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36576" distB="36576" distL="36576" distR="36576" simplePos="0" relativeHeight="251663360" behindDoc="0" locked="0" layoutInCell="1" allowOverlap="1" wp14:anchorId="2EA2EEC4" wp14:editId="23C9F08F">
                <wp:simplePos x="0" y="0"/>
                <wp:positionH relativeFrom="column">
                  <wp:posOffset>3966210</wp:posOffset>
                </wp:positionH>
                <wp:positionV relativeFrom="paragraph">
                  <wp:posOffset>855980</wp:posOffset>
                </wp:positionV>
                <wp:extent cx="0" cy="457200"/>
                <wp:effectExtent l="63500" t="0" r="50800" b="25400"/>
                <wp:wrapNone/>
                <wp:docPr id="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871A77" id="AutoShape 7" o:spid="_x0000_s1026" type="#_x0000_t32" style="position:absolute;margin-left:312.3pt;margin-top:67.4pt;width:0;height:36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0" distB="0" distL="114300" distR="114300" simplePos="0" relativeHeight="251664384" behindDoc="0" locked="0" layoutInCell="1" allowOverlap="1" wp14:anchorId="36F410E0" wp14:editId="0B324D3E">
                <wp:simplePos x="0" y="0"/>
                <wp:positionH relativeFrom="column">
                  <wp:posOffset>-914400</wp:posOffset>
                </wp:positionH>
                <wp:positionV relativeFrom="paragraph">
                  <wp:posOffset>441960</wp:posOffset>
                </wp:positionV>
                <wp:extent cx="1371600" cy="297180"/>
                <wp:effectExtent l="3810" t="0" r="3810" b="381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FA8B1C3" w14:textId="77777777" w:rsidR="00AD6566" w:rsidRDefault="00AD6566" w:rsidP="00EA590A">
                            <w:pPr>
                              <w:jc w:val="center"/>
                              <w:rPr>
                                <w:lang w:val="en"/>
                              </w:rPr>
                            </w:pPr>
                            <w:r>
                              <w:rPr>
                                <w:lang w:val="en"/>
                              </w:rPr>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F410E0" id="AutoShape 8" o:spid="_x0000_s1029" style="position:absolute;margin-left:-1in;margin-top:34.8pt;width:108pt;height:23.4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" fillcolor="#ccecff">
                <v:path arrowok="t"/>
                <v:textbox style="layout-flow:vertical;mso-layout-flow-alt:bottom-to-top" inset="3.6pt,,3.6pt">
                  <w:txbxContent>
                    <w:p w14:paraId="3FA8B1C3" w14:textId="77777777" w:rsidR="00AD6566" w:rsidRDefault="00AD6566" w:rsidP="00EA590A">
                      <w:pPr>
                        <w:jc w:val="center"/>
                        <w:rPr>
                          <w:lang w:val="en"/>
                        </w:rPr>
                      </w:pPr>
                      <w:r>
                        <w:rPr>
                          <w:lang w:val="en"/>
                        </w:rPr>
                        <w:t>Identification</w:t>
                      </w:r>
                    </w:p>
                  </w:txbxContent>
                </v:textbox>
              </v:roundrect>
            </w:pict>
          </mc:Fallback>
        </mc:AlternateContent>
      </w:r>
      <w:r w:rsidRPr="00EA590A">
        <w:rPr>
          <w:rFonts w:eastAsiaTheme="minorEastAsia"/>
          <w:noProof/>
          <w:lang w:val="it-IT" w:eastAsia="it-IT"/>
        </w:rPr>
        <mc:AlternateContent>
          <mc:Choice Requires="wps">
            <w:drawing>
              <wp:anchor distT="0" distB="0" distL="114300" distR="114300" simplePos="0" relativeHeight="251665408" behindDoc="0" locked="0" layoutInCell="1" allowOverlap="1" wp14:anchorId="25193516" wp14:editId="4FE12416">
                <wp:simplePos x="0" y="0"/>
                <wp:positionH relativeFrom="column">
                  <wp:posOffset>2994660</wp:posOffset>
                </wp:positionH>
                <wp:positionV relativeFrom="paragraph">
                  <wp:posOffset>133350</wp:posOffset>
                </wp:positionV>
                <wp:extent cx="2228850" cy="685800"/>
                <wp:effectExtent l="0" t="0" r="6350" b="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5800"/>
                        </a:xfrm>
                        <a:prstGeom prst="rect">
                          <a:avLst/>
                        </a:prstGeom>
                        <a:solidFill>
                          <a:srgbClr val="FFFFFF"/>
                        </a:solidFill>
                        <a:ln w="9525">
                          <a:solidFill>
                            <a:srgbClr val="000000"/>
                          </a:solidFill>
                          <a:miter lim="800000"/>
                          <a:headEnd/>
                          <a:tailEnd/>
                        </a:ln>
                      </wps:spPr>
                      <wps:txbx>
                        <w:txbxContent>
                          <w:p w14:paraId="45B86B98" w14:textId="77777777" w:rsidR="00AD6566" w:rsidRDefault="00AD6566" w:rsidP="00EA590A">
                            <w:pPr>
                              <w:jc w:val="center"/>
                              <w:rPr>
                                <w:rFonts w:ascii="Calibri" w:hAnsi="Calibri"/>
                                <w:sz w:val="22"/>
                                <w:szCs w:val="22"/>
                                <w:lang w:val="en"/>
                              </w:rPr>
                            </w:pPr>
                            <w:r>
                              <w:rPr>
                                <w:rFonts w:ascii="Calibri" w:hAnsi="Calibri"/>
                                <w:sz w:val="22"/>
                                <w:szCs w:val="22"/>
                              </w:rPr>
                              <w:t>Additional records identified through other sources</w:t>
                            </w:r>
                            <w:r>
                              <w:rPr>
                                <w:rFonts w:ascii="Calibri" w:hAnsi="Calibri"/>
                                <w:sz w:val="22"/>
                                <w:szCs w:val="22"/>
                              </w:rPr>
                              <w:br/>
                              <w:t>(n = 73)</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93516" id="Rectangle 9" o:spid="_x0000_s1030" style="position:absolute;margin-left:235.8pt;margin-top:10.5pt;width:175.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">
                <v:path arrowok="t"/>
                <v:textbox inset=",7.2pt,,7.2pt">
                  <w:txbxContent>
                    <w:p w14:paraId="45B86B98" w14:textId="77777777" w:rsidR="00AD6566" w:rsidRDefault="00AD6566" w:rsidP="00EA590A">
                      <w:pPr>
                        <w:jc w:val="center"/>
                        <w:rPr>
                          <w:rFonts w:ascii="Calibri" w:hAnsi="Calibri"/>
                          <w:sz w:val="22"/>
                          <w:szCs w:val="22"/>
                          <w:lang w:val="en"/>
                        </w:rPr>
                      </w:pPr>
                      <w:r>
                        <w:rPr>
                          <w:rFonts w:ascii="Calibri" w:hAnsi="Calibri"/>
                          <w:sz w:val="22"/>
                          <w:szCs w:val="22"/>
                        </w:rPr>
                        <w:t>Additional records identified through other sources</w:t>
                      </w:r>
                      <w:r>
                        <w:rPr>
                          <w:rFonts w:ascii="Calibri" w:hAnsi="Calibri"/>
                          <w:sz w:val="22"/>
                          <w:szCs w:val="22"/>
                        </w:rPr>
                        <w:br/>
                        <w:t>(n = 73)</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66432" behindDoc="0" locked="0" layoutInCell="1" allowOverlap="1" wp14:anchorId="17ED8AAF" wp14:editId="0DECC8D4">
                <wp:simplePos x="0" y="0"/>
                <wp:positionH relativeFrom="column">
                  <wp:posOffset>1437005</wp:posOffset>
                </wp:positionH>
                <wp:positionV relativeFrom="paragraph">
                  <wp:posOffset>1276350</wp:posOffset>
                </wp:positionV>
                <wp:extent cx="2771775" cy="571500"/>
                <wp:effectExtent l="0" t="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1775" cy="571500"/>
                        </a:xfrm>
                        <a:prstGeom prst="rect">
                          <a:avLst/>
                        </a:prstGeom>
                        <a:solidFill>
                          <a:srgbClr val="FFFFFF"/>
                        </a:solidFill>
                        <a:ln w="9525">
                          <a:solidFill>
                            <a:srgbClr val="000000"/>
                          </a:solidFill>
                          <a:miter lim="800000"/>
                          <a:headEnd/>
                          <a:tailEnd/>
                        </a:ln>
                      </wps:spPr>
                      <wps:txbx>
                        <w:txbxContent>
                          <w:p w14:paraId="4F047352" w14:textId="77777777" w:rsidR="00AD6566" w:rsidRDefault="00AD6566" w:rsidP="00EA590A">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=7,936)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D8AAF" id="Rectangle 10" o:spid="_x0000_s1031" style="position:absolute;margin-left:113.15pt;margin-top:100.5pt;width:218.25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">
                <v:path arrowok="t"/>
                <v:textbox inset=",7.2pt,,7.2pt">
                  <w:txbxContent>
                    <w:p w14:paraId="4F047352" w14:textId="77777777" w:rsidR="00AD6566" w:rsidRDefault="00AD6566" w:rsidP="00EA590A">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=7,936)</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67456" behindDoc="0" locked="0" layoutInCell="1" allowOverlap="1" wp14:anchorId="5CD881FF" wp14:editId="11D405BC">
                <wp:simplePos x="0" y="0"/>
                <wp:positionH relativeFrom="column">
                  <wp:posOffset>1988185</wp:posOffset>
                </wp:positionH>
                <wp:positionV relativeFrom="paragraph">
                  <wp:posOffset>2305050</wp:posOffset>
                </wp:positionV>
                <wp:extent cx="1670050" cy="571500"/>
                <wp:effectExtent l="0" t="0" r="6350" b="0"/>
                <wp:wrapNone/>
                <wp:docPr id="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0" cy="571500"/>
                        </a:xfrm>
                        <a:prstGeom prst="rect">
                          <a:avLst/>
                        </a:prstGeom>
                        <a:solidFill>
                          <a:srgbClr val="FFFFFF"/>
                        </a:solidFill>
                        <a:ln w="9525">
                          <a:solidFill>
                            <a:srgbClr val="000000"/>
                          </a:solidFill>
                          <a:miter lim="800000"/>
                          <a:headEnd/>
                          <a:tailEnd/>
                        </a:ln>
                      </wps:spPr>
                      <wps:txbx>
                        <w:txbxContent>
                          <w:p w14:paraId="78C8E71A" w14:textId="77777777" w:rsidR="00AD6566" w:rsidRDefault="00AD6566" w:rsidP="00EA590A">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7,936)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881FF" id="Rectangle 11" o:spid="_x0000_s1032" style="position:absolute;margin-left:156.55pt;margin-top:181.5pt;width:131.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">
                <v:path arrowok="t"/>
                <v:textbox inset=",7.2pt,,7.2pt">
                  <w:txbxContent>
                    <w:p w14:paraId="78C8E71A" w14:textId="77777777" w:rsidR="00AD6566" w:rsidRDefault="00AD6566" w:rsidP="00EA590A">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7,936)</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68480" behindDoc="0" locked="0" layoutInCell="1" allowOverlap="1" wp14:anchorId="11DAFE3B" wp14:editId="2D57869D">
                <wp:simplePos x="0" y="0"/>
                <wp:positionH relativeFrom="column">
                  <wp:posOffset>4309110</wp:posOffset>
                </wp:positionH>
                <wp:positionV relativeFrom="paragraph">
                  <wp:posOffset>2305050</wp:posOffset>
                </wp:positionV>
                <wp:extent cx="1714500" cy="571500"/>
                <wp:effectExtent l="0" t="0" r="0" b="0"/>
                <wp:wrapNone/>
                <wp:docPr id="1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4E56DA3D" w14:textId="77777777" w:rsidR="00AD6566" w:rsidRDefault="00AD6566" w:rsidP="00EA590A">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=6,805)</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AFE3B" id="Rectangle 12" o:spid="_x0000_s1033" style="position:absolute;margin-left:339.3pt;margin-top:181.5pt;width:13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">
                <v:path arrowok="t"/>
                <v:textbox inset=",7.2pt,,7.2pt">
                  <w:txbxContent>
                    <w:p w14:paraId="4E56DA3D" w14:textId="77777777" w:rsidR="00AD6566" w:rsidRDefault="00AD6566" w:rsidP="00EA590A">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=6,805)</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69504" behindDoc="0" locked="0" layoutInCell="1" allowOverlap="1" wp14:anchorId="59E7C174" wp14:editId="3B830B5B">
                <wp:simplePos x="0" y="0"/>
                <wp:positionH relativeFrom="column">
                  <wp:posOffset>1965960</wp:posOffset>
                </wp:positionH>
                <wp:positionV relativeFrom="paragraph">
                  <wp:posOffset>3219450</wp:posOffset>
                </wp:positionV>
                <wp:extent cx="1714500" cy="685800"/>
                <wp:effectExtent l="0" t="0" r="0" b="0"/>
                <wp:wrapNone/>
                <wp:docPr id="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74FF317F" w14:textId="77777777" w:rsidR="00AD6566" w:rsidRDefault="00AD6566" w:rsidP="00EA590A">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 xml:space="preserve">(n = </w:t>
                            </w:r>
                            <w:proofErr w:type="gramStart"/>
                            <w:r>
                              <w:rPr>
                                <w:rFonts w:ascii="Calibri" w:hAnsi="Calibri"/>
                                <w:sz w:val="22"/>
                                <w:szCs w:val="22"/>
                              </w:rPr>
                              <w:t>1,131  )</w:t>
                            </w:r>
                            <w:proofErr w:type="gram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7C174" id="Rectangle 13" o:spid="_x0000_s1034" style="position:absolute;margin-left:154.8pt;margin-top:253.5pt;width:13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">
                <v:path arrowok="t"/>
                <v:textbox inset=",7.2pt,,7.2pt">
                  <w:txbxContent>
                    <w:p w14:paraId="74FF317F" w14:textId="77777777" w:rsidR="00AD6566" w:rsidRDefault="00AD6566" w:rsidP="00EA590A">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1,131  )</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70528" behindDoc="0" locked="0" layoutInCell="1" allowOverlap="1" wp14:anchorId="212FA92F" wp14:editId="08298294">
                <wp:simplePos x="0" y="0"/>
                <wp:positionH relativeFrom="column">
                  <wp:posOffset>4309110</wp:posOffset>
                </wp:positionH>
                <wp:positionV relativeFrom="paragraph">
                  <wp:posOffset>3219450</wp:posOffset>
                </wp:positionV>
                <wp:extent cx="1714500" cy="685800"/>
                <wp:effectExtent l="0" t="0" r="0" b="0"/>
                <wp:wrapNone/>
                <wp:docPr id="1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7D1ABF15" w14:textId="77777777" w:rsidR="00AD6566" w:rsidRDefault="00AD6566" w:rsidP="00EA590A">
                            <w:pPr>
                              <w:jc w:val="center"/>
                              <w:rPr>
                                <w:rFonts w:ascii="Calibri" w:hAnsi="Calibri"/>
                                <w:sz w:val="22"/>
                                <w:szCs w:val="22"/>
                                <w:lang w:val="en"/>
                              </w:rPr>
                            </w:pPr>
                            <w:r>
                              <w:rPr>
                                <w:rFonts w:ascii="Calibri" w:hAnsi="Calibri"/>
                                <w:sz w:val="22"/>
                                <w:szCs w:val="22"/>
                              </w:rPr>
                              <w:t>Full-text articles excluded (n = 1,067)</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FA92F" id="Rectangle 14" o:spid="_x0000_s1035" style="position:absolute;margin-left:339.3pt;margin-top:253.5pt;width:1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">
                <v:path arrowok="t"/>
                <v:textbox inset=",7.2pt,,7.2pt">
                  <w:txbxContent>
                    <w:p w14:paraId="7D1ABF15" w14:textId="77777777" w:rsidR="00AD6566" w:rsidRDefault="00AD6566" w:rsidP="00EA590A">
                      <w:pPr>
                        <w:jc w:val="center"/>
                        <w:rPr>
                          <w:rFonts w:ascii="Calibri" w:hAnsi="Calibri"/>
                          <w:sz w:val="22"/>
                          <w:szCs w:val="22"/>
                          <w:lang w:val="en"/>
                        </w:rPr>
                      </w:pPr>
                      <w:r>
                        <w:rPr>
                          <w:rFonts w:ascii="Calibri" w:hAnsi="Calibri"/>
                          <w:sz w:val="22"/>
                          <w:szCs w:val="22"/>
                        </w:rPr>
                        <w:t>Full-text articles excluded (n = 1,067)</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71552" behindDoc="0" locked="0" layoutInCell="1" allowOverlap="1" wp14:anchorId="39FF6CDA" wp14:editId="7F1FF5E6">
                <wp:simplePos x="0" y="0"/>
                <wp:positionH relativeFrom="column">
                  <wp:posOffset>1965960</wp:posOffset>
                </wp:positionH>
                <wp:positionV relativeFrom="paragraph">
                  <wp:posOffset>4248150</wp:posOffset>
                </wp:positionV>
                <wp:extent cx="1714500" cy="685800"/>
                <wp:effectExtent l="0" t="0" r="0" b="0"/>
                <wp:wrapNone/>
                <wp:docPr id="1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062182D7" w14:textId="77777777" w:rsidR="00AD6566" w:rsidRDefault="00AD6566" w:rsidP="00EA590A">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66)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F6CDA" id="Rectangle 15" o:spid="_x0000_s1036" style="position:absolute;margin-left:154.8pt;margin-top:334.5pt;width:13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">
                <v:path arrowok="t"/>
                <v:textbox inset=",7.2pt,,7.2pt">
                  <w:txbxContent>
                    <w:p w14:paraId="062182D7" w14:textId="77777777" w:rsidR="00AD6566" w:rsidRDefault="00AD6566" w:rsidP="00EA590A">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66)</w:t>
                      </w:r>
                    </w:p>
                  </w:txbxContent>
                </v:textbox>
              </v:rect>
            </w:pict>
          </mc:Fallback>
        </mc:AlternateContent>
      </w:r>
      <w:r w:rsidRPr="00EA590A">
        <w:rPr>
          <w:rFonts w:eastAsiaTheme="minorEastAsia"/>
          <w:noProof/>
          <w:lang w:val="it-IT" w:eastAsia="it-IT"/>
        </w:rPr>
        <mc:AlternateContent>
          <mc:Choice Requires="wps">
            <w:drawing>
              <wp:anchor distT="0" distB="0" distL="114300" distR="114300" simplePos="0" relativeHeight="251672576" behindDoc="0" locked="0" layoutInCell="1" allowOverlap="1" wp14:anchorId="6E40F50F" wp14:editId="16E58B5C">
                <wp:simplePos x="0" y="0"/>
                <wp:positionH relativeFrom="column">
                  <wp:posOffset>1965960</wp:posOffset>
                </wp:positionH>
                <wp:positionV relativeFrom="paragraph">
                  <wp:posOffset>5276850</wp:posOffset>
                </wp:positionV>
                <wp:extent cx="1714500" cy="914400"/>
                <wp:effectExtent l="0" t="0" r="0" b="0"/>
                <wp:wrapNone/>
                <wp:docPr id="2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14400"/>
                        </a:xfrm>
                        <a:prstGeom prst="rect">
                          <a:avLst/>
                        </a:prstGeom>
                        <a:solidFill>
                          <a:srgbClr val="FFFFFF"/>
                        </a:solidFill>
                        <a:ln w="9525">
                          <a:solidFill>
                            <a:srgbClr val="000000"/>
                          </a:solidFill>
                          <a:miter lim="800000"/>
                          <a:headEnd/>
                          <a:tailEnd/>
                        </a:ln>
                      </wps:spPr>
                      <wps:txbx>
                        <w:txbxContent>
                          <w:p w14:paraId="4EA52F79" w14:textId="77777777" w:rsidR="00AD6566" w:rsidRDefault="00AD6566" w:rsidP="00EA590A">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66)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0F50F" id="Rectangle 16" o:spid="_x0000_s1037" style="position:absolute;margin-left:154.8pt;margin-top:415.5pt;width:135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">
                <v:path arrowok="t"/>
                <v:textbox inset=",7.2pt,,7.2pt">
                  <w:txbxContent>
                    <w:p w14:paraId="4EA52F79" w14:textId="77777777" w:rsidR="00AD6566" w:rsidRDefault="00AD6566" w:rsidP="00EA590A">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66)</w:t>
                      </w:r>
                    </w:p>
                  </w:txbxContent>
                </v:textbox>
              </v:rect>
            </w:pict>
          </mc:Fallback>
        </mc:AlternateContent>
      </w:r>
      <w:r w:rsidRPr="00EA590A">
        <w:rPr>
          <w:rFonts w:eastAsiaTheme="minorEastAsia"/>
          <w:noProof/>
          <w:lang w:val="it-IT" w:eastAsia="it-IT"/>
        </w:rPr>
        <mc:AlternateContent>
          <mc:Choice Requires="wps">
            <w:drawing>
              <wp:anchor distT="36576" distB="36576" distL="36576" distR="36576" simplePos="0" relativeHeight="251673600" behindDoc="0" locked="0" layoutInCell="1" allowOverlap="1" wp14:anchorId="7FEBC673" wp14:editId="64652266">
                <wp:simplePos x="0" y="0"/>
                <wp:positionH relativeFrom="column">
                  <wp:posOffset>2823210</wp:posOffset>
                </wp:positionH>
                <wp:positionV relativeFrom="paragraph">
                  <wp:posOffset>1884680</wp:posOffset>
                </wp:positionV>
                <wp:extent cx="0" cy="457200"/>
                <wp:effectExtent l="63500" t="0" r="50800" b="25400"/>
                <wp:wrapNone/>
                <wp:docPr id="1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C2EE8D" id="AutoShape 17" o:spid="_x0000_s1026" type="#_x0000_t32" style="position:absolute;margin-left:222.3pt;margin-top:148.4pt;width:0;height:36pt;z-index:25167360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36576" distB="36576" distL="36576" distR="36576" simplePos="0" relativeHeight="251674624" behindDoc="0" locked="0" layoutInCell="1" allowOverlap="1" wp14:anchorId="2F9AD8B8" wp14:editId="064A1DC7">
                <wp:simplePos x="0" y="0"/>
                <wp:positionH relativeFrom="column">
                  <wp:posOffset>2823210</wp:posOffset>
                </wp:positionH>
                <wp:positionV relativeFrom="paragraph">
                  <wp:posOffset>2913380</wp:posOffset>
                </wp:positionV>
                <wp:extent cx="0" cy="342900"/>
                <wp:effectExtent l="63500" t="0" r="25400" b="25400"/>
                <wp:wrapNone/>
                <wp:docPr id="1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9F47E7" id="AutoShape 18" o:spid="_x0000_s1026" type="#_x0000_t32" style="position:absolute;margin-left:222.3pt;margin-top:229.4pt;width:0;height:27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36576" distB="36576" distL="36576" distR="36576" simplePos="0" relativeHeight="251675648" behindDoc="0" locked="0" layoutInCell="1" allowOverlap="1" wp14:anchorId="511B1411" wp14:editId="2D1E8110">
                <wp:simplePos x="0" y="0"/>
                <wp:positionH relativeFrom="column">
                  <wp:posOffset>2823210</wp:posOffset>
                </wp:positionH>
                <wp:positionV relativeFrom="paragraph">
                  <wp:posOffset>3942080</wp:posOffset>
                </wp:positionV>
                <wp:extent cx="0" cy="342900"/>
                <wp:effectExtent l="63500" t="0" r="25400" b="25400"/>
                <wp:wrapNone/>
                <wp:docPr id="1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E527FC" id="AutoShape 19" o:spid="_x0000_s1026" type="#_x0000_t32" style="position:absolute;margin-left:222.3pt;margin-top:310.4pt;width:0;height:27pt;z-index:2516756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36576" distB="36576" distL="36576" distR="36576" simplePos="0" relativeHeight="251676672" behindDoc="0" locked="0" layoutInCell="1" allowOverlap="1" wp14:anchorId="5270FA5F" wp14:editId="04AAF24F">
                <wp:simplePos x="0" y="0"/>
                <wp:positionH relativeFrom="column">
                  <wp:posOffset>2823210</wp:posOffset>
                </wp:positionH>
                <wp:positionV relativeFrom="paragraph">
                  <wp:posOffset>4970780</wp:posOffset>
                </wp:positionV>
                <wp:extent cx="0" cy="342900"/>
                <wp:effectExtent l="63500" t="0" r="25400" b="25400"/>
                <wp:wrapNone/>
                <wp:docPr id="2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D44ED1" id="AutoShape 20" o:spid="_x0000_s1026" type="#_x0000_t32" style="position:absolute;margin-left:222.3pt;margin-top:391.4pt;width:0;height:27pt;z-index:251676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">
                <v:stroke endarrow="block"/>
                <v:shadow color="#ccc"/>
                <o:lock v:ext="edit" shapetype="f"/>
              </v:shape>
            </w:pict>
          </mc:Fallback>
        </mc:AlternateContent>
      </w:r>
      <w:r w:rsidRPr="00EA590A">
        <w:rPr>
          <w:rFonts w:eastAsiaTheme="minorEastAsia"/>
          <w:noProof/>
          <w:lang w:val="it-IT" w:eastAsia="it-IT"/>
        </w:rPr>
        <mc:AlternateContent>
          <mc:Choice Requires="wps">
            <w:drawing>
              <wp:anchor distT="0" distB="0" distL="114300" distR="114300" simplePos="0" relativeHeight="251677696" behindDoc="0" locked="0" layoutInCell="1" allowOverlap="1" wp14:anchorId="24DA1B15" wp14:editId="77B8B955">
                <wp:simplePos x="0" y="0"/>
                <wp:positionH relativeFrom="column">
                  <wp:posOffset>470535</wp:posOffset>
                </wp:positionH>
                <wp:positionV relativeFrom="paragraph">
                  <wp:posOffset>156210</wp:posOffset>
                </wp:positionV>
                <wp:extent cx="2229484" cy="685800"/>
                <wp:effectExtent l="0" t="0" r="31750" b="2540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9484" cy="685800"/>
                        </a:xfrm>
                        <a:prstGeom prst="rect">
                          <a:avLst/>
                        </a:prstGeom>
                        <a:solidFill>
                          <a:schemeClr val="bg1"/>
                        </a:solidFill>
                        <a:ln w="9525">
                          <a:solidFill>
                            <a:srgbClr val="000000"/>
                          </a:solidFill>
                          <a:miter lim="800000"/>
                          <a:headEnd/>
                          <a:tailEnd/>
                        </a:ln>
                      </wps:spPr>
                      <wps:txbx>
                        <w:txbxContent>
                          <w:p w14:paraId="321B05BB" w14:textId="77777777" w:rsidR="00AD6566" w:rsidRPr="00367444" w:rsidRDefault="00AD6566" w:rsidP="00EA590A">
                            <w:pPr>
                              <w:jc w:val="center"/>
                              <w:rPr>
                                <w:rFonts w:ascii="Calibri" w:hAnsi="Calibri"/>
                                <w:sz w:val="22"/>
                                <w:szCs w:val="22"/>
                              </w:rPr>
                            </w:pPr>
                            <w:r>
                              <w:rPr>
                                <w:rFonts w:ascii="Calibri" w:hAnsi="Calibri"/>
                                <w:sz w:val="22"/>
                                <w:szCs w:val="22"/>
                              </w:rPr>
                              <w:t>Records identified through database searching</w:t>
                            </w:r>
                            <w:r>
                              <w:rPr>
                                <w:rFonts w:ascii="Calibri" w:hAnsi="Calibri"/>
                                <w:sz w:val="22"/>
                                <w:szCs w:val="22"/>
                              </w:rPr>
                              <w:br/>
                              <w:t>(</w:t>
                            </w:r>
                            <w:proofErr w:type="gramStart"/>
                            <w:r>
                              <w:rPr>
                                <w:rFonts w:ascii="Calibri" w:hAnsi="Calibri"/>
                                <w:sz w:val="22"/>
                                <w:szCs w:val="22"/>
                              </w:rPr>
                              <w:t>n  =</w:t>
                            </w:r>
                            <w:proofErr w:type="gramEnd"/>
                            <w:r>
                              <w:rPr>
                                <w:rFonts w:ascii="Calibri" w:hAnsi="Calibri"/>
                                <w:sz w:val="22"/>
                                <w:szCs w:val="22"/>
                              </w:rPr>
                              <w:t xml:space="preserve"> 11, 006  )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A1B15" id="Rectangle 2" o:spid="_x0000_s1038" style="position:absolute;margin-left:37.05pt;margin-top:12.3pt;width:175.55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" fillcolor="white [3212]">
                <v:path arrowok="t"/>
                <v:textbox inset=",7.2pt,,7.2pt">
                  <w:txbxContent>
                    <w:p w14:paraId="321B05BB" w14:textId="77777777" w:rsidR="00AD6566" w:rsidRPr="00367444" w:rsidRDefault="00AD6566" w:rsidP="00EA590A">
                      <w:pPr>
                        <w:jc w:val="center"/>
                        <w:rPr>
                          <w:rFonts w:ascii="Calibri" w:hAnsi="Calibri"/>
                          <w:sz w:val="22"/>
                          <w:szCs w:val="22"/>
                        </w:rPr>
                      </w:pPr>
                      <w:r>
                        <w:rPr>
                          <w:rFonts w:ascii="Calibri" w:hAnsi="Calibri"/>
                          <w:sz w:val="22"/>
                          <w:szCs w:val="22"/>
                        </w:rPr>
                        <w:t>Records identified through database searching</w:t>
                      </w:r>
                      <w:r>
                        <w:rPr>
                          <w:rFonts w:ascii="Calibri" w:hAnsi="Calibri"/>
                          <w:sz w:val="22"/>
                          <w:szCs w:val="22"/>
                        </w:rPr>
                        <w:br/>
                        <w:t>(n  = 11, 006  )</w:t>
                      </w:r>
                    </w:p>
                  </w:txbxContent>
                </v:textbox>
              </v:rect>
            </w:pict>
          </mc:Fallback>
        </mc:AlternateContent>
      </w:r>
    </w:p>
    <w:p w14:paraId="5216A402" w14:textId="77777777" w:rsidR="00EA590A" w:rsidRDefault="00EA590A">
      <w:pPr>
        <w:rPr>
          <w:rFonts w:eastAsiaTheme="minorEastAsia"/>
        </w:rPr>
      </w:pPr>
    </w:p>
    <w:p w14:paraId="6CB53853" w14:textId="77777777" w:rsidR="00EA590A" w:rsidRDefault="00EA590A">
      <w:pPr>
        <w:rPr>
          <w:rFonts w:eastAsiaTheme="minorEastAsia"/>
        </w:rPr>
      </w:pPr>
    </w:p>
    <w:p w14:paraId="232F441F" w14:textId="77777777" w:rsidR="00EA590A" w:rsidRDefault="00EA590A">
      <w:pPr>
        <w:rPr>
          <w:rFonts w:eastAsiaTheme="minorEastAsia"/>
        </w:rPr>
      </w:pPr>
    </w:p>
    <w:p w14:paraId="4999497F" w14:textId="77777777" w:rsidR="00EA590A" w:rsidRDefault="00EA590A">
      <w:pPr>
        <w:rPr>
          <w:rFonts w:eastAsiaTheme="minorEastAsia"/>
        </w:rPr>
      </w:pPr>
    </w:p>
    <w:p w14:paraId="1EF5F944" w14:textId="605F260D" w:rsidR="00EA590A" w:rsidRDefault="00EA590A">
      <w:pPr>
        <w:rPr>
          <w:rFonts w:eastAsiaTheme="minorEastAsia"/>
        </w:rPr>
      </w:pPr>
    </w:p>
    <w:p w14:paraId="3D4399F6" w14:textId="3CAEB34F" w:rsidR="00EA590A" w:rsidRDefault="00EA590A">
      <w:pPr>
        <w:rPr>
          <w:rFonts w:eastAsiaTheme="minorEastAsia"/>
        </w:rPr>
      </w:pPr>
    </w:p>
    <w:p w14:paraId="1521B512" w14:textId="492C1F12" w:rsidR="00EA590A" w:rsidRDefault="00EA590A">
      <w:pPr>
        <w:rPr>
          <w:rFonts w:eastAsiaTheme="minorEastAsia"/>
        </w:rPr>
      </w:pPr>
    </w:p>
    <w:p w14:paraId="3CB0E3D6" w14:textId="69214A9A" w:rsidR="00EA590A" w:rsidRDefault="00EA590A">
      <w:pPr>
        <w:rPr>
          <w:rFonts w:eastAsiaTheme="minorEastAsia"/>
        </w:rPr>
      </w:pPr>
    </w:p>
    <w:p w14:paraId="3D37E92F" w14:textId="24F997DA" w:rsidR="00EA590A" w:rsidRDefault="00EA590A">
      <w:pPr>
        <w:rPr>
          <w:rFonts w:eastAsiaTheme="minorEastAsia"/>
        </w:rPr>
      </w:pPr>
    </w:p>
    <w:p w14:paraId="16434FA1" w14:textId="2F528744" w:rsidR="00EA590A" w:rsidRDefault="00EA590A">
      <w:pPr>
        <w:rPr>
          <w:rFonts w:eastAsiaTheme="minorEastAsia"/>
        </w:rPr>
      </w:pPr>
    </w:p>
    <w:p w14:paraId="0C1C02E3" w14:textId="29A7875F" w:rsidR="00EA590A" w:rsidRDefault="00EA590A">
      <w:pPr>
        <w:rPr>
          <w:rFonts w:eastAsiaTheme="minorEastAsia"/>
        </w:rPr>
      </w:pPr>
    </w:p>
    <w:p w14:paraId="1B01173D" w14:textId="13E53CD4" w:rsidR="00EA590A" w:rsidRDefault="00EA590A">
      <w:pPr>
        <w:rPr>
          <w:rFonts w:eastAsiaTheme="minorEastAsia"/>
        </w:rPr>
      </w:pPr>
    </w:p>
    <w:p w14:paraId="5C5B574C" w14:textId="3730E6FC" w:rsidR="00EA590A" w:rsidRDefault="00EA590A">
      <w:pPr>
        <w:rPr>
          <w:rFonts w:eastAsiaTheme="minorEastAsia"/>
        </w:rPr>
      </w:pPr>
    </w:p>
    <w:p w14:paraId="6A1A2C5C" w14:textId="0924A4F6" w:rsidR="00EA590A" w:rsidRDefault="00EA590A">
      <w:pPr>
        <w:rPr>
          <w:rFonts w:eastAsiaTheme="minorEastAsia"/>
        </w:rPr>
      </w:pPr>
    </w:p>
    <w:p w14:paraId="5DD9152E" w14:textId="6C0E7F2B" w:rsidR="00EA590A" w:rsidRDefault="00EA590A">
      <w:pPr>
        <w:rPr>
          <w:rFonts w:eastAsiaTheme="minorEastAsia"/>
        </w:rPr>
      </w:pPr>
    </w:p>
    <w:p w14:paraId="03317F53" w14:textId="1CEE3971" w:rsidR="00EA590A" w:rsidRDefault="00EA590A">
      <w:pPr>
        <w:rPr>
          <w:rFonts w:eastAsiaTheme="minorEastAsia"/>
        </w:rPr>
      </w:pPr>
    </w:p>
    <w:p w14:paraId="7A1E76EC" w14:textId="7DC52887" w:rsidR="00EA590A" w:rsidRDefault="00EA590A">
      <w:pPr>
        <w:rPr>
          <w:rFonts w:eastAsiaTheme="minorEastAsia"/>
        </w:rPr>
      </w:pPr>
    </w:p>
    <w:p w14:paraId="0FB0B95C" w14:textId="09C3AAB5" w:rsidR="00EA590A" w:rsidRDefault="00EA590A">
      <w:pPr>
        <w:rPr>
          <w:rFonts w:eastAsiaTheme="minorEastAsia"/>
        </w:rPr>
      </w:pPr>
    </w:p>
    <w:p w14:paraId="3278A2A5" w14:textId="590452F4" w:rsidR="00EA590A" w:rsidRDefault="00EA590A">
      <w:pPr>
        <w:rPr>
          <w:rFonts w:eastAsiaTheme="minorEastAsia"/>
        </w:rPr>
      </w:pPr>
    </w:p>
    <w:p w14:paraId="15EF51A1" w14:textId="191B520D" w:rsidR="00EA590A" w:rsidRDefault="00EA590A">
      <w:pPr>
        <w:rPr>
          <w:rFonts w:eastAsiaTheme="minorEastAsia"/>
        </w:rPr>
      </w:pPr>
    </w:p>
    <w:p w14:paraId="482777EA" w14:textId="2D3038E1" w:rsidR="00EA590A" w:rsidRDefault="00EA590A">
      <w:pPr>
        <w:rPr>
          <w:rFonts w:eastAsiaTheme="minorEastAsia"/>
        </w:rPr>
      </w:pPr>
    </w:p>
    <w:p w14:paraId="2E02E6A8" w14:textId="4057897B" w:rsidR="00EA590A" w:rsidRDefault="00EA590A">
      <w:pPr>
        <w:rPr>
          <w:rFonts w:eastAsiaTheme="minorEastAsia"/>
        </w:rPr>
      </w:pPr>
    </w:p>
    <w:p w14:paraId="79421457" w14:textId="77133394" w:rsidR="00EA590A" w:rsidRDefault="00EA590A">
      <w:pPr>
        <w:rPr>
          <w:rFonts w:eastAsiaTheme="minorEastAsia"/>
        </w:rPr>
      </w:pPr>
    </w:p>
    <w:p w14:paraId="36AEBD36" w14:textId="689D919D" w:rsidR="00EA590A" w:rsidRDefault="00EA590A">
      <w:pPr>
        <w:rPr>
          <w:rFonts w:eastAsiaTheme="minorEastAsia"/>
        </w:rPr>
      </w:pPr>
    </w:p>
    <w:p w14:paraId="7FE81B6F" w14:textId="067164A5" w:rsidR="00EA590A" w:rsidRDefault="00EA590A">
      <w:pPr>
        <w:rPr>
          <w:rFonts w:eastAsiaTheme="minorEastAsia"/>
        </w:rPr>
      </w:pPr>
    </w:p>
    <w:p w14:paraId="472EB009" w14:textId="6524158B" w:rsidR="00EA590A" w:rsidRDefault="00EA590A">
      <w:pPr>
        <w:rPr>
          <w:rFonts w:eastAsiaTheme="minorEastAsia"/>
        </w:rPr>
      </w:pPr>
    </w:p>
    <w:p w14:paraId="345B7241" w14:textId="333AEBA6" w:rsidR="00EA590A" w:rsidRDefault="00EA590A">
      <w:pPr>
        <w:rPr>
          <w:rFonts w:eastAsiaTheme="minorEastAsia"/>
        </w:rPr>
      </w:pPr>
    </w:p>
    <w:p w14:paraId="766F1671" w14:textId="1EBCF6C5" w:rsidR="00EA590A" w:rsidRDefault="00EA590A">
      <w:pPr>
        <w:rPr>
          <w:rFonts w:eastAsiaTheme="minorEastAsia"/>
        </w:rPr>
      </w:pPr>
    </w:p>
    <w:p w14:paraId="5253B803" w14:textId="70C719C3" w:rsidR="00EA590A" w:rsidRDefault="00EA590A">
      <w:pPr>
        <w:rPr>
          <w:rFonts w:eastAsiaTheme="minorEastAsia"/>
        </w:rPr>
      </w:pPr>
    </w:p>
    <w:p w14:paraId="21344368" w14:textId="6D0AA01B" w:rsidR="00EA590A" w:rsidRDefault="00EA590A">
      <w:pPr>
        <w:rPr>
          <w:rFonts w:eastAsiaTheme="minorEastAsia"/>
        </w:rPr>
      </w:pPr>
    </w:p>
    <w:p w14:paraId="4BAD15E8" w14:textId="4A2E46EA" w:rsidR="00EA590A" w:rsidRDefault="00EA590A">
      <w:pPr>
        <w:rPr>
          <w:rFonts w:eastAsiaTheme="minorEastAsia"/>
        </w:rPr>
      </w:pPr>
    </w:p>
    <w:p w14:paraId="6C634C7B" w14:textId="387A03D8" w:rsidR="00EA590A" w:rsidRDefault="00EA590A">
      <w:pPr>
        <w:rPr>
          <w:rFonts w:eastAsiaTheme="minorEastAsia"/>
        </w:rPr>
      </w:pPr>
    </w:p>
    <w:p w14:paraId="3BF2445E" w14:textId="5835AE40" w:rsidR="00EA590A" w:rsidRDefault="00EA590A">
      <w:pPr>
        <w:rPr>
          <w:rFonts w:eastAsiaTheme="minorEastAsia"/>
        </w:rPr>
      </w:pPr>
    </w:p>
    <w:p w14:paraId="1E6AC0DE" w14:textId="0075C28B" w:rsidR="00EA590A" w:rsidRDefault="00EA590A">
      <w:pPr>
        <w:rPr>
          <w:rFonts w:eastAsiaTheme="minorEastAsia"/>
        </w:rPr>
      </w:pPr>
    </w:p>
    <w:p w14:paraId="40B50352" w14:textId="776AA5CA" w:rsidR="00EA590A" w:rsidRDefault="00EA590A">
      <w:pPr>
        <w:rPr>
          <w:rFonts w:eastAsiaTheme="minorEastAsia"/>
        </w:rPr>
      </w:pPr>
      <w:r>
        <w:rPr>
          <w:rFonts w:eastAsiaTheme="minorEastAsia"/>
        </w:rPr>
        <w:t>PRISMA Flow Diagram</w:t>
      </w:r>
    </w:p>
    <w:p w14:paraId="0B485C50" w14:textId="77777777" w:rsidR="00EA590A" w:rsidRDefault="00EA590A">
      <w:pPr>
        <w:rPr>
          <w:rFonts w:eastAsiaTheme="minorEastAsia"/>
        </w:rPr>
      </w:pPr>
    </w:p>
    <w:p w14:paraId="67307772" w14:textId="2522A0D6" w:rsidR="00EA590A" w:rsidRDefault="00EA590A">
      <w:pPr>
        <w:rPr>
          <w:rFonts w:eastAsiaTheme="minorEastAsia"/>
        </w:rPr>
      </w:pPr>
      <w:r>
        <w:rPr>
          <w:rFonts w:eastAsiaTheme="minorEastAsia"/>
        </w:rPr>
        <w:br w:type="page"/>
      </w:r>
    </w:p>
    <w:p w14:paraId="359FAC28" w14:textId="4BE956F5" w:rsidR="00F34CE7" w:rsidRDefault="00F34CE7" w:rsidP="00F34CE7">
      <w:pPr>
        <w:rPr>
          <w:rFonts w:ascii="Calibri" w:hAnsi="Calibri" w:cs="Calibri"/>
        </w:rPr>
      </w:pPr>
    </w:p>
    <w:p w14:paraId="499C410A" w14:textId="76D04814" w:rsidR="00F34CE7" w:rsidRDefault="00F34CE7" w:rsidP="00F34CE7">
      <w:pPr>
        <w:rPr>
          <w:rFonts w:ascii="Calibri" w:hAnsi="Calibri" w:cs="Calibri"/>
        </w:rPr>
      </w:pPr>
      <w:r>
        <w:rPr>
          <w:rFonts w:ascii="Calibri" w:hAnsi="Calibri" w:cs="Calibri"/>
          <w:noProof/>
          <w:lang w:val="it-IT" w:eastAsia="it-IT"/>
        </w:rPr>
        <w:drawing>
          <wp:anchor distT="0" distB="0" distL="114300" distR="114300" simplePos="0" relativeHeight="251679744" behindDoc="1" locked="0" layoutInCell="1" allowOverlap="1" wp14:anchorId="05FB9B7F" wp14:editId="05ABF549">
            <wp:simplePos x="0" y="0"/>
            <wp:positionH relativeFrom="column">
              <wp:posOffset>-275950</wp:posOffset>
            </wp:positionH>
            <wp:positionV relativeFrom="paragraph">
              <wp:posOffset>-302046</wp:posOffset>
            </wp:positionV>
            <wp:extent cx="6061753" cy="6831499"/>
            <wp:effectExtent l="0" t="0" r="0" b="1270"/>
            <wp:wrapNone/>
            <wp:docPr id="22" name="Picture 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61753" cy="6831499"/>
                    </a:xfrm>
                    <a:prstGeom prst="rect">
                      <a:avLst/>
                    </a:prstGeom>
                  </pic:spPr>
                </pic:pic>
              </a:graphicData>
            </a:graphic>
            <wp14:sizeRelH relativeFrom="page">
              <wp14:pctWidth>0</wp14:pctWidth>
            </wp14:sizeRelH>
            <wp14:sizeRelV relativeFrom="page">
              <wp14:pctHeight>0</wp14:pctHeight>
            </wp14:sizeRelV>
          </wp:anchor>
        </w:drawing>
      </w:r>
    </w:p>
    <w:p w14:paraId="0A77F38E" w14:textId="090366D2" w:rsidR="00F34CE7" w:rsidRDefault="00F34CE7" w:rsidP="00F34CE7">
      <w:pPr>
        <w:rPr>
          <w:rFonts w:ascii="Calibri" w:hAnsi="Calibri" w:cs="Calibri"/>
        </w:rPr>
      </w:pPr>
    </w:p>
    <w:p w14:paraId="36C736AC" w14:textId="77915FEF" w:rsidR="00F34CE7" w:rsidRDefault="00F34CE7" w:rsidP="00F34CE7">
      <w:pPr>
        <w:rPr>
          <w:rFonts w:ascii="Calibri" w:hAnsi="Calibri" w:cs="Calibri"/>
        </w:rPr>
      </w:pPr>
    </w:p>
    <w:p w14:paraId="13894525" w14:textId="7A40C6E4" w:rsidR="00F34CE7" w:rsidRDefault="00F34CE7" w:rsidP="00F34CE7">
      <w:pPr>
        <w:rPr>
          <w:rFonts w:ascii="Calibri" w:hAnsi="Calibri" w:cs="Calibri"/>
        </w:rPr>
      </w:pPr>
    </w:p>
    <w:p w14:paraId="142E5C0F" w14:textId="114F6873" w:rsidR="00F34CE7" w:rsidRDefault="00F34CE7" w:rsidP="00F34CE7">
      <w:pPr>
        <w:rPr>
          <w:rFonts w:ascii="Calibri" w:hAnsi="Calibri" w:cs="Calibri"/>
        </w:rPr>
      </w:pPr>
    </w:p>
    <w:p w14:paraId="518E6717" w14:textId="1C0E0414" w:rsidR="00F34CE7" w:rsidRDefault="00F34CE7" w:rsidP="00F34CE7">
      <w:pPr>
        <w:rPr>
          <w:rFonts w:ascii="Calibri" w:hAnsi="Calibri" w:cs="Calibri"/>
        </w:rPr>
      </w:pPr>
    </w:p>
    <w:p w14:paraId="5F15CDAC" w14:textId="04140B1E" w:rsidR="00F34CE7" w:rsidRDefault="00F34CE7" w:rsidP="00F34CE7">
      <w:pPr>
        <w:rPr>
          <w:rFonts w:ascii="Calibri" w:hAnsi="Calibri" w:cs="Calibri"/>
        </w:rPr>
      </w:pPr>
    </w:p>
    <w:p w14:paraId="62802409" w14:textId="598BEF94" w:rsidR="00F34CE7" w:rsidRDefault="00F34CE7" w:rsidP="00F34CE7">
      <w:pPr>
        <w:rPr>
          <w:rFonts w:ascii="Calibri" w:hAnsi="Calibri" w:cs="Calibri"/>
        </w:rPr>
      </w:pPr>
    </w:p>
    <w:p w14:paraId="68F36454" w14:textId="5E3872BC" w:rsidR="00F34CE7" w:rsidRDefault="00F34CE7" w:rsidP="00F34CE7">
      <w:pPr>
        <w:rPr>
          <w:rFonts w:ascii="Calibri" w:hAnsi="Calibri" w:cs="Calibri"/>
        </w:rPr>
      </w:pPr>
    </w:p>
    <w:p w14:paraId="5C5CDC68" w14:textId="2A9CE42C" w:rsidR="00F34CE7" w:rsidRDefault="00F34CE7" w:rsidP="00F34CE7">
      <w:pPr>
        <w:rPr>
          <w:rFonts w:ascii="Calibri" w:hAnsi="Calibri" w:cs="Calibri"/>
        </w:rPr>
      </w:pPr>
    </w:p>
    <w:p w14:paraId="71805F37" w14:textId="25011D71" w:rsidR="00F34CE7" w:rsidRDefault="00F34CE7" w:rsidP="00F34CE7">
      <w:pPr>
        <w:rPr>
          <w:rFonts w:ascii="Calibri" w:hAnsi="Calibri" w:cs="Calibri"/>
        </w:rPr>
      </w:pPr>
    </w:p>
    <w:p w14:paraId="64D1AE39" w14:textId="5C13C7D6" w:rsidR="00F34CE7" w:rsidRDefault="00F34CE7" w:rsidP="00F34CE7">
      <w:pPr>
        <w:rPr>
          <w:rFonts w:ascii="Calibri" w:hAnsi="Calibri" w:cs="Calibri"/>
        </w:rPr>
      </w:pPr>
    </w:p>
    <w:p w14:paraId="5B15BA9D" w14:textId="4D95AAAB" w:rsidR="00F34CE7" w:rsidRDefault="00F34CE7" w:rsidP="00F34CE7">
      <w:pPr>
        <w:rPr>
          <w:rFonts w:ascii="Calibri" w:hAnsi="Calibri" w:cs="Calibri"/>
        </w:rPr>
      </w:pPr>
    </w:p>
    <w:p w14:paraId="6BA5072D" w14:textId="76D8A275" w:rsidR="00F34CE7" w:rsidRDefault="00F34CE7" w:rsidP="00F34CE7">
      <w:pPr>
        <w:rPr>
          <w:rFonts w:ascii="Calibri" w:hAnsi="Calibri" w:cs="Calibri"/>
        </w:rPr>
      </w:pPr>
    </w:p>
    <w:p w14:paraId="35114A00" w14:textId="77777777" w:rsidR="00F34CE7" w:rsidRDefault="00F34CE7" w:rsidP="00F34CE7">
      <w:pPr>
        <w:rPr>
          <w:rFonts w:ascii="Calibri" w:hAnsi="Calibri" w:cs="Calibri"/>
        </w:rPr>
      </w:pPr>
    </w:p>
    <w:p w14:paraId="7350B731" w14:textId="617F5FD0" w:rsidR="00F34CE7" w:rsidRDefault="00F34CE7" w:rsidP="00F34CE7">
      <w:pPr>
        <w:rPr>
          <w:rFonts w:ascii="Calibri" w:hAnsi="Calibri" w:cs="Calibri"/>
        </w:rPr>
      </w:pPr>
    </w:p>
    <w:p w14:paraId="7A90C0CB" w14:textId="3F305B4C" w:rsidR="00F34CE7" w:rsidRDefault="00F34CE7" w:rsidP="00F34CE7">
      <w:pPr>
        <w:rPr>
          <w:rFonts w:ascii="Calibri" w:hAnsi="Calibri" w:cs="Calibri"/>
        </w:rPr>
      </w:pPr>
    </w:p>
    <w:p w14:paraId="1E411E77" w14:textId="447D380D" w:rsidR="00F34CE7" w:rsidRDefault="00F34CE7" w:rsidP="00F34CE7">
      <w:pPr>
        <w:rPr>
          <w:rFonts w:ascii="Calibri" w:hAnsi="Calibri" w:cs="Calibri"/>
        </w:rPr>
      </w:pPr>
    </w:p>
    <w:p w14:paraId="433A724E" w14:textId="77777777" w:rsidR="00F34CE7" w:rsidRDefault="00F34CE7" w:rsidP="00F34CE7">
      <w:pPr>
        <w:rPr>
          <w:rFonts w:ascii="Calibri" w:hAnsi="Calibri" w:cs="Calibri"/>
        </w:rPr>
      </w:pPr>
    </w:p>
    <w:p w14:paraId="343FE138" w14:textId="57AC087F" w:rsidR="00F34CE7" w:rsidRDefault="00F34CE7" w:rsidP="00F34CE7">
      <w:pPr>
        <w:rPr>
          <w:rFonts w:ascii="Calibri" w:hAnsi="Calibri" w:cs="Calibri"/>
        </w:rPr>
      </w:pPr>
    </w:p>
    <w:p w14:paraId="11AFF4BE" w14:textId="77777777" w:rsidR="00F34CE7" w:rsidRDefault="00F34CE7" w:rsidP="00F34CE7">
      <w:pPr>
        <w:rPr>
          <w:rFonts w:ascii="Calibri" w:hAnsi="Calibri" w:cs="Calibri"/>
        </w:rPr>
      </w:pPr>
    </w:p>
    <w:p w14:paraId="264CD6DF" w14:textId="77777777" w:rsidR="00F34CE7" w:rsidRDefault="00F34CE7" w:rsidP="00F34CE7">
      <w:pPr>
        <w:rPr>
          <w:rFonts w:ascii="Calibri" w:hAnsi="Calibri" w:cs="Calibri"/>
        </w:rPr>
      </w:pPr>
    </w:p>
    <w:p w14:paraId="6CDBE52D" w14:textId="77777777" w:rsidR="00F34CE7" w:rsidRDefault="00F34CE7" w:rsidP="00F34CE7">
      <w:pPr>
        <w:rPr>
          <w:rFonts w:ascii="Calibri" w:hAnsi="Calibri" w:cs="Calibri"/>
        </w:rPr>
      </w:pPr>
    </w:p>
    <w:p w14:paraId="4AF3EA14" w14:textId="4CEDC17D" w:rsidR="00F34CE7" w:rsidRDefault="00F34CE7" w:rsidP="00F34CE7">
      <w:pPr>
        <w:rPr>
          <w:rFonts w:ascii="Calibri" w:hAnsi="Calibri" w:cs="Calibri"/>
        </w:rPr>
      </w:pPr>
    </w:p>
    <w:p w14:paraId="0A67EF7D" w14:textId="77777777" w:rsidR="00F34CE7" w:rsidRDefault="00F34CE7" w:rsidP="00F34CE7">
      <w:pPr>
        <w:rPr>
          <w:rFonts w:ascii="Calibri" w:hAnsi="Calibri" w:cs="Calibri"/>
        </w:rPr>
      </w:pPr>
    </w:p>
    <w:p w14:paraId="505B494E" w14:textId="50F519D9" w:rsidR="00F34CE7" w:rsidRDefault="00F34CE7" w:rsidP="00F34CE7">
      <w:pPr>
        <w:rPr>
          <w:rFonts w:ascii="Calibri" w:hAnsi="Calibri" w:cs="Calibri"/>
        </w:rPr>
      </w:pPr>
    </w:p>
    <w:p w14:paraId="59180655" w14:textId="44867F59" w:rsidR="00F34CE7" w:rsidRDefault="00F34CE7" w:rsidP="00F34CE7">
      <w:pPr>
        <w:rPr>
          <w:rFonts w:ascii="Calibri" w:hAnsi="Calibri" w:cs="Calibri"/>
        </w:rPr>
      </w:pPr>
    </w:p>
    <w:p w14:paraId="09B7D249" w14:textId="2C31AD63" w:rsidR="00F34CE7" w:rsidRDefault="00F34CE7" w:rsidP="00F34CE7">
      <w:pPr>
        <w:rPr>
          <w:rFonts w:ascii="Calibri" w:hAnsi="Calibri" w:cs="Calibri"/>
        </w:rPr>
      </w:pPr>
    </w:p>
    <w:p w14:paraId="6C0AE11B" w14:textId="2AD1AC9A" w:rsidR="00F34CE7" w:rsidRDefault="00F34CE7" w:rsidP="00F34CE7">
      <w:pPr>
        <w:rPr>
          <w:rFonts w:ascii="Calibri" w:hAnsi="Calibri" w:cs="Calibri"/>
        </w:rPr>
      </w:pPr>
    </w:p>
    <w:p w14:paraId="786AB78D" w14:textId="15C77421" w:rsidR="00F34CE7" w:rsidRDefault="00F34CE7" w:rsidP="00F34CE7">
      <w:pPr>
        <w:rPr>
          <w:rFonts w:ascii="Calibri" w:hAnsi="Calibri" w:cs="Calibri"/>
        </w:rPr>
      </w:pPr>
    </w:p>
    <w:p w14:paraId="3110880C" w14:textId="6759812C" w:rsidR="00F34CE7" w:rsidRDefault="00F34CE7" w:rsidP="00F34CE7">
      <w:pPr>
        <w:rPr>
          <w:rFonts w:ascii="Calibri" w:hAnsi="Calibri" w:cs="Calibri"/>
        </w:rPr>
      </w:pPr>
    </w:p>
    <w:p w14:paraId="623FF685" w14:textId="77777777" w:rsidR="00F34CE7" w:rsidRDefault="00F34CE7" w:rsidP="00F34CE7">
      <w:pPr>
        <w:rPr>
          <w:rFonts w:ascii="Calibri" w:hAnsi="Calibri" w:cs="Calibri"/>
        </w:rPr>
      </w:pPr>
    </w:p>
    <w:p w14:paraId="4AE13511" w14:textId="77777777" w:rsidR="00F34CE7" w:rsidRDefault="00F34CE7" w:rsidP="00F34CE7">
      <w:pPr>
        <w:rPr>
          <w:rFonts w:ascii="Calibri" w:hAnsi="Calibri" w:cs="Calibri"/>
        </w:rPr>
      </w:pPr>
    </w:p>
    <w:p w14:paraId="3CBDA478" w14:textId="59E4BD05" w:rsidR="00F34CE7" w:rsidRDefault="00F34CE7" w:rsidP="00F34CE7">
      <w:pPr>
        <w:rPr>
          <w:rFonts w:ascii="Calibri" w:hAnsi="Calibri" w:cs="Calibri"/>
        </w:rPr>
      </w:pPr>
    </w:p>
    <w:p w14:paraId="15EC1EC1" w14:textId="77777777" w:rsidR="00F34CE7" w:rsidRDefault="00F34CE7" w:rsidP="00F34CE7">
      <w:pPr>
        <w:rPr>
          <w:rFonts w:ascii="Calibri" w:hAnsi="Calibri" w:cs="Calibri"/>
          <w:b/>
          <w:bCs/>
        </w:rPr>
      </w:pPr>
    </w:p>
    <w:p w14:paraId="14EF3ACB" w14:textId="77777777" w:rsidR="00F34CE7" w:rsidRDefault="00F34CE7" w:rsidP="00F34CE7">
      <w:pPr>
        <w:rPr>
          <w:rFonts w:ascii="Calibri" w:hAnsi="Calibri" w:cs="Calibri"/>
          <w:b/>
          <w:bCs/>
        </w:rPr>
      </w:pPr>
    </w:p>
    <w:p w14:paraId="525B5A85" w14:textId="38AF36FE" w:rsidR="00F34CE7" w:rsidRDefault="00F34CE7" w:rsidP="00F34CE7">
      <w:pPr>
        <w:rPr>
          <w:rFonts w:ascii="Calibri" w:hAnsi="Calibri" w:cs="Calibri"/>
        </w:rPr>
      </w:pPr>
      <w:r>
        <w:rPr>
          <w:rFonts w:ascii="Calibri" w:hAnsi="Calibri" w:cs="Calibri"/>
          <w:b/>
          <w:bCs/>
        </w:rPr>
        <w:t>e</w:t>
      </w:r>
      <w:r w:rsidRPr="007B4077">
        <w:rPr>
          <w:rFonts w:ascii="Calibri" w:hAnsi="Calibri" w:cs="Calibri"/>
          <w:b/>
          <w:bCs/>
        </w:rPr>
        <w:t xml:space="preserve">Figure 1. </w:t>
      </w:r>
      <w:r w:rsidRPr="00646A2E">
        <w:rPr>
          <w:rFonts w:ascii="Calibri" w:hAnsi="Calibri" w:cs="Calibri"/>
        </w:rPr>
        <w:t>Inferring the variability of treatment effects</w:t>
      </w:r>
    </w:p>
    <w:p w14:paraId="15AC92BC" w14:textId="5F4C1C92" w:rsidR="00F34CE7" w:rsidRPr="00646A2E" w:rsidRDefault="00F34CE7" w:rsidP="00F34CE7">
      <w:pPr>
        <w:rPr>
          <w:rFonts w:ascii="Calibri" w:hAnsi="Calibri" w:cs="Calibri"/>
        </w:rPr>
      </w:pPr>
    </w:p>
    <w:p w14:paraId="1885F7C9" w14:textId="1A790E6A" w:rsidR="00F34CE7" w:rsidRDefault="00F34CE7" w:rsidP="00F34CE7">
      <w:pPr>
        <w:pStyle w:val="ListParagraph"/>
        <w:numPr>
          <w:ilvl w:val="0"/>
          <w:numId w:val="1"/>
        </w:numPr>
        <w:ind w:left="284" w:hanging="284"/>
        <w:jc w:val="both"/>
        <w:rPr>
          <w:rFonts w:ascii="Calibri" w:hAnsi="Calibri" w:cs="Calibri"/>
          <w:sz w:val="20"/>
          <w:szCs w:val="20"/>
        </w:rPr>
      </w:pPr>
      <w:r w:rsidRPr="007B4077">
        <w:rPr>
          <w:rFonts w:ascii="Calibri" w:hAnsi="Calibri" w:cs="Calibri"/>
          <w:sz w:val="20"/>
          <w:szCs w:val="20"/>
        </w:rPr>
        <w:t xml:space="preserve">(i) </w:t>
      </w:r>
      <w:r>
        <w:rPr>
          <w:rFonts w:ascii="Calibri" w:hAnsi="Calibri" w:cs="Calibri"/>
          <w:sz w:val="20"/>
          <w:szCs w:val="20"/>
        </w:rPr>
        <w:t>For a simple trial of parallel design, t</w:t>
      </w:r>
      <w:r w:rsidRPr="007B4077">
        <w:rPr>
          <w:rFonts w:ascii="Calibri" w:hAnsi="Calibri" w:cs="Calibri"/>
          <w:sz w:val="20"/>
          <w:szCs w:val="20"/>
        </w:rPr>
        <w:t xml:space="preserve">he </w:t>
      </w:r>
      <w:r>
        <w:rPr>
          <w:rFonts w:ascii="Calibri" w:hAnsi="Calibri" w:cs="Calibri"/>
          <w:sz w:val="20"/>
          <w:szCs w:val="20"/>
        </w:rPr>
        <w:t>average</w:t>
      </w:r>
      <w:r w:rsidRPr="007B4077">
        <w:rPr>
          <w:rFonts w:ascii="Calibri" w:hAnsi="Calibri" w:cs="Calibri"/>
          <w:sz w:val="20"/>
          <w:szCs w:val="20"/>
        </w:rPr>
        <w:t xml:space="preserve"> treatment effect can be estimated </w:t>
      </w:r>
      <w:r>
        <w:rPr>
          <w:rFonts w:ascii="Calibri" w:hAnsi="Calibri" w:cs="Calibri"/>
          <w:sz w:val="20"/>
          <w:szCs w:val="20"/>
        </w:rPr>
        <w:t>as</w:t>
      </w:r>
      <w:r w:rsidRPr="007B4077">
        <w:rPr>
          <w:rFonts w:ascii="Calibri" w:hAnsi="Calibri" w:cs="Calibri"/>
          <w:sz w:val="20"/>
          <w:szCs w:val="20"/>
        </w:rPr>
        <w:t xml:space="preserve"> the difference between mean </w:t>
      </w:r>
      <w:r>
        <w:rPr>
          <w:rFonts w:ascii="Calibri" w:hAnsi="Calibri" w:cs="Calibri"/>
          <w:sz w:val="20"/>
          <w:szCs w:val="20"/>
        </w:rPr>
        <w:t>outcome in</w:t>
      </w:r>
      <w:r w:rsidRPr="007B4077">
        <w:rPr>
          <w:rFonts w:ascii="Calibri" w:hAnsi="Calibri" w:cs="Calibri"/>
          <w:sz w:val="20"/>
          <w:szCs w:val="20"/>
        </w:rPr>
        <w:t xml:space="preserve"> placebo and mean </w:t>
      </w:r>
      <w:r>
        <w:rPr>
          <w:rFonts w:ascii="Calibri" w:hAnsi="Calibri" w:cs="Calibri"/>
          <w:sz w:val="20"/>
          <w:szCs w:val="20"/>
        </w:rPr>
        <w:t>outcome in</w:t>
      </w:r>
      <w:r w:rsidRPr="007B4077">
        <w:rPr>
          <w:rFonts w:ascii="Calibri" w:hAnsi="Calibri" w:cs="Calibri"/>
          <w:sz w:val="20"/>
          <w:szCs w:val="20"/>
        </w:rPr>
        <w:t xml:space="preserve"> active treatment. </w:t>
      </w:r>
      <w:r>
        <w:rPr>
          <w:rFonts w:ascii="Calibri" w:hAnsi="Calibri" w:cs="Calibri"/>
          <w:sz w:val="20"/>
          <w:szCs w:val="20"/>
        </w:rPr>
        <w:t>I</w:t>
      </w:r>
      <w:r w:rsidRPr="007B4077">
        <w:rPr>
          <w:rFonts w:ascii="Calibri" w:hAnsi="Calibri" w:cs="Calibri"/>
          <w:sz w:val="20"/>
          <w:szCs w:val="20"/>
        </w:rPr>
        <w:t>t is not possible</w:t>
      </w:r>
      <w:r>
        <w:rPr>
          <w:rFonts w:ascii="Calibri" w:hAnsi="Calibri" w:cs="Calibri"/>
          <w:sz w:val="20"/>
          <w:szCs w:val="20"/>
        </w:rPr>
        <w:t xml:space="preserve">, however, </w:t>
      </w:r>
      <w:r w:rsidRPr="007B4077">
        <w:rPr>
          <w:rFonts w:ascii="Calibri" w:hAnsi="Calibri" w:cs="Calibri"/>
          <w:sz w:val="20"/>
          <w:szCs w:val="20"/>
        </w:rPr>
        <w:t xml:space="preserve">to directly determine the variability of individual treatment effects. </w:t>
      </w:r>
      <w:r>
        <w:rPr>
          <w:rFonts w:ascii="Calibri" w:hAnsi="Calibri" w:cs="Calibri"/>
          <w:sz w:val="20"/>
          <w:szCs w:val="20"/>
        </w:rPr>
        <w:t xml:space="preserve">(ii) </w:t>
      </w:r>
      <w:r w:rsidRPr="007B4077">
        <w:rPr>
          <w:rFonts w:ascii="Calibri" w:hAnsi="Calibri" w:cs="Calibri"/>
          <w:sz w:val="20"/>
          <w:szCs w:val="20"/>
        </w:rPr>
        <w:t xml:space="preserve"> Figure illustrates symptom change for a single participant in</w:t>
      </w:r>
      <w:r>
        <w:rPr>
          <w:rFonts w:ascii="Calibri" w:hAnsi="Calibri" w:cs="Calibri"/>
          <w:sz w:val="20"/>
          <w:szCs w:val="20"/>
        </w:rPr>
        <w:t>itially</w:t>
      </w:r>
      <w:r w:rsidRPr="007B4077">
        <w:rPr>
          <w:rFonts w:ascii="Calibri" w:hAnsi="Calibri" w:cs="Calibri"/>
          <w:sz w:val="20"/>
          <w:szCs w:val="20"/>
        </w:rPr>
        <w:t xml:space="preserve"> receiving placebo followed by an open</w:t>
      </w:r>
      <w:r>
        <w:rPr>
          <w:rFonts w:ascii="Calibri" w:hAnsi="Calibri" w:cs="Calibri"/>
          <w:sz w:val="20"/>
          <w:szCs w:val="20"/>
        </w:rPr>
        <w:t>-</w:t>
      </w:r>
      <w:r w:rsidRPr="007B4077">
        <w:rPr>
          <w:rFonts w:ascii="Calibri" w:hAnsi="Calibri" w:cs="Calibri"/>
          <w:sz w:val="20"/>
          <w:szCs w:val="20"/>
        </w:rPr>
        <w:t>label period of active treatment</w:t>
      </w:r>
      <w:r>
        <w:rPr>
          <w:rFonts w:ascii="Calibri" w:hAnsi="Calibri" w:cs="Calibri"/>
          <w:sz w:val="20"/>
          <w:szCs w:val="20"/>
        </w:rPr>
        <w:t>.</w:t>
      </w:r>
      <w:r w:rsidRPr="00985BC5">
        <w:rPr>
          <w:rFonts w:ascii="Calibri" w:hAnsi="Calibri" w:cs="Calibri"/>
          <w:sz w:val="20"/>
          <w:szCs w:val="20"/>
        </w:rPr>
        <w:t xml:space="preserve"> </w:t>
      </w:r>
      <w:r>
        <w:rPr>
          <w:rFonts w:ascii="Calibri" w:hAnsi="Calibri" w:cs="Calibri"/>
          <w:sz w:val="20"/>
          <w:szCs w:val="20"/>
        </w:rPr>
        <w:t>Our ‘open label method’ estimation of treatment effects relies on the assumption that if this patient had taken drug in the double-blind period instead of placebo, the symptoms would change as indicated by the dashed line.</w:t>
      </w:r>
      <w:r w:rsidRPr="007B4077">
        <w:rPr>
          <w:rFonts w:ascii="Calibri" w:hAnsi="Calibri" w:cs="Calibri"/>
          <w:sz w:val="20"/>
          <w:szCs w:val="20"/>
        </w:rPr>
        <w:t xml:space="preserve"> </w:t>
      </w:r>
    </w:p>
    <w:p w14:paraId="667FAA6A" w14:textId="77777777" w:rsidR="00F34CE7" w:rsidRPr="007B4077" w:rsidRDefault="00F34CE7" w:rsidP="00F34CE7">
      <w:pPr>
        <w:pStyle w:val="ListParagraph"/>
        <w:ind w:left="284"/>
        <w:jc w:val="both"/>
        <w:rPr>
          <w:rFonts w:ascii="Calibri" w:hAnsi="Calibri" w:cs="Calibri"/>
          <w:sz w:val="20"/>
          <w:szCs w:val="20"/>
        </w:rPr>
      </w:pPr>
    </w:p>
    <w:p w14:paraId="4AB9A0E3" w14:textId="7A9566BF" w:rsidR="00F34CE7" w:rsidRPr="00454C51" w:rsidRDefault="00F34CE7" w:rsidP="00F34CE7">
      <w:pPr>
        <w:pStyle w:val="ListParagraph"/>
        <w:numPr>
          <w:ilvl w:val="0"/>
          <w:numId w:val="1"/>
        </w:numPr>
        <w:ind w:left="284" w:hanging="284"/>
        <w:jc w:val="both"/>
        <w:rPr>
          <w:rFonts w:ascii="Calibri" w:hAnsi="Calibri" w:cs="Calibri"/>
          <w:sz w:val="20"/>
          <w:szCs w:val="20"/>
        </w:rPr>
      </w:pPr>
      <w:r w:rsidRPr="00454C51">
        <w:rPr>
          <w:rFonts w:ascii="Calibri" w:hAnsi="Calibri" w:cs="Calibri"/>
          <w:sz w:val="20"/>
          <w:szCs w:val="20"/>
        </w:rPr>
        <w:t xml:space="preserve">The hypothetical case where for </w:t>
      </w:r>
      <w:r>
        <w:rPr>
          <w:rFonts w:ascii="Calibri" w:hAnsi="Calibri" w:cs="Calibri"/>
          <w:sz w:val="20"/>
          <w:szCs w:val="20"/>
        </w:rPr>
        <w:t>nine</w:t>
      </w:r>
      <w:r w:rsidRPr="00454C51">
        <w:rPr>
          <w:rFonts w:ascii="Calibri" w:hAnsi="Calibri" w:cs="Calibri"/>
          <w:sz w:val="20"/>
          <w:szCs w:val="20"/>
        </w:rPr>
        <w:t xml:space="preserve"> </w:t>
      </w:r>
      <w:r w:rsidRPr="004B3C7B">
        <w:rPr>
          <w:rFonts w:ascii="Calibri" w:hAnsi="Calibri" w:cs="Calibri"/>
          <w:sz w:val="20"/>
          <w:szCs w:val="20"/>
        </w:rPr>
        <w:t>patient</w:t>
      </w:r>
      <w:r>
        <w:rPr>
          <w:rFonts w:ascii="Calibri" w:hAnsi="Calibri" w:cs="Calibri"/>
          <w:sz w:val="20"/>
          <w:szCs w:val="20"/>
        </w:rPr>
        <w:t>s (A-I)</w:t>
      </w:r>
      <w:r w:rsidRPr="00454C51">
        <w:rPr>
          <w:rFonts w:ascii="Calibri" w:hAnsi="Calibri" w:cs="Calibri"/>
          <w:sz w:val="20"/>
          <w:szCs w:val="20"/>
        </w:rPr>
        <w:t xml:space="preserve"> we </w:t>
      </w:r>
      <w:r w:rsidRPr="004B3C7B">
        <w:rPr>
          <w:rFonts w:ascii="Calibri" w:hAnsi="Calibri" w:cs="Calibri"/>
          <w:sz w:val="20"/>
          <w:szCs w:val="20"/>
        </w:rPr>
        <w:t>obs</w:t>
      </w:r>
      <w:r w:rsidRPr="00720BB7">
        <w:rPr>
          <w:rFonts w:ascii="Calibri" w:hAnsi="Calibri" w:cs="Calibri"/>
          <w:sz w:val="20"/>
          <w:szCs w:val="20"/>
        </w:rPr>
        <w:t>erve</w:t>
      </w:r>
      <w:r w:rsidRPr="0029725B">
        <w:rPr>
          <w:rFonts w:ascii="Calibri" w:hAnsi="Calibri" w:cs="Calibri"/>
          <w:sz w:val="20"/>
          <w:szCs w:val="20"/>
        </w:rPr>
        <w:t xml:space="preserve"> the o</w:t>
      </w:r>
      <w:r w:rsidRPr="00795720">
        <w:rPr>
          <w:rFonts w:ascii="Calibri" w:hAnsi="Calibri" w:cs="Calibri"/>
          <w:sz w:val="20"/>
          <w:szCs w:val="20"/>
        </w:rPr>
        <w:t>utcomes in both treatment and placebo.</w:t>
      </w:r>
      <w:r w:rsidRPr="005D58B6">
        <w:rPr>
          <w:rFonts w:ascii="Calibri" w:hAnsi="Calibri" w:cs="Calibri"/>
          <w:sz w:val="20"/>
          <w:szCs w:val="20"/>
        </w:rPr>
        <w:t xml:space="preserve"> </w:t>
      </w:r>
      <w:r w:rsidRPr="00313BA1">
        <w:rPr>
          <w:rFonts w:ascii="Calibri" w:hAnsi="Calibri" w:cs="Calibri"/>
          <w:sz w:val="20"/>
          <w:szCs w:val="20"/>
        </w:rPr>
        <w:t>Placebo response is illustrated by how far along the x-axis the grey marker is, while treatment effect is illustrated by the width of the line joining grey marker and black marker</w:t>
      </w:r>
      <w:r>
        <w:rPr>
          <w:rFonts w:ascii="Calibri" w:hAnsi="Calibri" w:cs="Calibri"/>
          <w:sz w:val="20"/>
          <w:szCs w:val="20"/>
        </w:rPr>
        <w:t xml:space="preserve"> (if the black marker is to the right of </w:t>
      </w:r>
      <w:r>
        <w:rPr>
          <w:rFonts w:ascii="Calibri" w:hAnsi="Calibri" w:cs="Calibri"/>
          <w:sz w:val="20"/>
          <w:szCs w:val="20"/>
        </w:rPr>
        <w:lastRenderedPageBreak/>
        <w:t>the grey marker this indicates a net benefit of active treatment, if it is to the left a net detriment)</w:t>
      </w:r>
      <w:r w:rsidRPr="00313BA1">
        <w:rPr>
          <w:rFonts w:ascii="Calibri" w:hAnsi="Calibri" w:cs="Calibri"/>
          <w:sz w:val="20"/>
          <w:szCs w:val="20"/>
        </w:rPr>
        <w:t>. In this case there is no correlation between the magnitude of placebo response and the magnitude of treatment effect, and the variability of placebo</w:t>
      </w:r>
      <w:r>
        <w:rPr>
          <w:rFonts w:ascii="Calibri" w:hAnsi="Calibri" w:cs="Calibri"/>
          <w:sz w:val="20"/>
          <w:szCs w:val="20"/>
        </w:rPr>
        <w:t xml:space="preserve"> (grey markers)</w:t>
      </w:r>
      <w:r w:rsidRPr="00313BA1">
        <w:rPr>
          <w:rFonts w:ascii="Calibri" w:hAnsi="Calibri" w:cs="Calibri"/>
          <w:sz w:val="20"/>
          <w:szCs w:val="20"/>
        </w:rPr>
        <w:t xml:space="preserve"> and active</w:t>
      </w:r>
      <w:r>
        <w:rPr>
          <w:rFonts w:ascii="Calibri" w:hAnsi="Calibri" w:cs="Calibri"/>
          <w:sz w:val="20"/>
          <w:szCs w:val="20"/>
        </w:rPr>
        <w:t xml:space="preserve"> (black markers) </w:t>
      </w:r>
      <w:r w:rsidRPr="00313BA1">
        <w:rPr>
          <w:rFonts w:ascii="Calibri" w:hAnsi="Calibri" w:cs="Calibri"/>
          <w:sz w:val="20"/>
          <w:szCs w:val="20"/>
        </w:rPr>
        <w:t xml:space="preserve">arms is identical. </w:t>
      </w:r>
      <w:r>
        <w:rPr>
          <w:rFonts w:ascii="Calibri" w:hAnsi="Calibri" w:cs="Calibri"/>
          <w:sz w:val="20"/>
          <w:szCs w:val="20"/>
        </w:rPr>
        <w:t>We can see that a</w:t>
      </w:r>
      <w:r w:rsidRPr="00313BA1">
        <w:rPr>
          <w:rFonts w:ascii="Calibri" w:hAnsi="Calibri" w:cs="Calibri"/>
          <w:sz w:val="20"/>
          <w:szCs w:val="20"/>
        </w:rPr>
        <w:t>s a result of th</w:t>
      </w:r>
      <w:r>
        <w:rPr>
          <w:rFonts w:ascii="Calibri" w:hAnsi="Calibri" w:cs="Calibri"/>
          <w:sz w:val="20"/>
          <w:szCs w:val="20"/>
        </w:rPr>
        <w:t>e</w:t>
      </w:r>
      <w:r w:rsidRPr="00313BA1">
        <w:rPr>
          <w:rFonts w:ascii="Calibri" w:hAnsi="Calibri" w:cs="Calibri"/>
          <w:sz w:val="20"/>
          <w:szCs w:val="20"/>
        </w:rPr>
        <w:t>s</w:t>
      </w:r>
      <w:r>
        <w:rPr>
          <w:rFonts w:ascii="Calibri" w:hAnsi="Calibri" w:cs="Calibri"/>
          <w:sz w:val="20"/>
          <w:szCs w:val="20"/>
        </w:rPr>
        <w:t>e conditions (identical placebo and active variability, and no correlation between placebo and treatment effects)</w:t>
      </w:r>
      <w:r w:rsidRPr="00313BA1">
        <w:rPr>
          <w:rFonts w:ascii="Calibri" w:hAnsi="Calibri" w:cs="Calibri"/>
          <w:sz w:val="20"/>
          <w:szCs w:val="20"/>
        </w:rPr>
        <w:t xml:space="preserve"> it follows that treatment effect heterogeneity </w:t>
      </w:r>
      <w:r>
        <w:rPr>
          <w:rFonts w:ascii="Calibri" w:hAnsi="Calibri" w:cs="Calibri"/>
          <w:sz w:val="20"/>
          <w:szCs w:val="20"/>
        </w:rPr>
        <w:t>is zero</w:t>
      </w:r>
      <w:r w:rsidRPr="00313BA1">
        <w:rPr>
          <w:rFonts w:ascii="Calibri" w:hAnsi="Calibri" w:cs="Calibri"/>
          <w:sz w:val="20"/>
          <w:szCs w:val="20"/>
        </w:rPr>
        <w:t xml:space="preserve"> and all individuals receive an identical treatment effect (</w:t>
      </w:r>
      <w:proofErr w:type="gramStart"/>
      <w:r>
        <w:rPr>
          <w:rFonts w:ascii="Calibri" w:hAnsi="Calibri" w:cs="Calibri"/>
          <w:sz w:val="20"/>
          <w:szCs w:val="20"/>
        </w:rPr>
        <w:t>i.e.</w:t>
      </w:r>
      <w:proofErr w:type="gramEnd"/>
      <w:r>
        <w:rPr>
          <w:rFonts w:ascii="Calibri" w:hAnsi="Calibri" w:cs="Calibri"/>
          <w:sz w:val="20"/>
          <w:szCs w:val="20"/>
        </w:rPr>
        <w:t xml:space="preserve"> </w:t>
      </w:r>
      <w:r w:rsidRPr="00313BA1">
        <w:rPr>
          <w:rFonts w:ascii="Calibri" w:hAnsi="Calibri" w:cs="Calibri"/>
          <w:sz w:val="20"/>
          <w:szCs w:val="20"/>
        </w:rPr>
        <w:t xml:space="preserve">the width of </w:t>
      </w:r>
      <w:r>
        <w:rPr>
          <w:rFonts w:ascii="Calibri" w:hAnsi="Calibri" w:cs="Calibri"/>
          <w:sz w:val="20"/>
          <w:szCs w:val="20"/>
        </w:rPr>
        <w:t xml:space="preserve">all </w:t>
      </w:r>
      <w:r w:rsidRPr="00313BA1">
        <w:rPr>
          <w:rFonts w:ascii="Calibri" w:hAnsi="Calibri" w:cs="Calibri"/>
          <w:sz w:val="20"/>
          <w:szCs w:val="20"/>
        </w:rPr>
        <w:t xml:space="preserve">the lines joining </w:t>
      </w:r>
      <w:r>
        <w:rPr>
          <w:rFonts w:ascii="Calibri" w:hAnsi="Calibri" w:cs="Calibri"/>
          <w:sz w:val="20"/>
          <w:szCs w:val="20"/>
        </w:rPr>
        <w:t>grey</w:t>
      </w:r>
      <w:r w:rsidRPr="00313BA1">
        <w:rPr>
          <w:rFonts w:ascii="Calibri" w:hAnsi="Calibri" w:cs="Calibri"/>
          <w:sz w:val="20"/>
          <w:szCs w:val="20"/>
        </w:rPr>
        <w:t xml:space="preserve"> and </w:t>
      </w:r>
      <w:r>
        <w:rPr>
          <w:rFonts w:ascii="Calibri" w:hAnsi="Calibri" w:cs="Calibri"/>
          <w:sz w:val="20"/>
          <w:szCs w:val="20"/>
        </w:rPr>
        <w:t>black markers</w:t>
      </w:r>
      <w:r w:rsidRPr="00313BA1">
        <w:rPr>
          <w:rFonts w:ascii="Calibri" w:hAnsi="Calibri" w:cs="Calibri"/>
          <w:sz w:val="20"/>
          <w:szCs w:val="20"/>
        </w:rPr>
        <w:t xml:space="preserve"> are identical).  </w:t>
      </w:r>
    </w:p>
    <w:p w14:paraId="4E5E1262" w14:textId="4BB6068F" w:rsidR="00F34CE7" w:rsidRPr="00313BA1" w:rsidRDefault="00F34CE7" w:rsidP="00F34CE7">
      <w:pPr>
        <w:pStyle w:val="ListParagraph"/>
        <w:ind w:left="284"/>
        <w:jc w:val="both"/>
        <w:rPr>
          <w:rFonts w:ascii="Calibri" w:hAnsi="Calibri" w:cs="Calibri"/>
        </w:rPr>
      </w:pPr>
      <w:r w:rsidRPr="00454C51" w:rsidDel="000A1E3A">
        <w:rPr>
          <w:rFonts w:ascii="Calibri" w:hAnsi="Calibri" w:cs="Calibri"/>
          <w:sz w:val="20"/>
          <w:szCs w:val="20"/>
        </w:rPr>
        <w:t xml:space="preserve"> </w:t>
      </w:r>
    </w:p>
    <w:p w14:paraId="09F4255A" w14:textId="1A795FF9" w:rsidR="00F34CE7" w:rsidRPr="00313BA1" w:rsidRDefault="00F34CE7" w:rsidP="00F34CE7">
      <w:pPr>
        <w:pStyle w:val="ListParagraph"/>
        <w:numPr>
          <w:ilvl w:val="0"/>
          <w:numId w:val="1"/>
        </w:numPr>
        <w:ind w:left="284" w:hanging="284"/>
        <w:jc w:val="both"/>
        <w:rPr>
          <w:rFonts w:ascii="Calibri" w:hAnsi="Calibri" w:cs="Calibri"/>
          <w:sz w:val="20"/>
          <w:szCs w:val="20"/>
        </w:rPr>
      </w:pPr>
      <w:r w:rsidRPr="00313BA1">
        <w:rPr>
          <w:rFonts w:ascii="Calibri" w:hAnsi="Calibri" w:cs="Calibri"/>
          <w:sz w:val="20"/>
          <w:szCs w:val="20"/>
        </w:rPr>
        <w:t>It is possible that individuals with a greater placebo response may have a smaller medication</w:t>
      </w:r>
      <w:r>
        <w:rPr>
          <w:rFonts w:ascii="Calibri" w:hAnsi="Calibri" w:cs="Calibri"/>
          <w:sz w:val="20"/>
          <w:szCs w:val="20"/>
        </w:rPr>
        <w:t>-</w:t>
      </w:r>
      <w:r w:rsidRPr="00313BA1">
        <w:rPr>
          <w:rFonts w:ascii="Calibri" w:hAnsi="Calibri" w:cs="Calibri"/>
          <w:sz w:val="20"/>
          <w:szCs w:val="20"/>
        </w:rPr>
        <w:t xml:space="preserve">specific benefit, </w:t>
      </w:r>
      <w:proofErr w:type="gramStart"/>
      <w:r w:rsidRPr="00313BA1">
        <w:rPr>
          <w:rFonts w:ascii="Calibri" w:hAnsi="Calibri" w:cs="Calibri"/>
          <w:sz w:val="20"/>
          <w:szCs w:val="20"/>
        </w:rPr>
        <w:t>i.e.</w:t>
      </w:r>
      <w:proofErr w:type="gramEnd"/>
      <w:r w:rsidRPr="00313BA1">
        <w:rPr>
          <w:rFonts w:ascii="Calibri" w:hAnsi="Calibri" w:cs="Calibri"/>
          <w:sz w:val="20"/>
          <w:szCs w:val="20"/>
        </w:rPr>
        <w:t xml:space="preserve"> a negative correlation exists between placebo response and treatment effect</w:t>
      </w:r>
      <w:r>
        <w:rPr>
          <w:rFonts w:ascii="Calibri" w:hAnsi="Calibri" w:cs="Calibri"/>
          <w:sz w:val="20"/>
          <w:szCs w:val="20"/>
        </w:rPr>
        <w:t xml:space="preserve">. </w:t>
      </w:r>
      <w:r w:rsidRPr="00A82DDE">
        <w:rPr>
          <w:rFonts w:ascii="Calibri" w:hAnsi="Calibri" w:cs="Calibri"/>
          <w:sz w:val="20"/>
          <w:szCs w:val="20"/>
        </w:rPr>
        <w:t>As in (B), both placebo and active treatment outcomes have the same variability at the group level. In this case, however, treatment effects and outcomes in placebo are negatively correlated at the patient level</w:t>
      </w:r>
      <w:r>
        <w:rPr>
          <w:rFonts w:ascii="Calibri" w:hAnsi="Calibri" w:cs="Calibri"/>
          <w:sz w:val="20"/>
          <w:szCs w:val="20"/>
        </w:rPr>
        <w:t xml:space="preserve">. </w:t>
      </w:r>
      <w:r w:rsidRPr="00313BA1">
        <w:rPr>
          <w:rFonts w:ascii="Calibri" w:hAnsi="Calibri" w:cs="Calibri"/>
          <w:sz w:val="20"/>
          <w:szCs w:val="20"/>
        </w:rPr>
        <w:t>One can see th</w:t>
      </w:r>
      <w:r>
        <w:rPr>
          <w:rFonts w:ascii="Calibri" w:hAnsi="Calibri" w:cs="Calibri"/>
          <w:sz w:val="20"/>
          <w:szCs w:val="20"/>
        </w:rPr>
        <w:t>at in this case a negative correlation between placebo</w:t>
      </w:r>
      <w:r w:rsidRPr="00313BA1">
        <w:rPr>
          <w:rFonts w:ascii="Calibri" w:hAnsi="Calibri" w:cs="Calibri"/>
          <w:sz w:val="20"/>
          <w:szCs w:val="20"/>
        </w:rPr>
        <w:t xml:space="preserve"> </w:t>
      </w:r>
      <w:r>
        <w:rPr>
          <w:rFonts w:ascii="Calibri" w:hAnsi="Calibri" w:cs="Calibri"/>
          <w:sz w:val="20"/>
          <w:szCs w:val="20"/>
        </w:rPr>
        <w:t>and treatment effects leads to marked treatment effect heterogeneity (</w:t>
      </w:r>
      <w:proofErr w:type="gramStart"/>
      <w:r>
        <w:rPr>
          <w:rFonts w:ascii="Calibri" w:hAnsi="Calibri" w:cs="Calibri"/>
          <w:sz w:val="20"/>
          <w:szCs w:val="20"/>
        </w:rPr>
        <w:t>i.e.</w:t>
      </w:r>
      <w:proofErr w:type="gramEnd"/>
      <w:r w:rsidRPr="00313BA1">
        <w:rPr>
          <w:rFonts w:ascii="Calibri" w:hAnsi="Calibri" w:cs="Calibri"/>
          <w:sz w:val="20"/>
          <w:szCs w:val="20"/>
        </w:rPr>
        <w:t xml:space="preserve"> the width of the lines joining </w:t>
      </w:r>
      <w:r>
        <w:rPr>
          <w:rFonts w:ascii="Calibri" w:hAnsi="Calibri" w:cs="Calibri"/>
          <w:sz w:val="20"/>
          <w:szCs w:val="20"/>
        </w:rPr>
        <w:t>grey</w:t>
      </w:r>
      <w:r w:rsidRPr="00313BA1">
        <w:rPr>
          <w:rFonts w:ascii="Calibri" w:hAnsi="Calibri" w:cs="Calibri"/>
          <w:sz w:val="20"/>
          <w:szCs w:val="20"/>
        </w:rPr>
        <w:t xml:space="preserve"> and </w:t>
      </w:r>
      <w:r>
        <w:rPr>
          <w:rFonts w:ascii="Calibri" w:hAnsi="Calibri" w:cs="Calibri"/>
          <w:sz w:val="20"/>
          <w:szCs w:val="20"/>
        </w:rPr>
        <w:t>black</w:t>
      </w:r>
      <w:r w:rsidRPr="00313BA1">
        <w:rPr>
          <w:rFonts w:ascii="Calibri" w:hAnsi="Calibri" w:cs="Calibri"/>
          <w:sz w:val="20"/>
          <w:szCs w:val="20"/>
        </w:rPr>
        <w:t xml:space="preserve"> markers varies between individuals.</w:t>
      </w:r>
      <w:r>
        <w:rPr>
          <w:rFonts w:ascii="Calibri" w:hAnsi="Calibri" w:cs="Calibri"/>
          <w:sz w:val="20"/>
          <w:szCs w:val="20"/>
        </w:rPr>
        <w:t>)</w:t>
      </w:r>
    </w:p>
    <w:p w14:paraId="3528B21A" w14:textId="15B5A524" w:rsidR="00F34CE7" w:rsidRDefault="00F34CE7">
      <w:pPr>
        <w:rPr>
          <w:rFonts w:eastAsiaTheme="minorEastAsia"/>
        </w:rPr>
      </w:pPr>
    </w:p>
    <w:p w14:paraId="58BB66E2" w14:textId="77777777" w:rsidR="00F02F78" w:rsidRDefault="00F02F78">
      <w:pPr>
        <w:rPr>
          <w:rFonts w:eastAsiaTheme="minorEastAsia"/>
        </w:rPr>
      </w:pPr>
    </w:p>
    <w:p w14:paraId="028914BD" w14:textId="5FED52E7" w:rsidR="00D74D81" w:rsidRDefault="00D74D81"/>
    <w:p w14:paraId="54AE93FC" w14:textId="77777777" w:rsidR="00882074" w:rsidRDefault="00882074"/>
    <w:p w14:paraId="3469A562" w14:textId="2547391E" w:rsidR="00E1380A" w:rsidRDefault="00E20CF3" w:rsidP="00454013">
      <w:pPr>
        <w:spacing w:line="360" w:lineRule="auto"/>
        <w:rPr>
          <w:rFonts w:ascii="Calibri" w:eastAsiaTheme="minorEastAsia" w:hAnsi="Calibri" w:cs="Calibri"/>
        </w:rPr>
      </w:pPr>
      <w:r w:rsidRPr="00E20CF3">
        <w:rPr>
          <w:rFonts w:ascii="Calibri" w:eastAsiaTheme="minorEastAsia" w:hAnsi="Calibri" w:cs="Calibri"/>
          <w:noProof/>
          <w:lang w:val="it-IT" w:eastAsia="it-IT"/>
        </w:rPr>
        <w:drawing>
          <wp:inline distT="0" distB="0" distL="0" distR="0" wp14:anchorId="4C0AC406" wp14:editId="3C80FED8">
            <wp:extent cx="5805377" cy="3165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3052" cy="3169350"/>
                    </a:xfrm>
                    <a:prstGeom prst="rect">
                      <a:avLst/>
                    </a:prstGeom>
                  </pic:spPr>
                </pic:pic>
              </a:graphicData>
            </a:graphic>
          </wp:inline>
        </w:drawing>
      </w:r>
    </w:p>
    <w:p w14:paraId="4DEA50F5" w14:textId="19334F75" w:rsidR="00D74D81" w:rsidRPr="00D74D81" w:rsidRDefault="00D74D81" w:rsidP="00D74D81">
      <w:pPr>
        <w:spacing w:line="360" w:lineRule="auto"/>
        <w:jc w:val="both"/>
        <w:rPr>
          <w:rFonts w:ascii="Calibri" w:eastAsiaTheme="minorEastAsia" w:hAnsi="Calibri" w:cs="Calibri"/>
          <w:b/>
          <w:bCs/>
        </w:rPr>
      </w:pPr>
      <w:r w:rsidRPr="00D74D81">
        <w:rPr>
          <w:rFonts w:ascii="Calibri" w:eastAsiaTheme="minorEastAsia" w:hAnsi="Calibri" w:cs="Calibri"/>
          <w:b/>
          <w:bCs/>
        </w:rPr>
        <w:t xml:space="preserve">eFigure </w:t>
      </w:r>
      <w:r w:rsidR="00890B44">
        <w:rPr>
          <w:rFonts w:ascii="Calibri" w:eastAsiaTheme="minorEastAsia" w:hAnsi="Calibri" w:cs="Calibri"/>
          <w:b/>
          <w:bCs/>
        </w:rPr>
        <w:t>2</w:t>
      </w:r>
    </w:p>
    <w:p w14:paraId="6943354F" w14:textId="1215936D" w:rsidR="00E1380A" w:rsidRPr="00D74D81" w:rsidRDefault="00D74D81" w:rsidP="00D74D81">
      <w:pPr>
        <w:spacing w:line="360" w:lineRule="auto"/>
        <w:jc w:val="both"/>
        <w:rPr>
          <w:rFonts w:ascii="Calibri" w:eastAsiaTheme="minorEastAsia" w:hAnsi="Calibri" w:cs="Calibri"/>
          <w:sz w:val="20"/>
          <w:szCs w:val="20"/>
        </w:rPr>
      </w:pPr>
      <w:r>
        <w:rPr>
          <w:rFonts w:ascii="Calibri" w:eastAsiaTheme="minorEastAsia" w:hAnsi="Calibri" w:cs="Calibri"/>
          <w:sz w:val="20"/>
          <w:szCs w:val="20"/>
        </w:rPr>
        <w:t xml:space="preserve">Mean </w:t>
      </w:r>
      <w:r w:rsidR="00E1380A" w:rsidRPr="00D74D81">
        <w:rPr>
          <w:rFonts w:ascii="Calibri" w:eastAsiaTheme="minorEastAsia" w:hAnsi="Calibri" w:cs="Calibri"/>
          <w:sz w:val="20"/>
          <w:szCs w:val="20"/>
        </w:rPr>
        <w:t xml:space="preserve">PANSS </w:t>
      </w:r>
      <w:r>
        <w:rPr>
          <w:rFonts w:ascii="Calibri" w:eastAsiaTheme="minorEastAsia" w:hAnsi="Calibri" w:cs="Calibri"/>
          <w:sz w:val="20"/>
          <w:szCs w:val="20"/>
        </w:rPr>
        <w:t xml:space="preserve">score </w:t>
      </w:r>
      <w:r w:rsidR="00E1380A" w:rsidRPr="00D74D81">
        <w:rPr>
          <w:rFonts w:ascii="Calibri" w:eastAsiaTheme="minorEastAsia" w:hAnsi="Calibri" w:cs="Calibri"/>
          <w:sz w:val="20"/>
          <w:szCs w:val="20"/>
        </w:rPr>
        <w:t xml:space="preserve">at the end of the double blind period for </w:t>
      </w:r>
      <w:r>
        <w:rPr>
          <w:rFonts w:ascii="Calibri" w:eastAsiaTheme="minorEastAsia" w:hAnsi="Calibri" w:cs="Calibri"/>
          <w:sz w:val="20"/>
          <w:szCs w:val="20"/>
        </w:rPr>
        <w:t>patients</w:t>
      </w:r>
      <w:r w:rsidR="00E1380A" w:rsidRPr="00D74D81">
        <w:rPr>
          <w:rFonts w:ascii="Calibri" w:eastAsiaTheme="minorEastAsia" w:hAnsi="Calibri" w:cs="Calibri"/>
          <w:sz w:val="20"/>
          <w:szCs w:val="20"/>
        </w:rPr>
        <w:t xml:space="preserve"> that received active </w:t>
      </w:r>
      <w:r w:rsidR="00CB638C">
        <w:rPr>
          <w:rFonts w:ascii="Calibri" w:eastAsiaTheme="minorEastAsia" w:hAnsi="Calibri" w:cs="Calibri"/>
          <w:sz w:val="20"/>
          <w:szCs w:val="20"/>
        </w:rPr>
        <w:t>paliperidone</w:t>
      </w:r>
      <w:r w:rsidR="00E1380A" w:rsidRPr="00D74D81">
        <w:rPr>
          <w:rFonts w:ascii="Calibri" w:eastAsiaTheme="minorEastAsia" w:hAnsi="Calibri" w:cs="Calibri"/>
          <w:sz w:val="20"/>
          <w:szCs w:val="20"/>
        </w:rPr>
        <w:t xml:space="preserve"> </w:t>
      </w:r>
      <w:r>
        <w:rPr>
          <w:rFonts w:ascii="Calibri" w:eastAsiaTheme="minorEastAsia" w:hAnsi="Calibri" w:cs="Calibri"/>
          <w:sz w:val="20"/>
          <w:szCs w:val="20"/>
        </w:rPr>
        <w:t>(</w:t>
      </w:r>
      <w:r w:rsidR="00E1380A" w:rsidRPr="00D74D81">
        <w:rPr>
          <w:rFonts w:ascii="Calibri" w:eastAsiaTheme="minorEastAsia" w:hAnsi="Calibri" w:cs="Calibri"/>
          <w:sz w:val="20"/>
          <w:szCs w:val="20"/>
        </w:rPr>
        <w:t xml:space="preserve">69.5, SD 19) </w:t>
      </w:r>
      <w:r w:rsidR="00F41641">
        <w:rPr>
          <w:rFonts w:ascii="Calibri" w:eastAsiaTheme="minorEastAsia" w:hAnsi="Calibri" w:cs="Calibri"/>
          <w:sz w:val="20"/>
          <w:szCs w:val="20"/>
        </w:rPr>
        <w:t>was</w:t>
      </w:r>
      <w:r w:rsidR="00F41641" w:rsidRPr="00D74D81">
        <w:rPr>
          <w:rFonts w:ascii="Calibri" w:eastAsiaTheme="minorEastAsia" w:hAnsi="Calibri" w:cs="Calibri"/>
          <w:sz w:val="20"/>
          <w:szCs w:val="20"/>
        </w:rPr>
        <w:t xml:space="preserve"> </w:t>
      </w:r>
      <w:r w:rsidR="00F41641">
        <w:rPr>
          <w:rFonts w:ascii="Calibri" w:eastAsiaTheme="minorEastAsia" w:hAnsi="Calibri" w:cs="Calibri"/>
          <w:sz w:val="20"/>
          <w:szCs w:val="20"/>
        </w:rPr>
        <w:t>very similar to the</w:t>
      </w:r>
      <w:r>
        <w:rPr>
          <w:rFonts w:ascii="Calibri" w:eastAsiaTheme="minorEastAsia" w:hAnsi="Calibri" w:cs="Calibri"/>
          <w:sz w:val="20"/>
          <w:szCs w:val="20"/>
        </w:rPr>
        <w:t xml:space="preserve"> mean </w:t>
      </w:r>
      <w:r w:rsidR="00E1380A" w:rsidRPr="00D74D81">
        <w:rPr>
          <w:rFonts w:ascii="Calibri" w:eastAsiaTheme="minorEastAsia" w:hAnsi="Calibri" w:cs="Calibri"/>
          <w:sz w:val="20"/>
          <w:szCs w:val="20"/>
        </w:rPr>
        <w:t xml:space="preserve">PANSS </w:t>
      </w:r>
      <w:r>
        <w:rPr>
          <w:rFonts w:ascii="Calibri" w:eastAsiaTheme="minorEastAsia" w:hAnsi="Calibri" w:cs="Calibri"/>
          <w:sz w:val="20"/>
          <w:szCs w:val="20"/>
        </w:rPr>
        <w:t>s</w:t>
      </w:r>
      <w:r w:rsidR="00E1380A" w:rsidRPr="00D74D81">
        <w:rPr>
          <w:rFonts w:ascii="Calibri" w:eastAsiaTheme="minorEastAsia" w:hAnsi="Calibri" w:cs="Calibri"/>
          <w:sz w:val="20"/>
          <w:szCs w:val="20"/>
        </w:rPr>
        <w:t>cores</w:t>
      </w:r>
      <w:r w:rsidR="00CB638C">
        <w:rPr>
          <w:rFonts w:ascii="Calibri" w:eastAsiaTheme="minorEastAsia" w:hAnsi="Calibri" w:cs="Calibri"/>
          <w:sz w:val="20"/>
          <w:szCs w:val="20"/>
        </w:rPr>
        <w:t xml:space="preserve"> at the end of the open label </w:t>
      </w:r>
      <w:proofErr w:type="gramStart"/>
      <w:r w:rsidR="00CB638C">
        <w:rPr>
          <w:rFonts w:ascii="Calibri" w:eastAsiaTheme="minorEastAsia" w:hAnsi="Calibri" w:cs="Calibri"/>
          <w:sz w:val="20"/>
          <w:szCs w:val="20"/>
        </w:rPr>
        <w:t>period</w:t>
      </w:r>
      <w:r>
        <w:rPr>
          <w:rFonts w:ascii="Calibri" w:eastAsiaTheme="minorEastAsia" w:hAnsi="Calibri" w:cs="Calibri"/>
          <w:sz w:val="20"/>
          <w:szCs w:val="20"/>
        </w:rPr>
        <w:t xml:space="preserve"> </w:t>
      </w:r>
      <w:r w:rsidR="00E1380A" w:rsidRPr="00D74D81">
        <w:rPr>
          <w:rFonts w:ascii="Calibri" w:eastAsiaTheme="minorEastAsia" w:hAnsi="Calibri" w:cs="Calibri"/>
          <w:sz w:val="20"/>
          <w:szCs w:val="20"/>
        </w:rPr>
        <w:t xml:space="preserve"> </w:t>
      </w:r>
      <w:r w:rsidR="00CB638C">
        <w:rPr>
          <w:rFonts w:ascii="Calibri" w:eastAsiaTheme="minorEastAsia" w:hAnsi="Calibri" w:cs="Calibri"/>
          <w:sz w:val="20"/>
          <w:szCs w:val="20"/>
        </w:rPr>
        <w:t>for</w:t>
      </w:r>
      <w:proofErr w:type="gramEnd"/>
      <w:r w:rsidR="00E1380A" w:rsidRPr="00D74D81">
        <w:rPr>
          <w:rFonts w:ascii="Calibri" w:eastAsiaTheme="minorEastAsia" w:hAnsi="Calibri" w:cs="Calibri"/>
          <w:sz w:val="20"/>
          <w:szCs w:val="20"/>
        </w:rPr>
        <w:t xml:space="preserve"> </w:t>
      </w:r>
      <w:r w:rsidR="00CB638C">
        <w:rPr>
          <w:rFonts w:ascii="Calibri" w:eastAsiaTheme="minorEastAsia" w:hAnsi="Calibri" w:cs="Calibri"/>
          <w:sz w:val="20"/>
          <w:szCs w:val="20"/>
        </w:rPr>
        <w:t>patients</w:t>
      </w:r>
      <w:r w:rsidR="00E1380A" w:rsidRPr="00D74D81">
        <w:rPr>
          <w:rFonts w:ascii="Calibri" w:eastAsiaTheme="minorEastAsia" w:hAnsi="Calibri" w:cs="Calibri"/>
          <w:sz w:val="20"/>
          <w:szCs w:val="20"/>
        </w:rPr>
        <w:t xml:space="preserve"> that initially </w:t>
      </w:r>
      <w:r w:rsidRPr="00D74D81">
        <w:rPr>
          <w:rFonts w:ascii="Calibri" w:eastAsiaTheme="minorEastAsia" w:hAnsi="Calibri" w:cs="Calibri"/>
          <w:sz w:val="20"/>
          <w:szCs w:val="20"/>
        </w:rPr>
        <w:t>received</w:t>
      </w:r>
      <w:r w:rsidR="00E1380A" w:rsidRPr="00D74D81">
        <w:rPr>
          <w:rFonts w:ascii="Calibri" w:eastAsiaTheme="minorEastAsia" w:hAnsi="Calibri" w:cs="Calibri"/>
          <w:sz w:val="20"/>
          <w:szCs w:val="20"/>
        </w:rPr>
        <w:t xml:space="preserve"> placebo </w:t>
      </w:r>
      <w:r w:rsidR="00CB638C" w:rsidRPr="00D74D81">
        <w:rPr>
          <w:rFonts w:ascii="Calibri" w:eastAsiaTheme="minorEastAsia" w:hAnsi="Calibri" w:cs="Calibri"/>
          <w:sz w:val="20"/>
          <w:szCs w:val="20"/>
        </w:rPr>
        <w:t>(67.2, SD 19.9)</w:t>
      </w:r>
      <w:r w:rsidR="00CB638C">
        <w:rPr>
          <w:rFonts w:ascii="Calibri" w:eastAsiaTheme="minorEastAsia" w:hAnsi="Calibri" w:cs="Calibri"/>
          <w:sz w:val="20"/>
          <w:szCs w:val="20"/>
        </w:rPr>
        <w:t xml:space="preserve"> (Independent sample</w:t>
      </w:r>
      <w:r w:rsidR="00E1380A" w:rsidRPr="00D74D81">
        <w:rPr>
          <w:rFonts w:ascii="Calibri" w:eastAsiaTheme="minorEastAsia" w:hAnsi="Calibri" w:cs="Calibri"/>
          <w:sz w:val="20"/>
          <w:szCs w:val="20"/>
        </w:rPr>
        <w:t xml:space="preserve"> </w:t>
      </w:r>
      <w:r w:rsidR="00CB638C">
        <w:rPr>
          <w:rFonts w:ascii="Calibri" w:eastAsiaTheme="minorEastAsia" w:hAnsi="Calibri" w:cs="Calibri"/>
          <w:sz w:val="20"/>
          <w:szCs w:val="20"/>
        </w:rPr>
        <w:t>t</w:t>
      </w:r>
      <w:r w:rsidR="00E1380A" w:rsidRPr="00D74D81">
        <w:rPr>
          <w:rFonts w:ascii="Calibri" w:eastAsiaTheme="minorEastAsia" w:hAnsi="Calibri" w:cs="Calibri"/>
          <w:sz w:val="20"/>
          <w:szCs w:val="20"/>
        </w:rPr>
        <w:t xml:space="preserve">- test </w:t>
      </w:r>
      <w:r w:rsidR="00001E80" w:rsidRPr="00D74D81">
        <w:rPr>
          <w:rFonts w:ascii="Calibri" w:eastAsiaTheme="minorEastAsia" w:hAnsi="Calibri" w:cs="Calibri"/>
          <w:sz w:val="20"/>
          <w:szCs w:val="20"/>
        </w:rPr>
        <w:t>t=0.93</w:t>
      </w:r>
      <w:r w:rsidR="00E1380A" w:rsidRPr="00D74D81">
        <w:rPr>
          <w:rFonts w:ascii="Calibri" w:eastAsiaTheme="minorEastAsia" w:hAnsi="Calibri" w:cs="Calibri"/>
          <w:sz w:val="20"/>
          <w:szCs w:val="20"/>
        </w:rPr>
        <w:t xml:space="preserve">, p = </w:t>
      </w:r>
      <w:r w:rsidR="00001E80" w:rsidRPr="00D74D81">
        <w:rPr>
          <w:rFonts w:ascii="Calibri" w:eastAsiaTheme="minorEastAsia" w:hAnsi="Calibri" w:cs="Calibri"/>
          <w:sz w:val="20"/>
          <w:szCs w:val="20"/>
        </w:rPr>
        <w:t>0.34)</w:t>
      </w:r>
      <w:r w:rsidR="00CB638C">
        <w:rPr>
          <w:rFonts w:ascii="Calibri" w:eastAsiaTheme="minorEastAsia" w:hAnsi="Calibri" w:cs="Calibri"/>
          <w:sz w:val="20"/>
          <w:szCs w:val="20"/>
        </w:rPr>
        <w:t>.</w:t>
      </w:r>
      <w:r w:rsidR="00F41641">
        <w:rPr>
          <w:rFonts w:ascii="Calibri" w:eastAsiaTheme="minorEastAsia" w:hAnsi="Calibri" w:cs="Calibri"/>
          <w:sz w:val="20"/>
          <w:szCs w:val="20"/>
        </w:rPr>
        <w:t xml:space="preserve"> This observation provides support for the assumptions behind the “open label” method described in our paper. </w:t>
      </w:r>
    </w:p>
    <w:p w14:paraId="715025F6" w14:textId="408EA09F" w:rsidR="00F02F78" w:rsidRDefault="00F02F78">
      <w:pPr>
        <w:rPr>
          <w:rFonts w:ascii="Calibri" w:eastAsiaTheme="minorEastAsia" w:hAnsi="Calibri" w:cs="Calibri"/>
        </w:rPr>
      </w:pPr>
      <w:r>
        <w:rPr>
          <w:rFonts w:ascii="Calibri" w:eastAsiaTheme="minorEastAsia" w:hAnsi="Calibri" w:cs="Calibri"/>
        </w:rPr>
        <w:br w:type="page"/>
      </w:r>
    </w:p>
    <w:p w14:paraId="3AB4CCA1" w14:textId="451B004C" w:rsidR="00E7421F" w:rsidRDefault="00E7421F" w:rsidP="00454013">
      <w:pPr>
        <w:spacing w:line="360" w:lineRule="auto"/>
        <w:rPr>
          <w:rFonts w:ascii="Calibri" w:eastAsiaTheme="minorEastAsia" w:hAnsi="Calibri" w:cs="Calibri"/>
        </w:rPr>
      </w:pPr>
    </w:p>
    <w:p w14:paraId="2E484F6E" w14:textId="73420749" w:rsidR="008C366F" w:rsidRDefault="008C366F" w:rsidP="00454013">
      <w:pPr>
        <w:spacing w:line="360" w:lineRule="auto"/>
        <w:rPr>
          <w:rFonts w:ascii="Calibri" w:eastAsiaTheme="minorEastAsia" w:hAnsi="Calibri" w:cs="Calibri"/>
        </w:rPr>
      </w:pPr>
      <w:r w:rsidRPr="008C366F">
        <w:rPr>
          <w:rFonts w:ascii="Calibri" w:eastAsiaTheme="minorEastAsia" w:hAnsi="Calibri" w:cs="Calibri"/>
          <w:noProof/>
          <w:lang w:val="it-IT" w:eastAsia="it-IT"/>
        </w:rPr>
        <w:drawing>
          <wp:inline distT="0" distB="0" distL="0" distR="0" wp14:anchorId="55FF5D74" wp14:editId="29AE798E">
            <wp:extent cx="5727700" cy="3531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3531235"/>
                    </a:xfrm>
                    <a:prstGeom prst="rect">
                      <a:avLst/>
                    </a:prstGeom>
                  </pic:spPr>
                </pic:pic>
              </a:graphicData>
            </a:graphic>
          </wp:inline>
        </w:drawing>
      </w:r>
    </w:p>
    <w:p w14:paraId="040AF989" w14:textId="03076D74" w:rsidR="00CB638C" w:rsidRDefault="00CB638C" w:rsidP="00454013">
      <w:pPr>
        <w:spacing w:line="360" w:lineRule="auto"/>
        <w:rPr>
          <w:rFonts w:ascii="Calibri" w:eastAsiaTheme="minorEastAsia" w:hAnsi="Calibri" w:cs="Calibri"/>
        </w:rPr>
      </w:pPr>
      <w:r w:rsidRPr="00CB638C">
        <w:rPr>
          <w:rFonts w:ascii="Calibri" w:eastAsiaTheme="minorEastAsia" w:hAnsi="Calibri" w:cs="Calibri"/>
          <w:b/>
          <w:bCs/>
        </w:rPr>
        <w:t xml:space="preserve">eFigure </w:t>
      </w:r>
      <w:r w:rsidR="00890B44">
        <w:rPr>
          <w:rFonts w:ascii="Calibri" w:eastAsiaTheme="minorEastAsia" w:hAnsi="Calibri" w:cs="Calibri"/>
          <w:b/>
          <w:bCs/>
        </w:rPr>
        <w:t>3</w:t>
      </w:r>
    </w:p>
    <w:p w14:paraId="471E8157" w14:textId="002281E8" w:rsidR="006A7D4D" w:rsidRDefault="006E6AEA" w:rsidP="00454013">
      <w:pPr>
        <w:spacing w:line="360" w:lineRule="auto"/>
        <w:rPr>
          <w:rFonts w:ascii="Calibri" w:eastAsiaTheme="minorEastAsia" w:hAnsi="Calibri" w:cs="Calibri"/>
          <w:sz w:val="20"/>
          <w:szCs w:val="20"/>
        </w:rPr>
      </w:pPr>
      <w:r w:rsidRPr="00CB638C">
        <w:rPr>
          <w:rFonts w:ascii="Calibri" w:eastAsiaTheme="minorEastAsia" w:hAnsi="Calibri" w:cs="Calibri"/>
          <w:sz w:val="20"/>
          <w:szCs w:val="20"/>
        </w:rPr>
        <w:t>Density plot of treatment effects</w:t>
      </w:r>
      <w:r w:rsidR="00890B44">
        <w:rPr>
          <w:rFonts w:ascii="Calibri" w:eastAsiaTheme="minorEastAsia" w:hAnsi="Calibri" w:cs="Calibri"/>
          <w:sz w:val="20"/>
          <w:szCs w:val="20"/>
        </w:rPr>
        <w:t xml:space="preserve"> within the individual patient data</w:t>
      </w:r>
      <w:r w:rsidRPr="00CB638C">
        <w:rPr>
          <w:rFonts w:ascii="Calibri" w:eastAsiaTheme="minorEastAsia" w:hAnsi="Calibri" w:cs="Calibri"/>
          <w:sz w:val="20"/>
          <w:szCs w:val="20"/>
        </w:rPr>
        <w:t>. Both methods of individual treatment effect estimation show clinically significant inter-individual differences.</w:t>
      </w:r>
    </w:p>
    <w:p w14:paraId="309C8AC8" w14:textId="77777777" w:rsidR="00EA590A" w:rsidRDefault="00EA590A">
      <w:pPr>
        <w:rPr>
          <w:rFonts w:ascii="Calibri" w:eastAsiaTheme="minorEastAsia" w:hAnsi="Calibri" w:cs="Calibri"/>
          <w:sz w:val="20"/>
          <w:szCs w:val="20"/>
        </w:rPr>
        <w:sectPr w:rsidR="00EA590A" w:rsidSect="006A5BE4">
          <w:footerReference w:type="default" r:id="rId11"/>
          <w:pgSz w:w="11900" w:h="16840"/>
          <w:pgMar w:top="1440" w:right="1440" w:bottom="1440" w:left="1440" w:header="708" w:footer="708" w:gutter="0"/>
          <w:cols w:space="708"/>
          <w:docGrid w:linePitch="360"/>
        </w:sectPr>
      </w:pPr>
    </w:p>
    <w:p w14:paraId="204A5C03" w14:textId="31BCBC9C" w:rsidR="006A7D4D" w:rsidRDefault="006A7D4D">
      <w:pPr>
        <w:rPr>
          <w:rFonts w:ascii="Calibri" w:eastAsiaTheme="minorEastAsia" w:hAnsi="Calibri" w:cs="Calibri"/>
          <w:sz w:val="20"/>
          <w:szCs w:val="20"/>
        </w:rPr>
      </w:pPr>
    </w:p>
    <w:p w14:paraId="0D808285" w14:textId="2C4905C6" w:rsidR="00EA590A" w:rsidRPr="009226B7" w:rsidRDefault="00EA590A" w:rsidP="00EA590A">
      <w:pPr>
        <w:pStyle w:val="Heading1"/>
        <w:rPr>
          <w:rFonts w:ascii="Calibri" w:hAnsi="Calibri"/>
          <w:sz w:val="22"/>
          <w:szCs w:val="22"/>
        </w:rPr>
      </w:pPr>
      <w:r>
        <w:rPr>
          <w:rFonts w:ascii="Calibri" w:hAnsi="Calibri"/>
          <w:sz w:val="22"/>
          <w:szCs w:val="22"/>
        </w:rPr>
        <w:t xml:space="preserve">PRISMA </w:t>
      </w:r>
      <w:r w:rsidRPr="009226B7">
        <w:rPr>
          <w:rFonts w:ascii="Calibri" w:hAnsi="Calibri"/>
          <w:sz w:val="22"/>
          <w:szCs w:val="22"/>
        </w:rPr>
        <w:t>Checklist</w:t>
      </w:r>
    </w:p>
    <w:tbl>
      <w:tblPr>
        <w:tblW w:w="14319" w:type="dxa"/>
        <w:tblBorders>
          <w:top w:val="nil"/>
          <w:left w:val="nil"/>
          <w:bottom w:val="nil"/>
          <w:right w:val="nil"/>
        </w:tblBorders>
        <w:tblLook w:val="0000" w:firstRow="0" w:lastRow="0" w:firstColumn="0" w:lastColumn="0" w:noHBand="0" w:noVBand="0"/>
      </w:tblPr>
      <w:tblGrid>
        <w:gridCol w:w="2797"/>
        <w:gridCol w:w="540"/>
        <w:gridCol w:w="9698"/>
        <w:gridCol w:w="1284"/>
      </w:tblGrid>
      <w:tr w:rsidR="004E10C4" w:rsidRPr="009226B7" w14:paraId="0579CA28" w14:textId="77777777" w:rsidTr="004E10C4">
        <w:trPr>
          <w:trHeight w:val="663"/>
        </w:trPr>
        <w:tc>
          <w:tcPr>
            <w:tcW w:w="279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161BE0D1" w14:textId="77777777" w:rsidR="00EA590A" w:rsidRPr="009226B7" w:rsidRDefault="00EA590A" w:rsidP="004E10C4">
            <w:pPr>
              <w:pStyle w:val="Default"/>
              <w:rPr>
                <w:color w:val="FFFFFF"/>
                <w:sz w:val="22"/>
                <w:szCs w:val="22"/>
              </w:rPr>
            </w:pPr>
            <w:r w:rsidRPr="009226B7">
              <w:rPr>
                <w:b/>
                <w:bCs/>
                <w:color w:val="FFFFFF"/>
                <w:sz w:val="22"/>
                <w:szCs w:val="22"/>
              </w:rPr>
              <w:t xml:space="preserve">Section/topic </w:t>
            </w:r>
          </w:p>
        </w:tc>
        <w:tc>
          <w:tcPr>
            <w:tcW w:w="540"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468C63C1" w14:textId="77777777" w:rsidR="00EA590A" w:rsidRPr="009226B7" w:rsidRDefault="00EA590A" w:rsidP="004E10C4">
            <w:pPr>
              <w:pStyle w:val="Default"/>
              <w:jc w:val="right"/>
              <w:rPr>
                <w:b/>
                <w:bCs/>
                <w:color w:val="FFFFFF"/>
                <w:sz w:val="22"/>
                <w:szCs w:val="22"/>
              </w:rPr>
            </w:pPr>
            <w:r w:rsidRPr="009226B7">
              <w:rPr>
                <w:b/>
                <w:bCs/>
                <w:color w:val="FFFFFF"/>
                <w:sz w:val="22"/>
                <w:szCs w:val="22"/>
              </w:rPr>
              <w:t>#</w:t>
            </w:r>
          </w:p>
        </w:tc>
        <w:tc>
          <w:tcPr>
            <w:tcW w:w="9698"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12DBB4F0" w14:textId="77777777" w:rsidR="00EA590A" w:rsidRPr="009226B7" w:rsidRDefault="00EA590A" w:rsidP="004E10C4">
            <w:pPr>
              <w:pStyle w:val="Default"/>
              <w:rPr>
                <w:color w:val="FFFFFF"/>
                <w:sz w:val="22"/>
                <w:szCs w:val="22"/>
              </w:rPr>
            </w:pPr>
            <w:r w:rsidRPr="009226B7">
              <w:rPr>
                <w:b/>
                <w:bCs/>
                <w:color w:val="FFFFFF"/>
                <w:sz w:val="22"/>
                <w:szCs w:val="22"/>
              </w:rPr>
              <w:t xml:space="preserve">Checklist item </w:t>
            </w:r>
          </w:p>
        </w:tc>
        <w:tc>
          <w:tcPr>
            <w:tcW w:w="1284"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11B91C27" w14:textId="77777777" w:rsidR="00EA590A" w:rsidRPr="009226B7" w:rsidRDefault="00EA590A" w:rsidP="004E10C4">
            <w:pPr>
              <w:pStyle w:val="Default"/>
              <w:rPr>
                <w:color w:val="FFFFFF"/>
                <w:sz w:val="22"/>
                <w:szCs w:val="22"/>
              </w:rPr>
            </w:pPr>
            <w:r w:rsidRPr="009226B7">
              <w:rPr>
                <w:b/>
                <w:bCs/>
                <w:color w:val="FFFFFF"/>
                <w:sz w:val="22"/>
                <w:szCs w:val="22"/>
              </w:rPr>
              <w:t xml:space="preserve">Reported on page # </w:t>
            </w:r>
          </w:p>
        </w:tc>
      </w:tr>
      <w:tr w:rsidR="004E10C4" w:rsidRPr="009226B7" w14:paraId="50A71BE8"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C4D06AC" w14:textId="77777777" w:rsidR="00EA590A" w:rsidRPr="009226B7" w:rsidRDefault="00EA590A" w:rsidP="004E10C4">
            <w:pPr>
              <w:pStyle w:val="Default"/>
              <w:rPr>
                <w:sz w:val="22"/>
                <w:szCs w:val="22"/>
              </w:rPr>
            </w:pPr>
            <w:r w:rsidRPr="009226B7">
              <w:rPr>
                <w:b/>
                <w:bCs/>
                <w:sz w:val="22"/>
                <w:szCs w:val="22"/>
              </w:rPr>
              <w:t xml:space="preserve">TITLE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2205B96C" w14:textId="77777777" w:rsidR="00EA590A" w:rsidRPr="009226B7" w:rsidRDefault="00EA590A" w:rsidP="004E10C4">
            <w:pPr>
              <w:pStyle w:val="Default"/>
              <w:jc w:val="right"/>
              <w:rPr>
                <w:color w:val="auto"/>
                <w:sz w:val="22"/>
                <w:szCs w:val="22"/>
              </w:rPr>
            </w:pPr>
          </w:p>
        </w:tc>
      </w:tr>
      <w:tr w:rsidR="004E10C4" w:rsidRPr="009226B7" w14:paraId="67893341" w14:textId="77777777" w:rsidTr="004E10C4">
        <w:trPr>
          <w:trHeight w:val="323"/>
        </w:trPr>
        <w:tc>
          <w:tcPr>
            <w:tcW w:w="2797" w:type="dxa"/>
            <w:tcBorders>
              <w:top w:val="single" w:sz="5" w:space="0" w:color="000000"/>
              <w:left w:val="single" w:sz="5" w:space="0" w:color="000000"/>
              <w:bottom w:val="double" w:sz="2" w:space="0" w:color="FFFFCC"/>
              <w:right w:val="single" w:sz="5" w:space="0" w:color="000000"/>
            </w:tcBorders>
          </w:tcPr>
          <w:p w14:paraId="35E66B8C" w14:textId="77777777" w:rsidR="00EA590A" w:rsidRPr="009226B7" w:rsidRDefault="00EA590A" w:rsidP="004E10C4">
            <w:pPr>
              <w:pStyle w:val="Default"/>
              <w:spacing w:before="40" w:after="40"/>
              <w:rPr>
                <w:sz w:val="22"/>
                <w:szCs w:val="22"/>
              </w:rPr>
            </w:pPr>
            <w:r w:rsidRPr="009226B7">
              <w:rPr>
                <w:sz w:val="22"/>
                <w:szCs w:val="22"/>
              </w:rPr>
              <w:t xml:space="preserve">Title </w:t>
            </w:r>
          </w:p>
        </w:tc>
        <w:tc>
          <w:tcPr>
            <w:tcW w:w="540" w:type="dxa"/>
            <w:tcBorders>
              <w:top w:val="single" w:sz="5" w:space="0" w:color="000000"/>
              <w:left w:val="single" w:sz="5" w:space="0" w:color="000000"/>
              <w:bottom w:val="double" w:sz="2" w:space="0" w:color="FFFFCC"/>
              <w:right w:val="single" w:sz="5" w:space="0" w:color="000000"/>
            </w:tcBorders>
          </w:tcPr>
          <w:p w14:paraId="63B8B2A6" w14:textId="77777777" w:rsidR="00EA590A" w:rsidRPr="009226B7" w:rsidRDefault="00EA590A" w:rsidP="004E10C4">
            <w:pPr>
              <w:pStyle w:val="Default"/>
              <w:spacing w:before="40" w:after="40"/>
              <w:jc w:val="right"/>
              <w:rPr>
                <w:sz w:val="22"/>
                <w:szCs w:val="22"/>
              </w:rPr>
            </w:pPr>
            <w:r w:rsidRPr="009226B7">
              <w:rPr>
                <w:sz w:val="22"/>
                <w:szCs w:val="22"/>
              </w:rPr>
              <w:t>1</w:t>
            </w:r>
          </w:p>
        </w:tc>
        <w:tc>
          <w:tcPr>
            <w:tcW w:w="9698" w:type="dxa"/>
            <w:tcBorders>
              <w:top w:val="single" w:sz="5" w:space="0" w:color="000000"/>
              <w:left w:val="single" w:sz="5" w:space="0" w:color="000000"/>
              <w:bottom w:val="double" w:sz="5" w:space="0" w:color="000000"/>
              <w:right w:val="single" w:sz="5" w:space="0" w:color="000000"/>
            </w:tcBorders>
          </w:tcPr>
          <w:p w14:paraId="3FAA6D83" w14:textId="77777777" w:rsidR="00EA590A" w:rsidRPr="009226B7" w:rsidRDefault="00EA590A" w:rsidP="004E10C4">
            <w:pPr>
              <w:pStyle w:val="Default"/>
              <w:spacing w:before="40" w:after="40"/>
              <w:rPr>
                <w:sz w:val="22"/>
                <w:szCs w:val="22"/>
              </w:rPr>
            </w:pPr>
            <w:r w:rsidRPr="009226B7">
              <w:rPr>
                <w:sz w:val="22"/>
                <w:szCs w:val="22"/>
              </w:rPr>
              <w:t xml:space="preserve">Identify the report as a systematic review, meta-analysis, or both. </w:t>
            </w:r>
          </w:p>
        </w:tc>
        <w:tc>
          <w:tcPr>
            <w:tcW w:w="1284" w:type="dxa"/>
            <w:tcBorders>
              <w:top w:val="single" w:sz="5" w:space="0" w:color="000000"/>
              <w:left w:val="single" w:sz="5" w:space="0" w:color="000000"/>
              <w:bottom w:val="double" w:sz="5" w:space="0" w:color="000000"/>
              <w:right w:val="single" w:sz="5" w:space="0" w:color="000000"/>
            </w:tcBorders>
          </w:tcPr>
          <w:p w14:paraId="083800F4" w14:textId="77777777" w:rsidR="00EA590A" w:rsidRPr="009226B7" w:rsidRDefault="00EA590A" w:rsidP="004E10C4">
            <w:pPr>
              <w:pStyle w:val="Default"/>
              <w:spacing w:before="40" w:after="40"/>
              <w:rPr>
                <w:color w:val="auto"/>
                <w:sz w:val="22"/>
                <w:szCs w:val="22"/>
              </w:rPr>
            </w:pPr>
            <w:r>
              <w:rPr>
                <w:color w:val="auto"/>
                <w:sz w:val="22"/>
                <w:szCs w:val="22"/>
              </w:rPr>
              <w:t>1</w:t>
            </w:r>
          </w:p>
        </w:tc>
      </w:tr>
      <w:tr w:rsidR="004E10C4" w:rsidRPr="009226B7" w14:paraId="3FBA8290"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58041AC" w14:textId="77777777" w:rsidR="00EA590A" w:rsidRPr="009226B7" w:rsidRDefault="00EA590A" w:rsidP="004E10C4">
            <w:pPr>
              <w:pStyle w:val="Default"/>
              <w:rPr>
                <w:sz w:val="22"/>
                <w:szCs w:val="22"/>
              </w:rPr>
            </w:pPr>
            <w:r w:rsidRPr="009226B7">
              <w:rPr>
                <w:b/>
                <w:bCs/>
                <w:sz w:val="22"/>
                <w:szCs w:val="22"/>
              </w:rPr>
              <w:t xml:space="preserve">ABSTRACT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74641D07" w14:textId="77777777" w:rsidR="00EA590A" w:rsidRPr="009226B7" w:rsidRDefault="00EA590A" w:rsidP="004E10C4">
            <w:pPr>
              <w:pStyle w:val="Default"/>
              <w:jc w:val="right"/>
              <w:rPr>
                <w:color w:val="auto"/>
                <w:sz w:val="22"/>
                <w:szCs w:val="22"/>
              </w:rPr>
            </w:pPr>
          </w:p>
        </w:tc>
      </w:tr>
      <w:tr w:rsidR="004E10C4" w:rsidRPr="009226B7" w14:paraId="26CD9DEF" w14:textId="77777777" w:rsidTr="004E10C4">
        <w:trPr>
          <w:trHeight w:val="810"/>
        </w:trPr>
        <w:tc>
          <w:tcPr>
            <w:tcW w:w="2797" w:type="dxa"/>
            <w:tcBorders>
              <w:top w:val="single" w:sz="5" w:space="0" w:color="000000"/>
              <w:left w:val="single" w:sz="5" w:space="0" w:color="000000"/>
              <w:bottom w:val="double" w:sz="2" w:space="0" w:color="FFFFCC"/>
              <w:right w:val="single" w:sz="5" w:space="0" w:color="000000"/>
            </w:tcBorders>
          </w:tcPr>
          <w:p w14:paraId="712FB33D" w14:textId="77777777" w:rsidR="00EA590A" w:rsidRPr="009226B7" w:rsidRDefault="00EA590A" w:rsidP="004E10C4">
            <w:pPr>
              <w:pStyle w:val="Default"/>
              <w:spacing w:before="40" w:after="40"/>
              <w:rPr>
                <w:sz w:val="22"/>
                <w:szCs w:val="22"/>
              </w:rPr>
            </w:pPr>
            <w:r w:rsidRPr="009226B7">
              <w:rPr>
                <w:sz w:val="22"/>
                <w:szCs w:val="22"/>
              </w:rPr>
              <w:t xml:space="preserve">Structured summary </w:t>
            </w:r>
          </w:p>
        </w:tc>
        <w:tc>
          <w:tcPr>
            <w:tcW w:w="540" w:type="dxa"/>
            <w:tcBorders>
              <w:top w:val="single" w:sz="5" w:space="0" w:color="000000"/>
              <w:left w:val="single" w:sz="5" w:space="0" w:color="000000"/>
              <w:bottom w:val="double" w:sz="2" w:space="0" w:color="FFFFCC"/>
              <w:right w:val="single" w:sz="5" w:space="0" w:color="000000"/>
            </w:tcBorders>
          </w:tcPr>
          <w:p w14:paraId="4DFC1EB3" w14:textId="77777777" w:rsidR="00EA590A" w:rsidRPr="009226B7" w:rsidRDefault="00EA590A" w:rsidP="004E10C4">
            <w:pPr>
              <w:pStyle w:val="Default"/>
              <w:spacing w:before="40" w:after="40"/>
              <w:jc w:val="right"/>
              <w:rPr>
                <w:sz w:val="22"/>
                <w:szCs w:val="22"/>
              </w:rPr>
            </w:pPr>
            <w:r w:rsidRPr="009226B7">
              <w:rPr>
                <w:sz w:val="22"/>
                <w:szCs w:val="22"/>
              </w:rPr>
              <w:t>2</w:t>
            </w:r>
          </w:p>
        </w:tc>
        <w:tc>
          <w:tcPr>
            <w:tcW w:w="9698" w:type="dxa"/>
            <w:tcBorders>
              <w:top w:val="single" w:sz="5" w:space="0" w:color="000000"/>
              <w:left w:val="single" w:sz="5" w:space="0" w:color="000000"/>
              <w:bottom w:val="double" w:sz="5" w:space="0" w:color="000000"/>
              <w:right w:val="single" w:sz="5" w:space="0" w:color="000000"/>
            </w:tcBorders>
          </w:tcPr>
          <w:p w14:paraId="5C329676" w14:textId="77777777" w:rsidR="00EA590A" w:rsidRPr="009226B7" w:rsidRDefault="00EA590A" w:rsidP="004E10C4">
            <w:pPr>
              <w:pStyle w:val="Default"/>
              <w:spacing w:before="40" w:after="40"/>
              <w:rPr>
                <w:sz w:val="22"/>
                <w:szCs w:val="22"/>
              </w:rPr>
            </w:pPr>
            <w:r w:rsidRPr="009226B7">
              <w:rPr>
                <w:sz w:val="22"/>
                <w:szCs w:val="22"/>
              </w:rPr>
              <w:t xml:space="preserve">Provide a structured summary including, as applicable: background; objectives; data sources; study eligibility criteria, participants, and interventions; study appraisal and synthesis methods; results; limitations; conclusions and implications of key findings; systematic review registration number. </w:t>
            </w:r>
          </w:p>
        </w:tc>
        <w:tc>
          <w:tcPr>
            <w:tcW w:w="1284" w:type="dxa"/>
            <w:tcBorders>
              <w:top w:val="single" w:sz="5" w:space="0" w:color="000000"/>
              <w:left w:val="single" w:sz="5" w:space="0" w:color="000000"/>
              <w:bottom w:val="double" w:sz="5" w:space="0" w:color="000000"/>
              <w:right w:val="single" w:sz="5" w:space="0" w:color="000000"/>
            </w:tcBorders>
          </w:tcPr>
          <w:p w14:paraId="1BC31A1D" w14:textId="77777777" w:rsidR="00EA590A" w:rsidRPr="009226B7" w:rsidRDefault="00EA590A" w:rsidP="004E10C4">
            <w:pPr>
              <w:pStyle w:val="Default"/>
              <w:spacing w:before="40" w:after="40"/>
              <w:rPr>
                <w:color w:val="auto"/>
                <w:sz w:val="22"/>
                <w:szCs w:val="22"/>
              </w:rPr>
            </w:pPr>
            <w:r>
              <w:rPr>
                <w:color w:val="auto"/>
                <w:sz w:val="22"/>
                <w:szCs w:val="22"/>
              </w:rPr>
              <w:t>3</w:t>
            </w:r>
          </w:p>
        </w:tc>
      </w:tr>
      <w:tr w:rsidR="004E10C4" w:rsidRPr="009226B7" w14:paraId="2019800A"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93093AB" w14:textId="77777777" w:rsidR="00EA590A" w:rsidRPr="009226B7" w:rsidRDefault="00EA590A" w:rsidP="004E10C4">
            <w:pPr>
              <w:pStyle w:val="Default"/>
              <w:rPr>
                <w:sz w:val="22"/>
                <w:szCs w:val="22"/>
              </w:rPr>
            </w:pPr>
            <w:r w:rsidRPr="009226B7">
              <w:rPr>
                <w:b/>
                <w:bCs/>
                <w:sz w:val="22"/>
                <w:szCs w:val="22"/>
              </w:rPr>
              <w:t xml:space="preserve">INTRODUCTION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179DE9A8" w14:textId="77777777" w:rsidR="00EA590A" w:rsidRPr="009226B7" w:rsidRDefault="00EA590A" w:rsidP="004E10C4">
            <w:pPr>
              <w:pStyle w:val="Default"/>
              <w:jc w:val="right"/>
              <w:rPr>
                <w:color w:val="auto"/>
                <w:sz w:val="22"/>
                <w:szCs w:val="22"/>
              </w:rPr>
            </w:pPr>
          </w:p>
        </w:tc>
      </w:tr>
      <w:tr w:rsidR="004E10C4" w:rsidRPr="009226B7" w14:paraId="6E3AF22F" w14:textId="77777777" w:rsidTr="004E10C4">
        <w:trPr>
          <w:trHeight w:val="333"/>
        </w:trPr>
        <w:tc>
          <w:tcPr>
            <w:tcW w:w="2797" w:type="dxa"/>
            <w:tcBorders>
              <w:top w:val="single" w:sz="5" w:space="0" w:color="000000"/>
              <w:left w:val="single" w:sz="5" w:space="0" w:color="000000"/>
              <w:bottom w:val="single" w:sz="5" w:space="0" w:color="000000"/>
              <w:right w:val="single" w:sz="5" w:space="0" w:color="000000"/>
            </w:tcBorders>
          </w:tcPr>
          <w:p w14:paraId="0D51C758" w14:textId="77777777" w:rsidR="00EA590A" w:rsidRPr="009226B7" w:rsidRDefault="00EA590A" w:rsidP="004E10C4">
            <w:pPr>
              <w:pStyle w:val="Default"/>
              <w:spacing w:before="40" w:after="40"/>
              <w:rPr>
                <w:sz w:val="22"/>
                <w:szCs w:val="22"/>
              </w:rPr>
            </w:pPr>
            <w:r w:rsidRPr="009226B7">
              <w:rPr>
                <w:sz w:val="22"/>
                <w:szCs w:val="22"/>
              </w:rPr>
              <w:t xml:space="preserve">Rationale </w:t>
            </w:r>
          </w:p>
        </w:tc>
        <w:tc>
          <w:tcPr>
            <w:tcW w:w="540" w:type="dxa"/>
            <w:tcBorders>
              <w:top w:val="single" w:sz="5" w:space="0" w:color="000000"/>
              <w:left w:val="single" w:sz="5" w:space="0" w:color="000000"/>
              <w:bottom w:val="single" w:sz="5" w:space="0" w:color="000000"/>
              <w:right w:val="single" w:sz="5" w:space="0" w:color="000000"/>
            </w:tcBorders>
          </w:tcPr>
          <w:p w14:paraId="155927EE" w14:textId="77777777" w:rsidR="00EA590A" w:rsidRPr="009226B7" w:rsidRDefault="00EA590A" w:rsidP="004E10C4">
            <w:pPr>
              <w:pStyle w:val="Default"/>
              <w:spacing w:before="40" w:after="40"/>
              <w:jc w:val="right"/>
              <w:rPr>
                <w:sz w:val="22"/>
                <w:szCs w:val="22"/>
              </w:rPr>
            </w:pPr>
            <w:r w:rsidRPr="009226B7">
              <w:rPr>
                <w:sz w:val="22"/>
                <w:szCs w:val="22"/>
              </w:rPr>
              <w:t>3</w:t>
            </w:r>
          </w:p>
        </w:tc>
        <w:tc>
          <w:tcPr>
            <w:tcW w:w="9698" w:type="dxa"/>
            <w:tcBorders>
              <w:top w:val="single" w:sz="5" w:space="0" w:color="000000"/>
              <w:left w:val="single" w:sz="5" w:space="0" w:color="000000"/>
              <w:bottom w:val="single" w:sz="5" w:space="0" w:color="000000"/>
              <w:right w:val="single" w:sz="5" w:space="0" w:color="000000"/>
            </w:tcBorders>
          </w:tcPr>
          <w:p w14:paraId="185D8857" w14:textId="77777777" w:rsidR="00EA590A" w:rsidRPr="009226B7" w:rsidRDefault="00EA590A" w:rsidP="004E10C4">
            <w:pPr>
              <w:pStyle w:val="Default"/>
              <w:spacing w:before="40" w:after="40"/>
              <w:rPr>
                <w:sz w:val="22"/>
                <w:szCs w:val="22"/>
              </w:rPr>
            </w:pPr>
            <w:r w:rsidRPr="009226B7">
              <w:rPr>
                <w:sz w:val="22"/>
                <w:szCs w:val="22"/>
              </w:rPr>
              <w:t xml:space="preserve">Describe the rationale for the review in the context of what is already known. </w:t>
            </w:r>
          </w:p>
        </w:tc>
        <w:tc>
          <w:tcPr>
            <w:tcW w:w="1284" w:type="dxa"/>
            <w:tcBorders>
              <w:top w:val="single" w:sz="5" w:space="0" w:color="000000"/>
              <w:left w:val="single" w:sz="5" w:space="0" w:color="000000"/>
              <w:bottom w:val="single" w:sz="5" w:space="0" w:color="000000"/>
              <w:right w:val="single" w:sz="5" w:space="0" w:color="000000"/>
            </w:tcBorders>
          </w:tcPr>
          <w:p w14:paraId="574431E5" w14:textId="77777777" w:rsidR="00EA590A" w:rsidRPr="009226B7" w:rsidRDefault="00EA590A" w:rsidP="004E10C4">
            <w:pPr>
              <w:pStyle w:val="Default"/>
              <w:spacing w:before="40" w:after="40"/>
              <w:rPr>
                <w:color w:val="auto"/>
                <w:sz w:val="22"/>
                <w:szCs w:val="22"/>
              </w:rPr>
            </w:pPr>
            <w:r>
              <w:rPr>
                <w:color w:val="auto"/>
                <w:sz w:val="22"/>
                <w:szCs w:val="22"/>
              </w:rPr>
              <w:t>3-5</w:t>
            </w:r>
          </w:p>
        </w:tc>
      </w:tr>
      <w:tr w:rsidR="004E10C4" w:rsidRPr="009226B7" w14:paraId="466111B5" w14:textId="77777777" w:rsidTr="004E10C4">
        <w:trPr>
          <w:trHeight w:val="568"/>
        </w:trPr>
        <w:tc>
          <w:tcPr>
            <w:tcW w:w="2797" w:type="dxa"/>
            <w:tcBorders>
              <w:top w:val="single" w:sz="5" w:space="0" w:color="000000"/>
              <w:left w:val="single" w:sz="5" w:space="0" w:color="000000"/>
              <w:bottom w:val="double" w:sz="2" w:space="0" w:color="FFFFCC"/>
              <w:right w:val="single" w:sz="5" w:space="0" w:color="000000"/>
            </w:tcBorders>
          </w:tcPr>
          <w:p w14:paraId="6669E6AA" w14:textId="77777777" w:rsidR="00EA590A" w:rsidRPr="009226B7" w:rsidRDefault="00EA590A" w:rsidP="004E10C4">
            <w:pPr>
              <w:pStyle w:val="Default"/>
              <w:spacing w:before="40" w:after="40"/>
              <w:rPr>
                <w:sz w:val="22"/>
                <w:szCs w:val="22"/>
              </w:rPr>
            </w:pPr>
            <w:r w:rsidRPr="009226B7">
              <w:rPr>
                <w:sz w:val="22"/>
                <w:szCs w:val="22"/>
              </w:rPr>
              <w:t xml:space="preserve">Objectives </w:t>
            </w:r>
          </w:p>
        </w:tc>
        <w:tc>
          <w:tcPr>
            <w:tcW w:w="540" w:type="dxa"/>
            <w:tcBorders>
              <w:top w:val="single" w:sz="5" w:space="0" w:color="000000"/>
              <w:left w:val="single" w:sz="5" w:space="0" w:color="000000"/>
              <w:bottom w:val="double" w:sz="2" w:space="0" w:color="FFFFCC"/>
              <w:right w:val="single" w:sz="5" w:space="0" w:color="000000"/>
            </w:tcBorders>
          </w:tcPr>
          <w:p w14:paraId="07C2EFB0" w14:textId="77777777" w:rsidR="00EA590A" w:rsidRPr="009226B7" w:rsidRDefault="00EA590A" w:rsidP="004E10C4">
            <w:pPr>
              <w:pStyle w:val="Default"/>
              <w:spacing w:before="40" w:after="40"/>
              <w:jc w:val="right"/>
              <w:rPr>
                <w:sz w:val="22"/>
                <w:szCs w:val="22"/>
              </w:rPr>
            </w:pPr>
            <w:r w:rsidRPr="009226B7">
              <w:rPr>
                <w:sz w:val="22"/>
                <w:szCs w:val="22"/>
              </w:rPr>
              <w:t>4</w:t>
            </w:r>
          </w:p>
        </w:tc>
        <w:tc>
          <w:tcPr>
            <w:tcW w:w="9698" w:type="dxa"/>
            <w:tcBorders>
              <w:top w:val="single" w:sz="5" w:space="0" w:color="000000"/>
              <w:left w:val="single" w:sz="5" w:space="0" w:color="000000"/>
              <w:bottom w:val="double" w:sz="5" w:space="0" w:color="000000"/>
              <w:right w:val="single" w:sz="5" w:space="0" w:color="000000"/>
            </w:tcBorders>
          </w:tcPr>
          <w:p w14:paraId="5C71E3F0" w14:textId="77777777" w:rsidR="00EA590A" w:rsidRPr="009226B7" w:rsidRDefault="00EA590A" w:rsidP="004E10C4">
            <w:pPr>
              <w:pStyle w:val="Default"/>
              <w:spacing w:before="40" w:after="40"/>
              <w:rPr>
                <w:sz w:val="22"/>
                <w:szCs w:val="22"/>
              </w:rPr>
            </w:pPr>
            <w:r w:rsidRPr="009226B7">
              <w:rPr>
                <w:sz w:val="22"/>
                <w:szCs w:val="22"/>
              </w:rPr>
              <w:t xml:space="preserve">Provide an explicit statement of questions being addressed with reference to participants, interventions, comparisons, outcomes, and study design (PICOS). </w:t>
            </w:r>
          </w:p>
        </w:tc>
        <w:tc>
          <w:tcPr>
            <w:tcW w:w="1284" w:type="dxa"/>
            <w:tcBorders>
              <w:top w:val="single" w:sz="5" w:space="0" w:color="000000"/>
              <w:left w:val="single" w:sz="5" w:space="0" w:color="000000"/>
              <w:bottom w:val="double" w:sz="5" w:space="0" w:color="000000"/>
              <w:right w:val="single" w:sz="5" w:space="0" w:color="000000"/>
            </w:tcBorders>
          </w:tcPr>
          <w:p w14:paraId="18426673" w14:textId="77777777" w:rsidR="00EA590A" w:rsidRPr="009226B7" w:rsidRDefault="00EA590A" w:rsidP="004E10C4">
            <w:pPr>
              <w:pStyle w:val="Default"/>
              <w:spacing w:before="40" w:after="40"/>
              <w:rPr>
                <w:color w:val="auto"/>
                <w:sz w:val="22"/>
                <w:szCs w:val="22"/>
              </w:rPr>
            </w:pPr>
            <w:r>
              <w:rPr>
                <w:color w:val="auto"/>
                <w:sz w:val="22"/>
                <w:szCs w:val="22"/>
              </w:rPr>
              <w:t>5</w:t>
            </w:r>
          </w:p>
        </w:tc>
      </w:tr>
      <w:tr w:rsidR="004E10C4" w:rsidRPr="009226B7" w14:paraId="48E17D3A"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4F134FB" w14:textId="77777777" w:rsidR="00EA590A" w:rsidRPr="009226B7" w:rsidRDefault="00EA590A" w:rsidP="004E10C4">
            <w:pPr>
              <w:pStyle w:val="Default"/>
              <w:rPr>
                <w:sz w:val="22"/>
                <w:szCs w:val="22"/>
              </w:rPr>
            </w:pPr>
            <w:r w:rsidRPr="009226B7">
              <w:rPr>
                <w:b/>
                <w:bCs/>
                <w:sz w:val="22"/>
                <w:szCs w:val="22"/>
              </w:rPr>
              <w:t xml:space="preserve">METHODS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048A4E10" w14:textId="77777777" w:rsidR="00EA590A" w:rsidRPr="009226B7" w:rsidRDefault="00EA590A" w:rsidP="004E10C4">
            <w:pPr>
              <w:pStyle w:val="Default"/>
              <w:jc w:val="right"/>
              <w:rPr>
                <w:color w:val="auto"/>
                <w:sz w:val="22"/>
                <w:szCs w:val="22"/>
              </w:rPr>
            </w:pPr>
          </w:p>
        </w:tc>
      </w:tr>
      <w:tr w:rsidR="004E10C4" w:rsidRPr="009226B7" w14:paraId="6C62F12F"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D8DE381" w14:textId="77777777" w:rsidR="00EA590A" w:rsidRPr="009226B7" w:rsidRDefault="00EA590A" w:rsidP="004E10C4">
            <w:pPr>
              <w:pStyle w:val="Default"/>
              <w:spacing w:before="40" w:after="40"/>
              <w:rPr>
                <w:sz w:val="22"/>
                <w:szCs w:val="22"/>
              </w:rPr>
            </w:pPr>
            <w:r w:rsidRPr="009226B7">
              <w:rPr>
                <w:sz w:val="22"/>
                <w:szCs w:val="22"/>
              </w:rPr>
              <w:t xml:space="preserve">Protocol and registration </w:t>
            </w:r>
          </w:p>
        </w:tc>
        <w:tc>
          <w:tcPr>
            <w:tcW w:w="540" w:type="dxa"/>
            <w:tcBorders>
              <w:top w:val="single" w:sz="5" w:space="0" w:color="000000"/>
              <w:left w:val="single" w:sz="5" w:space="0" w:color="000000"/>
              <w:bottom w:val="single" w:sz="5" w:space="0" w:color="000000"/>
              <w:right w:val="single" w:sz="5" w:space="0" w:color="000000"/>
            </w:tcBorders>
          </w:tcPr>
          <w:p w14:paraId="175D7FA4" w14:textId="77777777" w:rsidR="00EA590A" w:rsidRPr="009226B7" w:rsidRDefault="00EA590A" w:rsidP="004E10C4">
            <w:pPr>
              <w:pStyle w:val="Default"/>
              <w:spacing w:before="40" w:after="40"/>
              <w:jc w:val="right"/>
              <w:rPr>
                <w:sz w:val="22"/>
                <w:szCs w:val="22"/>
              </w:rPr>
            </w:pPr>
            <w:r w:rsidRPr="009226B7">
              <w:rPr>
                <w:sz w:val="22"/>
                <w:szCs w:val="22"/>
              </w:rPr>
              <w:t>5</w:t>
            </w:r>
          </w:p>
        </w:tc>
        <w:tc>
          <w:tcPr>
            <w:tcW w:w="9698" w:type="dxa"/>
            <w:tcBorders>
              <w:top w:val="single" w:sz="5" w:space="0" w:color="000000"/>
              <w:left w:val="single" w:sz="5" w:space="0" w:color="000000"/>
              <w:bottom w:val="single" w:sz="5" w:space="0" w:color="000000"/>
              <w:right w:val="single" w:sz="5" w:space="0" w:color="000000"/>
            </w:tcBorders>
          </w:tcPr>
          <w:p w14:paraId="78F67DC2" w14:textId="77777777" w:rsidR="00EA590A" w:rsidRPr="009226B7" w:rsidRDefault="00EA590A" w:rsidP="004E10C4">
            <w:pPr>
              <w:pStyle w:val="Default"/>
              <w:spacing w:before="40" w:after="40"/>
              <w:rPr>
                <w:sz w:val="22"/>
                <w:szCs w:val="22"/>
              </w:rPr>
            </w:pPr>
            <w:r w:rsidRPr="009226B7">
              <w:rPr>
                <w:sz w:val="22"/>
                <w:szCs w:val="22"/>
              </w:rPr>
              <w:t xml:space="preserve">Indicate if a review protocol exists, if and where it can be accessed (e.g., Web address), and, if available, provide registration information including registration number. </w:t>
            </w:r>
          </w:p>
        </w:tc>
        <w:tc>
          <w:tcPr>
            <w:tcW w:w="1284" w:type="dxa"/>
            <w:tcBorders>
              <w:top w:val="single" w:sz="5" w:space="0" w:color="000000"/>
              <w:left w:val="single" w:sz="5" w:space="0" w:color="000000"/>
              <w:bottom w:val="single" w:sz="5" w:space="0" w:color="000000"/>
              <w:right w:val="single" w:sz="5" w:space="0" w:color="000000"/>
            </w:tcBorders>
          </w:tcPr>
          <w:p w14:paraId="23436ABF" w14:textId="77777777" w:rsidR="00EA590A" w:rsidRPr="009226B7" w:rsidRDefault="00EA590A" w:rsidP="004E10C4">
            <w:pPr>
              <w:pStyle w:val="Default"/>
              <w:spacing w:before="40" w:after="40"/>
              <w:rPr>
                <w:color w:val="auto"/>
                <w:sz w:val="22"/>
                <w:szCs w:val="22"/>
              </w:rPr>
            </w:pPr>
            <w:r>
              <w:rPr>
                <w:color w:val="auto"/>
                <w:sz w:val="22"/>
                <w:szCs w:val="22"/>
              </w:rPr>
              <w:t>6</w:t>
            </w:r>
          </w:p>
        </w:tc>
      </w:tr>
      <w:tr w:rsidR="004E10C4" w:rsidRPr="009226B7" w14:paraId="7B621C3C"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2ACB8313" w14:textId="77777777" w:rsidR="00EA590A" w:rsidRPr="009226B7" w:rsidRDefault="00EA590A" w:rsidP="004E10C4">
            <w:pPr>
              <w:pStyle w:val="Default"/>
              <w:spacing w:before="40" w:after="40"/>
              <w:rPr>
                <w:sz w:val="22"/>
                <w:szCs w:val="22"/>
              </w:rPr>
            </w:pPr>
            <w:r w:rsidRPr="009226B7">
              <w:rPr>
                <w:sz w:val="22"/>
                <w:szCs w:val="22"/>
              </w:rPr>
              <w:t xml:space="preserve">Eligibility criteria </w:t>
            </w:r>
          </w:p>
        </w:tc>
        <w:tc>
          <w:tcPr>
            <w:tcW w:w="540" w:type="dxa"/>
            <w:tcBorders>
              <w:top w:val="single" w:sz="5" w:space="0" w:color="000000"/>
              <w:left w:val="single" w:sz="5" w:space="0" w:color="000000"/>
              <w:bottom w:val="single" w:sz="5" w:space="0" w:color="000000"/>
              <w:right w:val="single" w:sz="5" w:space="0" w:color="000000"/>
            </w:tcBorders>
          </w:tcPr>
          <w:p w14:paraId="5C703210" w14:textId="77777777" w:rsidR="00EA590A" w:rsidRPr="009226B7" w:rsidRDefault="00EA590A" w:rsidP="004E10C4">
            <w:pPr>
              <w:pStyle w:val="Default"/>
              <w:spacing w:before="40" w:after="40"/>
              <w:jc w:val="right"/>
              <w:rPr>
                <w:sz w:val="22"/>
                <w:szCs w:val="22"/>
              </w:rPr>
            </w:pPr>
            <w:r w:rsidRPr="009226B7">
              <w:rPr>
                <w:sz w:val="22"/>
                <w:szCs w:val="22"/>
              </w:rPr>
              <w:t>6</w:t>
            </w:r>
          </w:p>
        </w:tc>
        <w:tc>
          <w:tcPr>
            <w:tcW w:w="9698" w:type="dxa"/>
            <w:tcBorders>
              <w:top w:val="single" w:sz="5" w:space="0" w:color="000000"/>
              <w:left w:val="single" w:sz="5" w:space="0" w:color="000000"/>
              <w:bottom w:val="single" w:sz="5" w:space="0" w:color="000000"/>
              <w:right w:val="single" w:sz="5" w:space="0" w:color="000000"/>
            </w:tcBorders>
          </w:tcPr>
          <w:p w14:paraId="573D7890" w14:textId="77777777" w:rsidR="00EA590A" w:rsidRPr="009226B7" w:rsidRDefault="00EA590A" w:rsidP="004E10C4">
            <w:pPr>
              <w:pStyle w:val="Default"/>
              <w:spacing w:before="40" w:after="40"/>
              <w:rPr>
                <w:sz w:val="22"/>
                <w:szCs w:val="22"/>
              </w:rPr>
            </w:pPr>
            <w:r w:rsidRPr="009226B7">
              <w:rPr>
                <w:sz w:val="22"/>
                <w:szCs w:val="22"/>
              </w:rPr>
              <w:t xml:space="preserve">Specify study characteristics (e.g., PICOS, length of follow-up) and report characteristics (e.g., years considered, language, publication status) used as criteria for eligibility, giving rationale. </w:t>
            </w:r>
          </w:p>
        </w:tc>
        <w:tc>
          <w:tcPr>
            <w:tcW w:w="1284" w:type="dxa"/>
            <w:tcBorders>
              <w:top w:val="single" w:sz="5" w:space="0" w:color="000000"/>
              <w:left w:val="single" w:sz="5" w:space="0" w:color="000000"/>
              <w:bottom w:val="single" w:sz="5" w:space="0" w:color="000000"/>
              <w:right w:val="single" w:sz="5" w:space="0" w:color="000000"/>
            </w:tcBorders>
          </w:tcPr>
          <w:p w14:paraId="6C47039A" w14:textId="77777777" w:rsidR="00EA590A" w:rsidRPr="009226B7" w:rsidRDefault="00EA590A" w:rsidP="004E10C4">
            <w:pPr>
              <w:pStyle w:val="Default"/>
              <w:spacing w:before="40" w:after="40"/>
              <w:rPr>
                <w:color w:val="auto"/>
                <w:sz w:val="22"/>
                <w:szCs w:val="22"/>
              </w:rPr>
            </w:pPr>
            <w:r>
              <w:rPr>
                <w:color w:val="auto"/>
                <w:sz w:val="22"/>
                <w:szCs w:val="22"/>
              </w:rPr>
              <w:t>6</w:t>
            </w:r>
          </w:p>
        </w:tc>
      </w:tr>
      <w:tr w:rsidR="004E10C4" w:rsidRPr="009226B7" w14:paraId="52D686E5"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7DE21C35" w14:textId="77777777" w:rsidR="00EA590A" w:rsidRPr="009226B7" w:rsidRDefault="00EA590A" w:rsidP="004E10C4">
            <w:pPr>
              <w:pStyle w:val="Default"/>
              <w:spacing w:before="40" w:after="40"/>
              <w:rPr>
                <w:sz w:val="22"/>
                <w:szCs w:val="22"/>
              </w:rPr>
            </w:pPr>
            <w:r w:rsidRPr="009226B7">
              <w:rPr>
                <w:sz w:val="22"/>
                <w:szCs w:val="22"/>
              </w:rPr>
              <w:t xml:space="preserve">Information sources </w:t>
            </w:r>
          </w:p>
        </w:tc>
        <w:tc>
          <w:tcPr>
            <w:tcW w:w="540" w:type="dxa"/>
            <w:tcBorders>
              <w:top w:val="single" w:sz="5" w:space="0" w:color="000000"/>
              <w:left w:val="single" w:sz="5" w:space="0" w:color="000000"/>
              <w:bottom w:val="single" w:sz="5" w:space="0" w:color="000000"/>
              <w:right w:val="single" w:sz="5" w:space="0" w:color="000000"/>
            </w:tcBorders>
          </w:tcPr>
          <w:p w14:paraId="66612B8A" w14:textId="77777777" w:rsidR="00EA590A" w:rsidRPr="009226B7" w:rsidRDefault="00EA590A" w:rsidP="004E10C4">
            <w:pPr>
              <w:pStyle w:val="Default"/>
              <w:spacing w:before="40" w:after="40"/>
              <w:jc w:val="right"/>
              <w:rPr>
                <w:sz w:val="22"/>
                <w:szCs w:val="22"/>
              </w:rPr>
            </w:pPr>
            <w:r w:rsidRPr="009226B7">
              <w:rPr>
                <w:sz w:val="22"/>
                <w:szCs w:val="22"/>
              </w:rPr>
              <w:t>7</w:t>
            </w:r>
          </w:p>
        </w:tc>
        <w:tc>
          <w:tcPr>
            <w:tcW w:w="9698" w:type="dxa"/>
            <w:tcBorders>
              <w:top w:val="single" w:sz="5" w:space="0" w:color="000000"/>
              <w:left w:val="single" w:sz="5" w:space="0" w:color="000000"/>
              <w:bottom w:val="single" w:sz="5" w:space="0" w:color="000000"/>
              <w:right w:val="single" w:sz="5" w:space="0" w:color="000000"/>
            </w:tcBorders>
          </w:tcPr>
          <w:p w14:paraId="38D04AF0" w14:textId="77777777" w:rsidR="00EA590A" w:rsidRPr="009226B7" w:rsidRDefault="00EA590A" w:rsidP="004E10C4">
            <w:pPr>
              <w:pStyle w:val="Default"/>
              <w:spacing w:before="40" w:after="40"/>
              <w:rPr>
                <w:sz w:val="22"/>
                <w:szCs w:val="22"/>
              </w:rPr>
            </w:pPr>
            <w:r w:rsidRPr="009226B7">
              <w:rPr>
                <w:sz w:val="22"/>
                <w:szCs w:val="22"/>
              </w:rPr>
              <w:t xml:space="preserve">Describe all information sources (e.g., databases with dates of coverage, contact with study authors to identify additional studies) in the search and date last searched. </w:t>
            </w:r>
          </w:p>
        </w:tc>
        <w:tc>
          <w:tcPr>
            <w:tcW w:w="1284" w:type="dxa"/>
            <w:tcBorders>
              <w:top w:val="single" w:sz="5" w:space="0" w:color="000000"/>
              <w:left w:val="single" w:sz="5" w:space="0" w:color="000000"/>
              <w:bottom w:val="single" w:sz="5" w:space="0" w:color="000000"/>
              <w:right w:val="single" w:sz="5" w:space="0" w:color="000000"/>
            </w:tcBorders>
          </w:tcPr>
          <w:p w14:paraId="29D7B20E" w14:textId="77777777" w:rsidR="00EA590A" w:rsidRPr="009226B7" w:rsidRDefault="00EA590A" w:rsidP="004E10C4">
            <w:pPr>
              <w:pStyle w:val="Default"/>
              <w:spacing w:before="40" w:after="40"/>
              <w:rPr>
                <w:color w:val="auto"/>
                <w:sz w:val="22"/>
                <w:szCs w:val="22"/>
              </w:rPr>
            </w:pPr>
            <w:r>
              <w:rPr>
                <w:color w:val="auto"/>
                <w:sz w:val="22"/>
                <w:szCs w:val="22"/>
              </w:rPr>
              <w:t>6-7</w:t>
            </w:r>
          </w:p>
        </w:tc>
      </w:tr>
      <w:tr w:rsidR="004E10C4" w:rsidRPr="009226B7" w14:paraId="59EE71EC"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B01E7CB" w14:textId="77777777" w:rsidR="00EA590A" w:rsidRPr="009226B7" w:rsidRDefault="00EA590A" w:rsidP="004E10C4">
            <w:pPr>
              <w:pStyle w:val="Default"/>
              <w:spacing w:before="40" w:after="40"/>
              <w:rPr>
                <w:sz w:val="22"/>
                <w:szCs w:val="22"/>
              </w:rPr>
            </w:pPr>
            <w:r w:rsidRPr="009226B7">
              <w:rPr>
                <w:sz w:val="22"/>
                <w:szCs w:val="22"/>
              </w:rPr>
              <w:t xml:space="preserve">Search </w:t>
            </w:r>
          </w:p>
        </w:tc>
        <w:tc>
          <w:tcPr>
            <w:tcW w:w="540" w:type="dxa"/>
            <w:tcBorders>
              <w:top w:val="single" w:sz="5" w:space="0" w:color="000000"/>
              <w:left w:val="single" w:sz="5" w:space="0" w:color="000000"/>
              <w:bottom w:val="single" w:sz="5" w:space="0" w:color="000000"/>
              <w:right w:val="single" w:sz="5" w:space="0" w:color="000000"/>
            </w:tcBorders>
          </w:tcPr>
          <w:p w14:paraId="63262019" w14:textId="77777777" w:rsidR="00EA590A" w:rsidRPr="009226B7" w:rsidRDefault="00EA590A" w:rsidP="004E10C4">
            <w:pPr>
              <w:pStyle w:val="Default"/>
              <w:spacing w:before="40" w:after="40"/>
              <w:jc w:val="right"/>
              <w:rPr>
                <w:sz w:val="22"/>
                <w:szCs w:val="22"/>
              </w:rPr>
            </w:pPr>
            <w:r w:rsidRPr="009226B7">
              <w:rPr>
                <w:sz w:val="22"/>
                <w:szCs w:val="22"/>
              </w:rPr>
              <w:t>8</w:t>
            </w:r>
          </w:p>
        </w:tc>
        <w:tc>
          <w:tcPr>
            <w:tcW w:w="9698" w:type="dxa"/>
            <w:tcBorders>
              <w:top w:val="single" w:sz="5" w:space="0" w:color="000000"/>
              <w:left w:val="single" w:sz="5" w:space="0" w:color="000000"/>
              <w:bottom w:val="single" w:sz="5" w:space="0" w:color="000000"/>
              <w:right w:val="single" w:sz="5" w:space="0" w:color="000000"/>
            </w:tcBorders>
          </w:tcPr>
          <w:p w14:paraId="48AA589E" w14:textId="77777777" w:rsidR="00EA590A" w:rsidRPr="009226B7" w:rsidRDefault="00EA590A" w:rsidP="004E10C4">
            <w:pPr>
              <w:pStyle w:val="Default"/>
              <w:spacing w:before="40" w:after="40"/>
              <w:rPr>
                <w:sz w:val="22"/>
                <w:szCs w:val="22"/>
              </w:rPr>
            </w:pPr>
            <w:r w:rsidRPr="009226B7">
              <w:rPr>
                <w:sz w:val="22"/>
                <w:szCs w:val="22"/>
              </w:rPr>
              <w:t xml:space="preserve">Present full electronic search strategy for at least one database, including any limits used, such that it could be repeated. </w:t>
            </w:r>
          </w:p>
        </w:tc>
        <w:tc>
          <w:tcPr>
            <w:tcW w:w="1284" w:type="dxa"/>
            <w:tcBorders>
              <w:top w:val="single" w:sz="5" w:space="0" w:color="000000"/>
              <w:left w:val="single" w:sz="5" w:space="0" w:color="000000"/>
              <w:bottom w:val="single" w:sz="5" w:space="0" w:color="000000"/>
              <w:right w:val="single" w:sz="5" w:space="0" w:color="000000"/>
            </w:tcBorders>
          </w:tcPr>
          <w:p w14:paraId="4A1670B3" w14:textId="77777777" w:rsidR="00EA590A" w:rsidRPr="009226B7" w:rsidRDefault="00EA590A" w:rsidP="004E10C4">
            <w:pPr>
              <w:pStyle w:val="Default"/>
              <w:spacing w:before="40" w:after="40"/>
              <w:rPr>
                <w:color w:val="auto"/>
                <w:sz w:val="22"/>
                <w:szCs w:val="22"/>
              </w:rPr>
            </w:pPr>
            <w:r>
              <w:rPr>
                <w:color w:val="auto"/>
                <w:sz w:val="22"/>
                <w:szCs w:val="22"/>
              </w:rPr>
              <w:t>6, supplement</w:t>
            </w:r>
          </w:p>
        </w:tc>
      </w:tr>
      <w:tr w:rsidR="004E10C4" w:rsidRPr="009226B7" w14:paraId="205E673D"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2B953DFB" w14:textId="77777777" w:rsidR="00EA590A" w:rsidRPr="009226B7" w:rsidRDefault="00EA590A" w:rsidP="004E10C4">
            <w:pPr>
              <w:pStyle w:val="Default"/>
              <w:spacing w:before="40" w:after="40"/>
              <w:rPr>
                <w:sz w:val="22"/>
                <w:szCs w:val="22"/>
              </w:rPr>
            </w:pPr>
            <w:r w:rsidRPr="009226B7">
              <w:rPr>
                <w:sz w:val="22"/>
                <w:szCs w:val="22"/>
              </w:rPr>
              <w:t xml:space="preserve">Study selection </w:t>
            </w:r>
          </w:p>
        </w:tc>
        <w:tc>
          <w:tcPr>
            <w:tcW w:w="540" w:type="dxa"/>
            <w:tcBorders>
              <w:top w:val="single" w:sz="5" w:space="0" w:color="000000"/>
              <w:left w:val="single" w:sz="5" w:space="0" w:color="000000"/>
              <w:bottom w:val="single" w:sz="5" w:space="0" w:color="000000"/>
              <w:right w:val="single" w:sz="5" w:space="0" w:color="000000"/>
            </w:tcBorders>
          </w:tcPr>
          <w:p w14:paraId="17779875" w14:textId="77777777" w:rsidR="00EA590A" w:rsidRPr="009226B7" w:rsidRDefault="00EA590A" w:rsidP="004E10C4">
            <w:pPr>
              <w:pStyle w:val="Default"/>
              <w:spacing w:before="40" w:after="40"/>
              <w:jc w:val="right"/>
              <w:rPr>
                <w:sz w:val="22"/>
                <w:szCs w:val="22"/>
              </w:rPr>
            </w:pPr>
            <w:r w:rsidRPr="009226B7">
              <w:rPr>
                <w:sz w:val="22"/>
                <w:szCs w:val="22"/>
              </w:rPr>
              <w:t>9</w:t>
            </w:r>
          </w:p>
        </w:tc>
        <w:tc>
          <w:tcPr>
            <w:tcW w:w="9698" w:type="dxa"/>
            <w:tcBorders>
              <w:top w:val="single" w:sz="5" w:space="0" w:color="000000"/>
              <w:left w:val="single" w:sz="5" w:space="0" w:color="000000"/>
              <w:bottom w:val="single" w:sz="5" w:space="0" w:color="000000"/>
              <w:right w:val="single" w:sz="5" w:space="0" w:color="000000"/>
            </w:tcBorders>
          </w:tcPr>
          <w:p w14:paraId="622084E9" w14:textId="77777777" w:rsidR="00EA590A" w:rsidRPr="009226B7" w:rsidRDefault="00EA590A" w:rsidP="004E10C4">
            <w:pPr>
              <w:pStyle w:val="Default"/>
              <w:spacing w:before="40" w:after="40"/>
              <w:rPr>
                <w:sz w:val="22"/>
                <w:szCs w:val="22"/>
              </w:rPr>
            </w:pPr>
            <w:r w:rsidRPr="009226B7">
              <w:rPr>
                <w:sz w:val="22"/>
                <w:szCs w:val="22"/>
              </w:rPr>
              <w:t xml:space="preserve">State the process for selecting studies (i.e., screening, eligibility, included in systematic review, and, if applicable, included in the meta-analysis). </w:t>
            </w:r>
          </w:p>
        </w:tc>
        <w:tc>
          <w:tcPr>
            <w:tcW w:w="1284" w:type="dxa"/>
            <w:tcBorders>
              <w:top w:val="single" w:sz="5" w:space="0" w:color="000000"/>
              <w:left w:val="single" w:sz="5" w:space="0" w:color="000000"/>
              <w:bottom w:val="single" w:sz="5" w:space="0" w:color="000000"/>
              <w:right w:val="single" w:sz="5" w:space="0" w:color="000000"/>
            </w:tcBorders>
          </w:tcPr>
          <w:p w14:paraId="1497D8A1" w14:textId="77777777" w:rsidR="00EA590A" w:rsidRPr="009226B7" w:rsidRDefault="00EA590A" w:rsidP="004E10C4">
            <w:pPr>
              <w:pStyle w:val="Default"/>
              <w:spacing w:before="40" w:after="40"/>
              <w:rPr>
                <w:color w:val="auto"/>
                <w:sz w:val="22"/>
                <w:szCs w:val="22"/>
              </w:rPr>
            </w:pPr>
            <w:r>
              <w:rPr>
                <w:color w:val="auto"/>
                <w:sz w:val="22"/>
                <w:szCs w:val="22"/>
              </w:rPr>
              <w:t>6-7</w:t>
            </w:r>
          </w:p>
        </w:tc>
      </w:tr>
      <w:tr w:rsidR="004E10C4" w:rsidRPr="009226B7" w14:paraId="5EBACE9E"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60AB6553" w14:textId="77777777" w:rsidR="00EA590A" w:rsidRPr="009226B7" w:rsidRDefault="00EA590A" w:rsidP="004E10C4">
            <w:pPr>
              <w:pStyle w:val="Default"/>
              <w:spacing w:before="40" w:after="40"/>
              <w:rPr>
                <w:sz w:val="22"/>
                <w:szCs w:val="22"/>
              </w:rPr>
            </w:pPr>
            <w:r w:rsidRPr="009226B7">
              <w:rPr>
                <w:sz w:val="22"/>
                <w:szCs w:val="22"/>
              </w:rPr>
              <w:t xml:space="preserve">Data collection process </w:t>
            </w:r>
          </w:p>
        </w:tc>
        <w:tc>
          <w:tcPr>
            <w:tcW w:w="540" w:type="dxa"/>
            <w:tcBorders>
              <w:top w:val="single" w:sz="5" w:space="0" w:color="000000"/>
              <w:left w:val="single" w:sz="5" w:space="0" w:color="000000"/>
              <w:bottom w:val="single" w:sz="5" w:space="0" w:color="000000"/>
              <w:right w:val="single" w:sz="5" w:space="0" w:color="000000"/>
            </w:tcBorders>
          </w:tcPr>
          <w:p w14:paraId="2A5B1D03" w14:textId="77777777" w:rsidR="00EA590A" w:rsidRPr="009226B7" w:rsidRDefault="00EA590A" w:rsidP="004E10C4">
            <w:pPr>
              <w:pStyle w:val="Default"/>
              <w:spacing w:before="40" w:after="40"/>
              <w:jc w:val="right"/>
              <w:rPr>
                <w:sz w:val="22"/>
                <w:szCs w:val="22"/>
              </w:rPr>
            </w:pPr>
            <w:r w:rsidRPr="009226B7">
              <w:rPr>
                <w:sz w:val="22"/>
                <w:szCs w:val="22"/>
              </w:rPr>
              <w:t>10</w:t>
            </w:r>
          </w:p>
        </w:tc>
        <w:tc>
          <w:tcPr>
            <w:tcW w:w="9698" w:type="dxa"/>
            <w:tcBorders>
              <w:top w:val="single" w:sz="5" w:space="0" w:color="000000"/>
              <w:left w:val="single" w:sz="5" w:space="0" w:color="000000"/>
              <w:bottom w:val="single" w:sz="5" w:space="0" w:color="000000"/>
              <w:right w:val="single" w:sz="5" w:space="0" w:color="000000"/>
            </w:tcBorders>
          </w:tcPr>
          <w:p w14:paraId="0474B93C" w14:textId="77777777" w:rsidR="00EA590A" w:rsidRPr="009226B7" w:rsidRDefault="00EA590A" w:rsidP="004E10C4">
            <w:pPr>
              <w:pStyle w:val="Default"/>
              <w:spacing w:before="40" w:after="40"/>
              <w:rPr>
                <w:sz w:val="22"/>
                <w:szCs w:val="22"/>
              </w:rPr>
            </w:pPr>
            <w:r w:rsidRPr="009226B7">
              <w:rPr>
                <w:sz w:val="22"/>
                <w:szCs w:val="22"/>
              </w:rPr>
              <w:t xml:space="preserve">Describe method of data extraction from reports (e.g., piloted forms, independently, in duplicate) and any processes for obtaining and confirming data from investigators. </w:t>
            </w:r>
          </w:p>
        </w:tc>
        <w:tc>
          <w:tcPr>
            <w:tcW w:w="1284" w:type="dxa"/>
            <w:tcBorders>
              <w:top w:val="single" w:sz="5" w:space="0" w:color="000000"/>
              <w:left w:val="single" w:sz="5" w:space="0" w:color="000000"/>
              <w:bottom w:val="single" w:sz="5" w:space="0" w:color="000000"/>
              <w:right w:val="single" w:sz="5" w:space="0" w:color="000000"/>
            </w:tcBorders>
          </w:tcPr>
          <w:p w14:paraId="0CF2EEAB" w14:textId="77777777" w:rsidR="00EA590A" w:rsidRPr="009226B7" w:rsidRDefault="00EA590A" w:rsidP="004E10C4">
            <w:pPr>
              <w:pStyle w:val="Default"/>
              <w:spacing w:before="40" w:after="40"/>
              <w:rPr>
                <w:color w:val="auto"/>
                <w:sz w:val="22"/>
                <w:szCs w:val="22"/>
              </w:rPr>
            </w:pPr>
            <w:r>
              <w:rPr>
                <w:color w:val="auto"/>
                <w:sz w:val="22"/>
                <w:szCs w:val="22"/>
              </w:rPr>
              <w:t>6-7</w:t>
            </w:r>
          </w:p>
        </w:tc>
      </w:tr>
      <w:tr w:rsidR="004E10C4" w:rsidRPr="009226B7" w14:paraId="0E167662"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3F955B97" w14:textId="77777777" w:rsidR="00EA590A" w:rsidRPr="009226B7" w:rsidRDefault="00EA590A" w:rsidP="004E10C4">
            <w:pPr>
              <w:pStyle w:val="Default"/>
              <w:spacing w:before="40" w:after="40"/>
              <w:rPr>
                <w:sz w:val="22"/>
                <w:szCs w:val="22"/>
              </w:rPr>
            </w:pPr>
            <w:r w:rsidRPr="009226B7">
              <w:rPr>
                <w:sz w:val="22"/>
                <w:szCs w:val="22"/>
              </w:rPr>
              <w:lastRenderedPageBreak/>
              <w:t xml:space="preserve">Data items </w:t>
            </w:r>
          </w:p>
        </w:tc>
        <w:tc>
          <w:tcPr>
            <w:tcW w:w="540" w:type="dxa"/>
            <w:tcBorders>
              <w:top w:val="single" w:sz="5" w:space="0" w:color="000000"/>
              <w:left w:val="single" w:sz="5" w:space="0" w:color="000000"/>
              <w:bottom w:val="single" w:sz="5" w:space="0" w:color="000000"/>
              <w:right w:val="single" w:sz="5" w:space="0" w:color="000000"/>
            </w:tcBorders>
          </w:tcPr>
          <w:p w14:paraId="5FE781AD" w14:textId="77777777" w:rsidR="00EA590A" w:rsidRPr="009226B7" w:rsidRDefault="00EA590A" w:rsidP="004E10C4">
            <w:pPr>
              <w:pStyle w:val="Default"/>
              <w:spacing w:before="40" w:after="40"/>
              <w:jc w:val="right"/>
              <w:rPr>
                <w:sz w:val="22"/>
                <w:szCs w:val="22"/>
              </w:rPr>
            </w:pPr>
            <w:r w:rsidRPr="009226B7">
              <w:rPr>
                <w:sz w:val="22"/>
                <w:szCs w:val="22"/>
              </w:rPr>
              <w:t>11</w:t>
            </w:r>
          </w:p>
        </w:tc>
        <w:tc>
          <w:tcPr>
            <w:tcW w:w="9698" w:type="dxa"/>
            <w:tcBorders>
              <w:top w:val="single" w:sz="5" w:space="0" w:color="000000"/>
              <w:left w:val="single" w:sz="5" w:space="0" w:color="000000"/>
              <w:bottom w:val="single" w:sz="5" w:space="0" w:color="000000"/>
              <w:right w:val="single" w:sz="5" w:space="0" w:color="000000"/>
            </w:tcBorders>
          </w:tcPr>
          <w:p w14:paraId="4F66B12C" w14:textId="77777777" w:rsidR="00EA590A" w:rsidRPr="009226B7" w:rsidRDefault="00EA590A" w:rsidP="004E10C4">
            <w:pPr>
              <w:pStyle w:val="Default"/>
              <w:spacing w:before="40" w:after="40"/>
              <w:rPr>
                <w:sz w:val="22"/>
                <w:szCs w:val="22"/>
              </w:rPr>
            </w:pPr>
            <w:r w:rsidRPr="009226B7">
              <w:rPr>
                <w:sz w:val="22"/>
                <w:szCs w:val="22"/>
              </w:rPr>
              <w:t xml:space="preserve">List and define all variables for which data were sought (e.g., PICOS, funding sources) and any assumptions and simplifications made. </w:t>
            </w:r>
          </w:p>
        </w:tc>
        <w:tc>
          <w:tcPr>
            <w:tcW w:w="1284" w:type="dxa"/>
            <w:tcBorders>
              <w:top w:val="single" w:sz="5" w:space="0" w:color="000000"/>
              <w:left w:val="single" w:sz="5" w:space="0" w:color="000000"/>
              <w:bottom w:val="single" w:sz="5" w:space="0" w:color="000000"/>
              <w:right w:val="single" w:sz="5" w:space="0" w:color="000000"/>
            </w:tcBorders>
          </w:tcPr>
          <w:p w14:paraId="31A7D155" w14:textId="77777777" w:rsidR="00EA590A" w:rsidRPr="009226B7" w:rsidRDefault="00EA590A" w:rsidP="004E10C4">
            <w:pPr>
              <w:pStyle w:val="Default"/>
              <w:spacing w:before="40" w:after="40"/>
              <w:rPr>
                <w:color w:val="auto"/>
                <w:sz w:val="22"/>
                <w:szCs w:val="22"/>
              </w:rPr>
            </w:pPr>
            <w:r>
              <w:rPr>
                <w:color w:val="auto"/>
                <w:sz w:val="22"/>
                <w:szCs w:val="22"/>
              </w:rPr>
              <w:t>6-7</w:t>
            </w:r>
          </w:p>
        </w:tc>
      </w:tr>
      <w:tr w:rsidR="004E10C4" w:rsidRPr="009226B7" w14:paraId="58E48100"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EC8528A" w14:textId="77777777" w:rsidR="00EA590A" w:rsidRPr="009226B7" w:rsidRDefault="00EA590A" w:rsidP="004E10C4">
            <w:pPr>
              <w:pStyle w:val="Default"/>
              <w:spacing w:before="40" w:after="40"/>
              <w:rPr>
                <w:sz w:val="22"/>
                <w:szCs w:val="22"/>
              </w:rPr>
            </w:pPr>
            <w:r w:rsidRPr="009226B7">
              <w:rPr>
                <w:sz w:val="22"/>
                <w:szCs w:val="22"/>
              </w:rPr>
              <w:t xml:space="preserve">Risk of bias in individual studies </w:t>
            </w:r>
          </w:p>
        </w:tc>
        <w:tc>
          <w:tcPr>
            <w:tcW w:w="540" w:type="dxa"/>
            <w:tcBorders>
              <w:top w:val="single" w:sz="5" w:space="0" w:color="000000"/>
              <w:left w:val="single" w:sz="5" w:space="0" w:color="000000"/>
              <w:bottom w:val="single" w:sz="5" w:space="0" w:color="000000"/>
              <w:right w:val="single" w:sz="5" w:space="0" w:color="000000"/>
            </w:tcBorders>
          </w:tcPr>
          <w:p w14:paraId="36132FCE" w14:textId="77777777" w:rsidR="00EA590A" w:rsidRPr="009226B7" w:rsidRDefault="00EA590A" w:rsidP="004E10C4">
            <w:pPr>
              <w:pStyle w:val="Default"/>
              <w:spacing w:before="40" w:after="40"/>
              <w:jc w:val="right"/>
              <w:rPr>
                <w:sz w:val="22"/>
                <w:szCs w:val="22"/>
              </w:rPr>
            </w:pPr>
            <w:r w:rsidRPr="009226B7">
              <w:rPr>
                <w:sz w:val="22"/>
                <w:szCs w:val="22"/>
              </w:rPr>
              <w:t>12</w:t>
            </w:r>
          </w:p>
        </w:tc>
        <w:tc>
          <w:tcPr>
            <w:tcW w:w="9698" w:type="dxa"/>
            <w:tcBorders>
              <w:top w:val="single" w:sz="5" w:space="0" w:color="000000"/>
              <w:left w:val="single" w:sz="5" w:space="0" w:color="000000"/>
              <w:bottom w:val="single" w:sz="5" w:space="0" w:color="000000"/>
              <w:right w:val="single" w:sz="5" w:space="0" w:color="000000"/>
            </w:tcBorders>
          </w:tcPr>
          <w:p w14:paraId="191DCA1B" w14:textId="77777777" w:rsidR="00EA590A" w:rsidRPr="009226B7" w:rsidRDefault="00EA590A" w:rsidP="004E10C4">
            <w:pPr>
              <w:pStyle w:val="Default"/>
              <w:spacing w:before="40" w:after="40"/>
              <w:rPr>
                <w:sz w:val="22"/>
                <w:szCs w:val="22"/>
              </w:rPr>
            </w:pPr>
            <w:r w:rsidRPr="009226B7">
              <w:rPr>
                <w:sz w:val="22"/>
                <w:szCs w:val="22"/>
              </w:rPr>
              <w:t xml:space="preserve">Describe methods used for assessing risk of bias of individual studies (including specification of whether this was done at the study or outcome level), and how this information is to be used in any data synthesis. </w:t>
            </w:r>
          </w:p>
        </w:tc>
        <w:tc>
          <w:tcPr>
            <w:tcW w:w="1284" w:type="dxa"/>
            <w:tcBorders>
              <w:top w:val="single" w:sz="5" w:space="0" w:color="000000"/>
              <w:left w:val="single" w:sz="5" w:space="0" w:color="000000"/>
              <w:bottom w:val="single" w:sz="5" w:space="0" w:color="000000"/>
              <w:right w:val="single" w:sz="5" w:space="0" w:color="000000"/>
            </w:tcBorders>
          </w:tcPr>
          <w:p w14:paraId="26DF203D" w14:textId="77777777" w:rsidR="00EA590A" w:rsidRPr="009226B7" w:rsidRDefault="00EA590A" w:rsidP="004E10C4">
            <w:pPr>
              <w:pStyle w:val="Default"/>
              <w:spacing w:before="40" w:after="40"/>
              <w:rPr>
                <w:color w:val="auto"/>
                <w:sz w:val="22"/>
                <w:szCs w:val="22"/>
              </w:rPr>
            </w:pPr>
            <w:r>
              <w:rPr>
                <w:color w:val="auto"/>
                <w:sz w:val="22"/>
                <w:szCs w:val="22"/>
              </w:rPr>
              <w:t>7</w:t>
            </w:r>
          </w:p>
        </w:tc>
      </w:tr>
      <w:tr w:rsidR="004E10C4" w:rsidRPr="009226B7" w14:paraId="7E731635" w14:textId="77777777" w:rsidTr="004E10C4">
        <w:trPr>
          <w:trHeight w:val="333"/>
        </w:trPr>
        <w:tc>
          <w:tcPr>
            <w:tcW w:w="2797" w:type="dxa"/>
            <w:tcBorders>
              <w:top w:val="single" w:sz="5" w:space="0" w:color="000000"/>
              <w:left w:val="single" w:sz="5" w:space="0" w:color="000000"/>
              <w:bottom w:val="single" w:sz="5" w:space="0" w:color="000000"/>
              <w:right w:val="single" w:sz="5" w:space="0" w:color="000000"/>
            </w:tcBorders>
          </w:tcPr>
          <w:p w14:paraId="5135C9B8" w14:textId="77777777" w:rsidR="00EA590A" w:rsidRPr="009226B7" w:rsidRDefault="00EA590A" w:rsidP="004E10C4">
            <w:pPr>
              <w:pStyle w:val="Default"/>
              <w:spacing w:before="40" w:after="40"/>
              <w:rPr>
                <w:sz w:val="22"/>
                <w:szCs w:val="22"/>
              </w:rPr>
            </w:pPr>
            <w:r w:rsidRPr="009226B7">
              <w:rPr>
                <w:sz w:val="22"/>
                <w:szCs w:val="22"/>
              </w:rPr>
              <w:t xml:space="preserve">Summary measures </w:t>
            </w:r>
          </w:p>
        </w:tc>
        <w:tc>
          <w:tcPr>
            <w:tcW w:w="540" w:type="dxa"/>
            <w:tcBorders>
              <w:top w:val="single" w:sz="5" w:space="0" w:color="000000"/>
              <w:left w:val="single" w:sz="5" w:space="0" w:color="000000"/>
              <w:bottom w:val="single" w:sz="5" w:space="0" w:color="000000"/>
              <w:right w:val="single" w:sz="5" w:space="0" w:color="000000"/>
            </w:tcBorders>
          </w:tcPr>
          <w:p w14:paraId="17888731" w14:textId="77777777" w:rsidR="00EA590A" w:rsidRPr="009226B7" w:rsidRDefault="00EA590A" w:rsidP="004E10C4">
            <w:pPr>
              <w:pStyle w:val="Default"/>
              <w:spacing w:before="40" w:after="40"/>
              <w:jc w:val="right"/>
              <w:rPr>
                <w:sz w:val="22"/>
                <w:szCs w:val="22"/>
              </w:rPr>
            </w:pPr>
            <w:r w:rsidRPr="009226B7">
              <w:rPr>
                <w:sz w:val="22"/>
                <w:szCs w:val="22"/>
              </w:rPr>
              <w:t>13</w:t>
            </w:r>
          </w:p>
        </w:tc>
        <w:tc>
          <w:tcPr>
            <w:tcW w:w="9698" w:type="dxa"/>
            <w:tcBorders>
              <w:top w:val="single" w:sz="5" w:space="0" w:color="000000"/>
              <w:left w:val="single" w:sz="5" w:space="0" w:color="000000"/>
              <w:bottom w:val="single" w:sz="5" w:space="0" w:color="000000"/>
              <w:right w:val="single" w:sz="5" w:space="0" w:color="000000"/>
            </w:tcBorders>
          </w:tcPr>
          <w:p w14:paraId="6BB71321" w14:textId="77777777" w:rsidR="00EA590A" w:rsidRPr="009226B7" w:rsidRDefault="00EA590A" w:rsidP="004E10C4">
            <w:pPr>
              <w:pStyle w:val="Default"/>
              <w:spacing w:before="40" w:after="40"/>
              <w:rPr>
                <w:sz w:val="22"/>
                <w:szCs w:val="22"/>
              </w:rPr>
            </w:pPr>
            <w:r w:rsidRPr="009226B7">
              <w:rPr>
                <w:sz w:val="22"/>
                <w:szCs w:val="22"/>
              </w:rPr>
              <w:t xml:space="preserve">State the principal summary measures (e.g., risk ratio, difference in means). </w:t>
            </w:r>
          </w:p>
        </w:tc>
        <w:tc>
          <w:tcPr>
            <w:tcW w:w="1284" w:type="dxa"/>
            <w:tcBorders>
              <w:top w:val="single" w:sz="5" w:space="0" w:color="000000"/>
              <w:left w:val="single" w:sz="5" w:space="0" w:color="000000"/>
              <w:bottom w:val="single" w:sz="5" w:space="0" w:color="000000"/>
              <w:right w:val="single" w:sz="5" w:space="0" w:color="000000"/>
            </w:tcBorders>
          </w:tcPr>
          <w:p w14:paraId="6965B8E5" w14:textId="77777777" w:rsidR="00EA590A" w:rsidRPr="009226B7" w:rsidRDefault="00EA590A" w:rsidP="004E10C4">
            <w:pPr>
              <w:pStyle w:val="Default"/>
              <w:spacing w:before="40" w:after="40"/>
              <w:rPr>
                <w:color w:val="auto"/>
                <w:sz w:val="22"/>
                <w:szCs w:val="22"/>
              </w:rPr>
            </w:pPr>
            <w:r>
              <w:rPr>
                <w:color w:val="auto"/>
                <w:sz w:val="22"/>
                <w:szCs w:val="22"/>
              </w:rPr>
              <w:t>7-8</w:t>
            </w:r>
          </w:p>
        </w:tc>
      </w:tr>
      <w:tr w:rsidR="004E10C4" w:rsidRPr="009226B7" w14:paraId="685B2BDD" w14:textId="77777777" w:rsidTr="004E10C4">
        <w:trPr>
          <w:trHeight w:val="580"/>
        </w:trPr>
        <w:tc>
          <w:tcPr>
            <w:tcW w:w="2797" w:type="dxa"/>
            <w:tcBorders>
              <w:top w:val="single" w:sz="5" w:space="0" w:color="000000"/>
              <w:left w:val="single" w:sz="5" w:space="0" w:color="000000"/>
              <w:bottom w:val="single" w:sz="5" w:space="0" w:color="000000"/>
              <w:right w:val="single" w:sz="5" w:space="0" w:color="000000"/>
            </w:tcBorders>
          </w:tcPr>
          <w:p w14:paraId="2027FA79" w14:textId="77777777" w:rsidR="00EA590A" w:rsidRPr="009226B7" w:rsidRDefault="00EA590A" w:rsidP="004E10C4">
            <w:pPr>
              <w:pStyle w:val="Default"/>
              <w:spacing w:before="40" w:after="40"/>
              <w:rPr>
                <w:sz w:val="22"/>
                <w:szCs w:val="22"/>
              </w:rPr>
            </w:pPr>
            <w:r w:rsidRPr="009226B7">
              <w:rPr>
                <w:sz w:val="22"/>
                <w:szCs w:val="22"/>
              </w:rPr>
              <w:t xml:space="preserve">Synthesis of results </w:t>
            </w:r>
          </w:p>
        </w:tc>
        <w:tc>
          <w:tcPr>
            <w:tcW w:w="540" w:type="dxa"/>
            <w:tcBorders>
              <w:top w:val="single" w:sz="5" w:space="0" w:color="000000"/>
              <w:left w:val="single" w:sz="5" w:space="0" w:color="000000"/>
              <w:bottom w:val="single" w:sz="5" w:space="0" w:color="000000"/>
              <w:right w:val="single" w:sz="5" w:space="0" w:color="000000"/>
            </w:tcBorders>
          </w:tcPr>
          <w:p w14:paraId="38C0BA51" w14:textId="77777777" w:rsidR="00EA590A" w:rsidRPr="009226B7" w:rsidRDefault="00EA590A" w:rsidP="004E10C4">
            <w:pPr>
              <w:pStyle w:val="Default"/>
              <w:spacing w:before="40" w:after="40"/>
              <w:jc w:val="right"/>
              <w:rPr>
                <w:sz w:val="22"/>
                <w:szCs w:val="22"/>
              </w:rPr>
            </w:pPr>
            <w:r w:rsidRPr="009226B7">
              <w:rPr>
                <w:sz w:val="22"/>
                <w:szCs w:val="22"/>
              </w:rPr>
              <w:t>14</w:t>
            </w:r>
          </w:p>
        </w:tc>
        <w:tc>
          <w:tcPr>
            <w:tcW w:w="9698" w:type="dxa"/>
            <w:tcBorders>
              <w:top w:val="single" w:sz="5" w:space="0" w:color="000000"/>
              <w:left w:val="single" w:sz="5" w:space="0" w:color="000000"/>
              <w:bottom w:val="single" w:sz="5" w:space="0" w:color="000000"/>
              <w:right w:val="single" w:sz="5" w:space="0" w:color="000000"/>
            </w:tcBorders>
          </w:tcPr>
          <w:p w14:paraId="54B87E68" w14:textId="77777777" w:rsidR="00EA590A" w:rsidRPr="009226B7" w:rsidRDefault="00EA590A" w:rsidP="004E10C4">
            <w:pPr>
              <w:pStyle w:val="Default"/>
              <w:spacing w:before="40" w:after="40"/>
              <w:rPr>
                <w:sz w:val="22"/>
                <w:szCs w:val="22"/>
              </w:rPr>
            </w:pPr>
            <w:r w:rsidRPr="009226B7">
              <w:rPr>
                <w:sz w:val="22"/>
                <w:szCs w:val="22"/>
              </w:rPr>
              <w:t>Describe the methods of handling data and combining results of studies, if done, including measures of consistency (e.g., I</w:t>
            </w:r>
            <w:r w:rsidRPr="009226B7">
              <w:rPr>
                <w:sz w:val="22"/>
                <w:szCs w:val="22"/>
                <w:vertAlign w:val="superscript"/>
              </w:rPr>
              <w:t>2</w:t>
            </w:r>
            <w:r w:rsidRPr="009226B7">
              <w:rPr>
                <w:sz w:val="22"/>
                <w:szCs w:val="22"/>
              </w:rPr>
              <w:t xml:space="preserve">) for each meta-analysis. </w:t>
            </w:r>
          </w:p>
        </w:tc>
        <w:tc>
          <w:tcPr>
            <w:tcW w:w="1284" w:type="dxa"/>
            <w:tcBorders>
              <w:top w:val="single" w:sz="5" w:space="0" w:color="000000"/>
              <w:left w:val="single" w:sz="5" w:space="0" w:color="000000"/>
              <w:bottom w:val="single" w:sz="5" w:space="0" w:color="000000"/>
              <w:right w:val="single" w:sz="5" w:space="0" w:color="000000"/>
            </w:tcBorders>
          </w:tcPr>
          <w:p w14:paraId="44D63279" w14:textId="77777777" w:rsidR="00EA590A" w:rsidRPr="009226B7" w:rsidRDefault="00EA590A" w:rsidP="004E10C4">
            <w:pPr>
              <w:pStyle w:val="Default"/>
              <w:spacing w:before="40" w:after="40"/>
              <w:rPr>
                <w:color w:val="auto"/>
                <w:sz w:val="22"/>
                <w:szCs w:val="22"/>
              </w:rPr>
            </w:pPr>
            <w:r>
              <w:rPr>
                <w:color w:val="auto"/>
                <w:sz w:val="22"/>
                <w:szCs w:val="22"/>
              </w:rPr>
              <w:t>8-9</w:t>
            </w:r>
          </w:p>
        </w:tc>
      </w:tr>
    </w:tbl>
    <w:p w14:paraId="0CAEAA4F" w14:textId="77777777" w:rsidR="00EA590A" w:rsidRPr="009226B7" w:rsidRDefault="00EA590A" w:rsidP="00EA590A">
      <w:pPr>
        <w:pStyle w:val="CM1"/>
        <w:rPr>
          <w:rFonts w:cs="Calibri"/>
          <w:sz w:val="22"/>
          <w:szCs w:val="22"/>
        </w:rPr>
      </w:pPr>
    </w:p>
    <w:tbl>
      <w:tblPr>
        <w:tblW w:w="14319" w:type="dxa"/>
        <w:tblBorders>
          <w:top w:val="nil"/>
          <w:left w:val="nil"/>
          <w:bottom w:val="nil"/>
          <w:right w:val="nil"/>
        </w:tblBorders>
        <w:tblLook w:val="0000" w:firstRow="0" w:lastRow="0" w:firstColumn="0" w:lastColumn="0" w:noHBand="0" w:noVBand="0"/>
      </w:tblPr>
      <w:tblGrid>
        <w:gridCol w:w="2797"/>
        <w:gridCol w:w="540"/>
        <w:gridCol w:w="9698"/>
        <w:gridCol w:w="1284"/>
      </w:tblGrid>
      <w:tr w:rsidR="004E10C4" w:rsidRPr="009226B7" w14:paraId="0FFC45AF" w14:textId="77777777" w:rsidTr="004E10C4">
        <w:trPr>
          <w:trHeight w:val="663"/>
        </w:trPr>
        <w:tc>
          <w:tcPr>
            <w:tcW w:w="2797"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23C85731" w14:textId="77777777" w:rsidR="00EA590A" w:rsidRPr="009226B7" w:rsidRDefault="00EA590A" w:rsidP="004E10C4">
            <w:pPr>
              <w:pStyle w:val="Default"/>
              <w:rPr>
                <w:color w:val="FFFFFF"/>
                <w:sz w:val="22"/>
                <w:szCs w:val="22"/>
              </w:rPr>
            </w:pPr>
            <w:r w:rsidRPr="009226B7">
              <w:rPr>
                <w:b/>
                <w:bCs/>
                <w:color w:val="FFFFFF"/>
                <w:sz w:val="22"/>
                <w:szCs w:val="22"/>
              </w:rPr>
              <w:t xml:space="preserve">Section/topic </w:t>
            </w:r>
          </w:p>
        </w:tc>
        <w:tc>
          <w:tcPr>
            <w:tcW w:w="54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57C5B902" w14:textId="77777777" w:rsidR="00EA590A" w:rsidRPr="009226B7" w:rsidRDefault="00EA590A" w:rsidP="004E10C4">
            <w:pPr>
              <w:pStyle w:val="Default"/>
              <w:jc w:val="right"/>
              <w:rPr>
                <w:sz w:val="22"/>
                <w:szCs w:val="22"/>
              </w:rPr>
            </w:pPr>
            <w:r w:rsidRPr="009226B7">
              <w:rPr>
                <w:b/>
                <w:bCs/>
                <w:color w:val="FFFFFF"/>
                <w:sz w:val="22"/>
                <w:szCs w:val="22"/>
              </w:rPr>
              <w:t>#</w:t>
            </w:r>
          </w:p>
        </w:tc>
        <w:tc>
          <w:tcPr>
            <w:tcW w:w="9698"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57576322" w14:textId="77777777" w:rsidR="00EA590A" w:rsidRPr="009226B7" w:rsidRDefault="00EA590A" w:rsidP="004E10C4">
            <w:pPr>
              <w:pStyle w:val="Default"/>
              <w:rPr>
                <w:color w:val="FFFFFF"/>
                <w:sz w:val="22"/>
                <w:szCs w:val="22"/>
              </w:rPr>
            </w:pPr>
            <w:r w:rsidRPr="009226B7">
              <w:rPr>
                <w:b/>
                <w:bCs/>
                <w:color w:val="FFFFFF"/>
                <w:sz w:val="22"/>
                <w:szCs w:val="22"/>
              </w:rPr>
              <w:t xml:space="preserve">Checklist item </w:t>
            </w:r>
          </w:p>
        </w:tc>
        <w:tc>
          <w:tcPr>
            <w:tcW w:w="1284"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4E82EE49" w14:textId="77777777" w:rsidR="00EA590A" w:rsidRPr="009226B7" w:rsidRDefault="00EA590A" w:rsidP="004E10C4">
            <w:pPr>
              <w:pStyle w:val="Default"/>
              <w:rPr>
                <w:color w:val="FFFFFF"/>
                <w:sz w:val="22"/>
                <w:szCs w:val="22"/>
              </w:rPr>
            </w:pPr>
            <w:r w:rsidRPr="009226B7">
              <w:rPr>
                <w:b/>
                <w:bCs/>
                <w:color w:val="FFFFFF"/>
                <w:sz w:val="22"/>
                <w:szCs w:val="22"/>
              </w:rPr>
              <w:t xml:space="preserve">Reported on page # </w:t>
            </w:r>
          </w:p>
        </w:tc>
      </w:tr>
      <w:tr w:rsidR="00EA590A" w:rsidRPr="009226B7" w14:paraId="180BA8B0" w14:textId="77777777" w:rsidTr="004E10C4">
        <w:trPr>
          <w:trHeight w:val="575"/>
        </w:trPr>
        <w:tc>
          <w:tcPr>
            <w:tcW w:w="2797" w:type="dxa"/>
            <w:tcBorders>
              <w:top w:val="double" w:sz="5" w:space="0" w:color="000000"/>
              <w:left w:val="single" w:sz="5" w:space="0" w:color="000000"/>
              <w:bottom w:val="single" w:sz="5" w:space="0" w:color="000000"/>
              <w:right w:val="single" w:sz="5" w:space="0" w:color="000000"/>
            </w:tcBorders>
          </w:tcPr>
          <w:p w14:paraId="5C09F1E9" w14:textId="77777777" w:rsidR="00EA590A" w:rsidRPr="009226B7" w:rsidRDefault="00EA590A" w:rsidP="004E10C4">
            <w:pPr>
              <w:pStyle w:val="Default"/>
              <w:spacing w:before="40" w:after="40"/>
              <w:rPr>
                <w:sz w:val="22"/>
                <w:szCs w:val="22"/>
              </w:rPr>
            </w:pPr>
            <w:r w:rsidRPr="009226B7">
              <w:rPr>
                <w:sz w:val="22"/>
                <w:szCs w:val="22"/>
              </w:rPr>
              <w:t xml:space="preserve">Risk of bias across studies </w:t>
            </w:r>
          </w:p>
        </w:tc>
        <w:tc>
          <w:tcPr>
            <w:tcW w:w="540" w:type="dxa"/>
            <w:tcBorders>
              <w:top w:val="double" w:sz="5" w:space="0" w:color="000000"/>
              <w:left w:val="single" w:sz="5" w:space="0" w:color="000000"/>
              <w:bottom w:val="single" w:sz="5" w:space="0" w:color="000000"/>
              <w:right w:val="single" w:sz="5" w:space="0" w:color="000000"/>
            </w:tcBorders>
          </w:tcPr>
          <w:p w14:paraId="04925F59" w14:textId="77777777" w:rsidR="00EA590A" w:rsidRPr="009226B7" w:rsidRDefault="00EA590A" w:rsidP="004E10C4">
            <w:pPr>
              <w:pStyle w:val="Default"/>
              <w:spacing w:before="40" w:after="40"/>
              <w:jc w:val="right"/>
              <w:rPr>
                <w:sz w:val="22"/>
                <w:szCs w:val="22"/>
              </w:rPr>
            </w:pPr>
            <w:r w:rsidRPr="009226B7">
              <w:rPr>
                <w:sz w:val="22"/>
                <w:szCs w:val="22"/>
              </w:rPr>
              <w:t>15</w:t>
            </w:r>
          </w:p>
        </w:tc>
        <w:tc>
          <w:tcPr>
            <w:tcW w:w="9698" w:type="dxa"/>
            <w:tcBorders>
              <w:top w:val="double" w:sz="5" w:space="0" w:color="000000"/>
              <w:left w:val="single" w:sz="5" w:space="0" w:color="000000"/>
              <w:bottom w:val="single" w:sz="5" w:space="0" w:color="000000"/>
              <w:right w:val="single" w:sz="5" w:space="0" w:color="000000"/>
            </w:tcBorders>
          </w:tcPr>
          <w:p w14:paraId="7E609BCA" w14:textId="77777777" w:rsidR="00EA590A" w:rsidRPr="009226B7" w:rsidRDefault="00EA590A" w:rsidP="004E10C4">
            <w:pPr>
              <w:pStyle w:val="Default"/>
              <w:spacing w:before="40" w:after="40"/>
              <w:rPr>
                <w:sz w:val="22"/>
                <w:szCs w:val="22"/>
              </w:rPr>
            </w:pPr>
            <w:r w:rsidRPr="009226B7">
              <w:rPr>
                <w:sz w:val="22"/>
                <w:szCs w:val="22"/>
              </w:rPr>
              <w:t xml:space="preserve">Specify any assessment of risk of bias that may affect the cumulative evidence (e.g., publication bias, selective reporting within studies). </w:t>
            </w:r>
          </w:p>
        </w:tc>
        <w:tc>
          <w:tcPr>
            <w:tcW w:w="1284" w:type="dxa"/>
            <w:tcBorders>
              <w:top w:val="double" w:sz="5" w:space="0" w:color="000000"/>
              <w:left w:val="single" w:sz="5" w:space="0" w:color="000000"/>
              <w:bottom w:val="single" w:sz="5" w:space="0" w:color="000000"/>
              <w:right w:val="single" w:sz="5" w:space="0" w:color="000000"/>
            </w:tcBorders>
          </w:tcPr>
          <w:p w14:paraId="5B459901" w14:textId="77777777" w:rsidR="00EA590A" w:rsidRPr="009226B7" w:rsidRDefault="00EA590A" w:rsidP="004E10C4">
            <w:pPr>
              <w:pStyle w:val="Default"/>
              <w:spacing w:before="40" w:after="40"/>
              <w:rPr>
                <w:color w:val="auto"/>
                <w:sz w:val="22"/>
                <w:szCs w:val="22"/>
              </w:rPr>
            </w:pPr>
            <w:r>
              <w:rPr>
                <w:color w:val="auto"/>
                <w:sz w:val="22"/>
                <w:szCs w:val="22"/>
              </w:rPr>
              <w:t>7-10</w:t>
            </w:r>
          </w:p>
        </w:tc>
      </w:tr>
      <w:tr w:rsidR="00EA590A" w:rsidRPr="009226B7" w14:paraId="46DB39D2" w14:textId="77777777" w:rsidTr="004E10C4">
        <w:trPr>
          <w:trHeight w:val="568"/>
        </w:trPr>
        <w:tc>
          <w:tcPr>
            <w:tcW w:w="2797" w:type="dxa"/>
            <w:tcBorders>
              <w:top w:val="single" w:sz="5" w:space="0" w:color="000000"/>
              <w:left w:val="single" w:sz="5" w:space="0" w:color="000000"/>
              <w:bottom w:val="double" w:sz="2" w:space="0" w:color="FFFFCC"/>
              <w:right w:val="single" w:sz="5" w:space="0" w:color="000000"/>
            </w:tcBorders>
          </w:tcPr>
          <w:p w14:paraId="12531BF1" w14:textId="77777777" w:rsidR="00EA590A" w:rsidRPr="009226B7" w:rsidRDefault="00EA590A" w:rsidP="004E10C4">
            <w:pPr>
              <w:pStyle w:val="Default"/>
              <w:spacing w:before="40" w:after="40"/>
              <w:rPr>
                <w:sz w:val="22"/>
                <w:szCs w:val="22"/>
              </w:rPr>
            </w:pPr>
            <w:r w:rsidRPr="009226B7">
              <w:rPr>
                <w:sz w:val="22"/>
                <w:szCs w:val="22"/>
              </w:rPr>
              <w:t xml:space="preserve">Additional analyses </w:t>
            </w:r>
          </w:p>
        </w:tc>
        <w:tc>
          <w:tcPr>
            <w:tcW w:w="540" w:type="dxa"/>
            <w:tcBorders>
              <w:top w:val="single" w:sz="5" w:space="0" w:color="000000"/>
              <w:left w:val="single" w:sz="5" w:space="0" w:color="000000"/>
              <w:bottom w:val="double" w:sz="2" w:space="0" w:color="FFFFCC"/>
              <w:right w:val="single" w:sz="5" w:space="0" w:color="000000"/>
            </w:tcBorders>
          </w:tcPr>
          <w:p w14:paraId="1963A247" w14:textId="77777777" w:rsidR="00EA590A" w:rsidRPr="009226B7" w:rsidRDefault="00EA590A" w:rsidP="004E10C4">
            <w:pPr>
              <w:pStyle w:val="Default"/>
              <w:spacing w:before="40" w:after="40"/>
              <w:jc w:val="right"/>
              <w:rPr>
                <w:sz w:val="22"/>
                <w:szCs w:val="22"/>
              </w:rPr>
            </w:pPr>
            <w:r w:rsidRPr="009226B7">
              <w:rPr>
                <w:sz w:val="22"/>
                <w:szCs w:val="22"/>
              </w:rPr>
              <w:t>16</w:t>
            </w:r>
          </w:p>
        </w:tc>
        <w:tc>
          <w:tcPr>
            <w:tcW w:w="9698" w:type="dxa"/>
            <w:tcBorders>
              <w:top w:val="single" w:sz="5" w:space="0" w:color="000000"/>
              <w:left w:val="single" w:sz="5" w:space="0" w:color="000000"/>
              <w:bottom w:val="double" w:sz="5" w:space="0" w:color="000000"/>
              <w:right w:val="single" w:sz="5" w:space="0" w:color="000000"/>
            </w:tcBorders>
          </w:tcPr>
          <w:p w14:paraId="1E553A56" w14:textId="77777777" w:rsidR="00EA590A" w:rsidRPr="009226B7" w:rsidRDefault="00EA590A" w:rsidP="004E10C4">
            <w:pPr>
              <w:pStyle w:val="Default"/>
              <w:spacing w:before="40" w:after="40"/>
              <w:rPr>
                <w:sz w:val="22"/>
                <w:szCs w:val="22"/>
              </w:rPr>
            </w:pPr>
            <w:r w:rsidRPr="009226B7">
              <w:rPr>
                <w:sz w:val="22"/>
                <w:szCs w:val="22"/>
              </w:rPr>
              <w:t xml:space="preserve">Describe methods of additional analyses (e.g., sensitivity or subgroup analyses, meta-regression), if done, indicating which were pre-specified. </w:t>
            </w:r>
          </w:p>
        </w:tc>
        <w:tc>
          <w:tcPr>
            <w:tcW w:w="1284" w:type="dxa"/>
            <w:tcBorders>
              <w:top w:val="single" w:sz="5" w:space="0" w:color="000000"/>
              <w:left w:val="single" w:sz="5" w:space="0" w:color="000000"/>
              <w:bottom w:val="double" w:sz="5" w:space="0" w:color="000000"/>
              <w:right w:val="single" w:sz="5" w:space="0" w:color="000000"/>
            </w:tcBorders>
          </w:tcPr>
          <w:p w14:paraId="46ABC617" w14:textId="77777777" w:rsidR="00EA590A" w:rsidRPr="009226B7" w:rsidRDefault="00EA590A" w:rsidP="004E10C4">
            <w:pPr>
              <w:pStyle w:val="Default"/>
              <w:spacing w:before="40" w:after="40"/>
              <w:rPr>
                <w:color w:val="auto"/>
                <w:sz w:val="22"/>
                <w:szCs w:val="22"/>
              </w:rPr>
            </w:pPr>
            <w:r>
              <w:rPr>
                <w:color w:val="auto"/>
                <w:sz w:val="22"/>
                <w:szCs w:val="22"/>
              </w:rPr>
              <w:t>7-9</w:t>
            </w:r>
          </w:p>
        </w:tc>
      </w:tr>
      <w:tr w:rsidR="00EA590A" w:rsidRPr="009226B7" w14:paraId="3CA4DD90"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6346027B" w14:textId="77777777" w:rsidR="00EA590A" w:rsidRPr="009226B7" w:rsidRDefault="00EA590A" w:rsidP="004E10C4">
            <w:pPr>
              <w:pStyle w:val="Default"/>
              <w:rPr>
                <w:sz w:val="22"/>
                <w:szCs w:val="22"/>
              </w:rPr>
            </w:pPr>
            <w:r w:rsidRPr="009226B7">
              <w:rPr>
                <w:b/>
                <w:bCs/>
                <w:sz w:val="22"/>
                <w:szCs w:val="22"/>
              </w:rPr>
              <w:t xml:space="preserve">RESULTS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0FDA16AE" w14:textId="77777777" w:rsidR="00EA590A" w:rsidRPr="009226B7" w:rsidRDefault="00EA590A" w:rsidP="004E10C4">
            <w:pPr>
              <w:pStyle w:val="Default"/>
              <w:jc w:val="center"/>
              <w:rPr>
                <w:color w:val="auto"/>
                <w:sz w:val="22"/>
                <w:szCs w:val="22"/>
              </w:rPr>
            </w:pPr>
          </w:p>
        </w:tc>
      </w:tr>
      <w:tr w:rsidR="00EA590A" w:rsidRPr="009226B7" w14:paraId="469610E1"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1BD4BAAD" w14:textId="77777777" w:rsidR="00EA590A" w:rsidRPr="009226B7" w:rsidRDefault="00EA590A" w:rsidP="004E10C4">
            <w:pPr>
              <w:pStyle w:val="Default"/>
              <w:spacing w:before="40" w:after="40"/>
              <w:rPr>
                <w:sz w:val="22"/>
                <w:szCs w:val="22"/>
              </w:rPr>
            </w:pPr>
            <w:r w:rsidRPr="009226B7">
              <w:rPr>
                <w:sz w:val="22"/>
                <w:szCs w:val="22"/>
              </w:rPr>
              <w:t xml:space="preserve">Study selection </w:t>
            </w:r>
          </w:p>
        </w:tc>
        <w:tc>
          <w:tcPr>
            <w:tcW w:w="540" w:type="dxa"/>
            <w:tcBorders>
              <w:top w:val="single" w:sz="5" w:space="0" w:color="000000"/>
              <w:left w:val="single" w:sz="5" w:space="0" w:color="000000"/>
              <w:bottom w:val="single" w:sz="5" w:space="0" w:color="000000"/>
              <w:right w:val="single" w:sz="5" w:space="0" w:color="000000"/>
            </w:tcBorders>
          </w:tcPr>
          <w:p w14:paraId="4B0A3EC3" w14:textId="77777777" w:rsidR="00EA590A" w:rsidRPr="009226B7" w:rsidRDefault="00EA590A" w:rsidP="004E10C4">
            <w:pPr>
              <w:pStyle w:val="Default"/>
              <w:spacing w:before="40" w:after="40"/>
              <w:jc w:val="right"/>
              <w:rPr>
                <w:sz w:val="22"/>
                <w:szCs w:val="22"/>
              </w:rPr>
            </w:pPr>
            <w:r w:rsidRPr="009226B7">
              <w:rPr>
                <w:sz w:val="22"/>
                <w:szCs w:val="22"/>
              </w:rPr>
              <w:t>17</w:t>
            </w:r>
          </w:p>
        </w:tc>
        <w:tc>
          <w:tcPr>
            <w:tcW w:w="9698" w:type="dxa"/>
            <w:tcBorders>
              <w:top w:val="single" w:sz="5" w:space="0" w:color="000000"/>
              <w:left w:val="single" w:sz="5" w:space="0" w:color="000000"/>
              <w:bottom w:val="single" w:sz="5" w:space="0" w:color="000000"/>
              <w:right w:val="single" w:sz="5" w:space="0" w:color="000000"/>
            </w:tcBorders>
          </w:tcPr>
          <w:p w14:paraId="6316965B" w14:textId="77777777" w:rsidR="00EA590A" w:rsidRPr="009226B7" w:rsidRDefault="00EA590A" w:rsidP="004E10C4">
            <w:pPr>
              <w:pStyle w:val="Default"/>
              <w:spacing w:before="40" w:after="40"/>
              <w:rPr>
                <w:sz w:val="22"/>
                <w:szCs w:val="22"/>
              </w:rPr>
            </w:pPr>
            <w:r w:rsidRPr="009226B7">
              <w:rPr>
                <w:sz w:val="22"/>
                <w:szCs w:val="22"/>
              </w:rPr>
              <w:t xml:space="preserve">Give numbers of studies screened, assessed for eligibility, and included in the review, with reasons for exclusions at each stage, ideally with a flow diagram. </w:t>
            </w:r>
          </w:p>
        </w:tc>
        <w:tc>
          <w:tcPr>
            <w:tcW w:w="1284" w:type="dxa"/>
            <w:tcBorders>
              <w:top w:val="single" w:sz="5" w:space="0" w:color="000000"/>
              <w:left w:val="single" w:sz="5" w:space="0" w:color="000000"/>
              <w:bottom w:val="single" w:sz="5" w:space="0" w:color="000000"/>
              <w:right w:val="single" w:sz="5" w:space="0" w:color="000000"/>
            </w:tcBorders>
          </w:tcPr>
          <w:p w14:paraId="749300E4" w14:textId="77777777" w:rsidR="00EA590A" w:rsidRPr="009226B7" w:rsidRDefault="00EA590A" w:rsidP="004E10C4">
            <w:pPr>
              <w:pStyle w:val="Default"/>
              <w:spacing w:before="40" w:after="40"/>
              <w:rPr>
                <w:color w:val="auto"/>
                <w:sz w:val="22"/>
                <w:szCs w:val="22"/>
              </w:rPr>
            </w:pPr>
            <w:r>
              <w:rPr>
                <w:color w:val="auto"/>
                <w:sz w:val="22"/>
                <w:szCs w:val="22"/>
              </w:rPr>
              <w:t>11, supplement</w:t>
            </w:r>
          </w:p>
        </w:tc>
      </w:tr>
      <w:tr w:rsidR="00EA590A" w:rsidRPr="009226B7" w14:paraId="1F4423CE"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61270DE" w14:textId="77777777" w:rsidR="00EA590A" w:rsidRPr="009226B7" w:rsidRDefault="00EA590A" w:rsidP="004E10C4">
            <w:pPr>
              <w:pStyle w:val="Default"/>
              <w:spacing w:before="40" w:after="40"/>
              <w:rPr>
                <w:sz w:val="22"/>
                <w:szCs w:val="22"/>
              </w:rPr>
            </w:pPr>
            <w:r w:rsidRPr="009226B7">
              <w:rPr>
                <w:sz w:val="22"/>
                <w:szCs w:val="22"/>
              </w:rPr>
              <w:t xml:space="preserve">Study characteristics </w:t>
            </w:r>
          </w:p>
        </w:tc>
        <w:tc>
          <w:tcPr>
            <w:tcW w:w="540" w:type="dxa"/>
            <w:tcBorders>
              <w:top w:val="single" w:sz="5" w:space="0" w:color="000000"/>
              <w:left w:val="single" w:sz="5" w:space="0" w:color="000000"/>
              <w:bottom w:val="single" w:sz="5" w:space="0" w:color="000000"/>
              <w:right w:val="single" w:sz="5" w:space="0" w:color="000000"/>
            </w:tcBorders>
          </w:tcPr>
          <w:p w14:paraId="0C80A20F" w14:textId="77777777" w:rsidR="00EA590A" w:rsidRPr="009226B7" w:rsidRDefault="00EA590A" w:rsidP="004E10C4">
            <w:pPr>
              <w:pStyle w:val="Default"/>
              <w:spacing w:before="40" w:after="40"/>
              <w:jc w:val="right"/>
              <w:rPr>
                <w:sz w:val="22"/>
                <w:szCs w:val="22"/>
              </w:rPr>
            </w:pPr>
            <w:r w:rsidRPr="009226B7">
              <w:rPr>
                <w:sz w:val="22"/>
                <w:szCs w:val="22"/>
              </w:rPr>
              <w:t>18</w:t>
            </w:r>
          </w:p>
        </w:tc>
        <w:tc>
          <w:tcPr>
            <w:tcW w:w="9698" w:type="dxa"/>
            <w:tcBorders>
              <w:top w:val="single" w:sz="5" w:space="0" w:color="000000"/>
              <w:left w:val="single" w:sz="5" w:space="0" w:color="000000"/>
              <w:bottom w:val="single" w:sz="5" w:space="0" w:color="000000"/>
              <w:right w:val="single" w:sz="5" w:space="0" w:color="000000"/>
            </w:tcBorders>
          </w:tcPr>
          <w:p w14:paraId="3DD5CFC6" w14:textId="77777777" w:rsidR="00EA590A" w:rsidRPr="009226B7" w:rsidRDefault="00EA590A" w:rsidP="004E10C4">
            <w:pPr>
              <w:pStyle w:val="Default"/>
              <w:spacing w:before="40" w:after="40"/>
              <w:rPr>
                <w:sz w:val="22"/>
                <w:szCs w:val="22"/>
              </w:rPr>
            </w:pPr>
            <w:r w:rsidRPr="009226B7">
              <w:rPr>
                <w:sz w:val="22"/>
                <w:szCs w:val="22"/>
              </w:rPr>
              <w:t xml:space="preserve">For each study, present characteristics for which data were extracted (e.g., study size, PICOS, follow-up period) and provide the citations. </w:t>
            </w:r>
          </w:p>
        </w:tc>
        <w:tc>
          <w:tcPr>
            <w:tcW w:w="1284" w:type="dxa"/>
            <w:tcBorders>
              <w:top w:val="single" w:sz="5" w:space="0" w:color="000000"/>
              <w:left w:val="single" w:sz="5" w:space="0" w:color="000000"/>
              <w:bottom w:val="single" w:sz="5" w:space="0" w:color="000000"/>
              <w:right w:val="single" w:sz="5" w:space="0" w:color="000000"/>
            </w:tcBorders>
          </w:tcPr>
          <w:p w14:paraId="4E90ACDB" w14:textId="77777777" w:rsidR="00EA590A" w:rsidRPr="009226B7" w:rsidRDefault="00EA590A" w:rsidP="004E10C4">
            <w:pPr>
              <w:pStyle w:val="Default"/>
              <w:spacing w:before="40" w:after="40"/>
              <w:rPr>
                <w:color w:val="auto"/>
                <w:sz w:val="22"/>
                <w:szCs w:val="22"/>
              </w:rPr>
            </w:pPr>
            <w:r>
              <w:rPr>
                <w:color w:val="auto"/>
                <w:sz w:val="22"/>
                <w:szCs w:val="22"/>
              </w:rPr>
              <w:t>supplement</w:t>
            </w:r>
          </w:p>
        </w:tc>
      </w:tr>
      <w:tr w:rsidR="00EA590A" w:rsidRPr="009226B7" w14:paraId="768ACAEC" w14:textId="77777777" w:rsidTr="004E10C4">
        <w:trPr>
          <w:trHeight w:val="333"/>
        </w:trPr>
        <w:tc>
          <w:tcPr>
            <w:tcW w:w="2797" w:type="dxa"/>
            <w:tcBorders>
              <w:top w:val="single" w:sz="5" w:space="0" w:color="000000"/>
              <w:left w:val="single" w:sz="5" w:space="0" w:color="000000"/>
              <w:bottom w:val="single" w:sz="5" w:space="0" w:color="000000"/>
              <w:right w:val="single" w:sz="5" w:space="0" w:color="000000"/>
            </w:tcBorders>
          </w:tcPr>
          <w:p w14:paraId="141E4BF0" w14:textId="77777777" w:rsidR="00EA590A" w:rsidRPr="009226B7" w:rsidRDefault="00EA590A" w:rsidP="004E10C4">
            <w:pPr>
              <w:pStyle w:val="Default"/>
              <w:spacing w:before="40" w:after="40"/>
              <w:rPr>
                <w:sz w:val="22"/>
                <w:szCs w:val="22"/>
              </w:rPr>
            </w:pPr>
            <w:r w:rsidRPr="009226B7">
              <w:rPr>
                <w:sz w:val="22"/>
                <w:szCs w:val="22"/>
              </w:rPr>
              <w:t xml:space="preserve">Risk of bias within studies </w:t>
            </w:r>
          </w:p>
        </w:tc>
        <w:tc>
          <w:tcPr>
            <w:tcW w:w="540" w:type="dxa"/>
            <w:tcBorders>
              <w:top w:val="single" w:sz="5" w:space="0" w:color="000000"/>
              <w:left w:val="single" w:sz="5" w:space="0" w:color="000000"/>
              <w:bottom w:val="single" w:sz="5" w:space="0" w:color="000000"/>
              <w:right w:val="single" w:sz="5" w:space="0" w:color="000000"/>
            </w:tcBorders>
          </w:tcPr>
          <w:p w14:paraId="6953EF35" w14:textId="77777777" w:rsidR="00EA590A" w:rsidRPr="009226B7" w:rsidRDefault="00EA590A" w:rsidP="004E10C4">
            <w:pPr>
              <w:pStyle w:val="Default"/>
              <w:spacing w:before="40" w:after="40"/>
              <w:jc w:val="right"/>
              <w:rPr>
                <w:sz w:val="22"/>
                <w:szCs w:val="22"/>
              </w:rPr>
            </w:pPr>
            <w:r w:rsidRPr="009226B7">
              <w:rPr>
                <w:sz w:val="22"/>
                <w:szCs w:val="22"/>
              </w:rPr>
              <w:t>19</w:t>
            </w:r>
          </w:p>
        </w:tc>
        <w:tc>
          <w:tcPr>
            <w:tcW w:w="9698" w:type="dxa"/>
            <w:tcBorders>
              <w:top w:val="single" w:sz="5" w:space="0" w:color="000000"/>
              <w:left w:val="single" w:sz="5" w:space="0" w:color="000000"/>
              <w:bottom w:val="single" w:sz="5" w:space="0" w:color="000000"/>
              <w:right w:val="single" w:sz="5" w:space="0" w:color="000000"/>
            </w:tcBorders>
          </w:tcPr>
          <w:p w14:paraId="540CA6DC" w14:textId="77777777" w:rsidR="00EA590A" w:rsidRPr="009226B7" w:rsidRDefault="00EA590A" w:rsidP="004E10C4">
            <w:pPr>
              <w:pStyle w:val="Default"/>
              <w:spacing w:before="40" w:after="40"/>
              <w:rPr>
                <w:sz w:val="22"/>
                <w:szCs w:val="22"/>
              </w:rPr>
            </w:pPr>
            <w:r w:rsidRPr="009226B7">
              <w:rPr>
                <w:sz w:val="22"/>
                <w:szCs w:val="22"/>
              </w:rPr>
              <w:t xml:space="preserve">Present data on risk of bias of each study and, if available, any outcome level assessment (see item 12). </w:t>
            </w:r>
          </w:p>
        </w:tc>
        <w:tc>
          <w:tcPr>
            <w:tcW w:w="1284" w:type="dxa"/>
            <w:tcBorders>
              <w:top w:val="single" w:sz="5" w:space="0" w:color="000000"/>
              <w:left w:val="single" w:sz="5" w:space="0" w:color="000000"/>
              <w:bottom w:val="single" w:sz="5" w:space="0" w:color="000000"/>
              <w:right w:val="single" w:sz="5" w:space="0" w:color="000000"/>
            </w:tcBorders>
          </w:tcPr>
          <w:p w14:paraId="046A2143" w14:textId="77777777" w:rsidR="00EA590A" w:rsidRPr="009226B7" w:rsidRDefault="00EA590A" w:rsidP="004E10C4">
            <w:pPr>
              <w:pStyle w:val="Default"/>
              <w:spacing w:before="40" w:after="40"/>
              <w:rPr>
                <w:color w:val="auto"/>
                <w:sz w:val="22"/>
                <w:szCs w:val="22"/>
              </w:rPr>
            </w:pPr>
          </w:p>
        </w:tc>
      </w:tr>
      <w:tr w:rsidR="00EA590A" w:rsidRPr="009226B7" w14:paraId="5938E594"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4597B9CB" w14:textId="77777777" w:rsidR="00EA590A" w:rsidRPr="009226B7" w:rsidRDefault="00EA590A" w:rsidP="004E10C4">
            <w:pPr>
              <w:pStyle w:val="Default"/>
              <w:spacing w:before="40" w:after="40"/>
              <w:rPr>
                <w:sz w:val="22"/>
                <w:szCs w:val="22"/>
              </w:rPr>
            </w:pPr>
            <w:r w:rsidRPr="009226B7">
              <w:rPr>
                <w:sz w:val="22"/>
                <w:szCs w:val="22"/>
              </w:rPr>
              <w:t xml:space="preserve">Results of individual studies </w:t>
            </w:r>
          </w:p>
        </w:tc>
        <w:tc>
          <w:tcPr>
            <w:tcW w:w="540" w:type="dxa"/>
            <w:tcBorders>
              <w:top w:val="single" w:sz="5" w:space="0" w:color="000000"/>
              <w:left w:val="single" w:sz="5" w:space="0" w:color="000000"/>
              <w:bottom w:val="single" w:sz="5" w:space="0" w:color="000000"/>
              <w:right w:val="single" w:sz="5" w:space="0" w:color="000000"/>
            </w:tcBorders>
          </w:tcPr>
          <w:p w14:paraId="68BF7689" w14:textId="77777777" w:rsidR="00EA590A" w:rsidRPr="009226B7" w:rsidRDefault="00EA590A" w:rsidP="004E10C4">
            <w:pPr>
              <w:pStyle w:val="Default"/>
              <w:spacing w:before="40" w:after="40"/>
              <w:jc w:val="right"/>
              <w:rPr>
                <w:sz w:val="22"/>
                <w:szCs w:val="22"/>
              </w:rPr>
            </w:pPr>
            <w:r w:rsidRPr="009226B7">
              <w:rPr>
                <w:sz w:val="22"/>
                <w:szCs w:val="22"/>
              </w:rPr>
              <w:t>20</w:t>
            </w:r>
          </w:p>
        </w:tc>
        <w:tc>
          <w:tcPr>
            <w:tcW w:w="9698" w:type="dxa"/>
            <w:tcBorders>
              <w:top w:val="single" w:sz="5" w:space="0" w:color="000000"/>
              <w:left w:val="single" w:sz="5" w:space="0" w:color="000000"/>
              <w:bottom w:val="single" w:sz="5" w:space="0" w:color="000000"/>
              <w:right w:val="single" w:sz="5" w:space="0" w:color="000000"/>
            </w:tcBorders>
          </w:tcPr>
          <w:p w14:paraId="14336527" w14:textId="77777777" w:rsidR="00EA590A" w:rsidRPr="009226B7" w:rsidRDefault="00EA590A" w:rsidP="004E10C4">
            <w:pPr>
              <w:pStyle w:val="Default"/>
              <w:spacing w:before="40" w:after="40"/>
              <w:rPr>
                <w:sz w:val="22"/>
                <w:szCs w:val="22"/>
              </w:rPr>
            </w:pPr>
            <w:r w:rsidRPr="009226B7">
              <w:rPr>
                <w:sz w:val="22"/>
                <w:szCs w:val="22"/>
              </w:rPr>
              <w:t xml:space="preserve">For all outcomes considered (benefits or harms), present, for each study: (a) simple summary data for each intervention group (b) effect estimates and confidence intervals, ideally with a forest plot. </w:t>
            </w:r>
          </w:p>
        </w:tc>
        <w:tc>
          <w:tcPr>
            <w:tcW w:w="1284" w:type="dxa"/>
            <w:tcBorders>
              <w:top w:val="single" w:sz="5" w:space="0" w:color="000000"/>
              <w:left w:val="single" w:sz="5" w:space="0" w:color="000000"/>
              <w:bottom w:val="single" w:sz="5" w:space="0" w:color="000000"/>
              <w:right w:val="single" w:sz="5" w:space="0" w:color="000000"/>
            </w:tcBorders>
          </w:tcPr>
          <w:p w14:paraId="12BC348E" w14:textId="77777777" w:rsidR="00EA590A" w:rsidRPr="009226B7" w:rsidRDefault="00EA590A" w:rsidP="004E10C4">
            <w:pPr>
              <w:pStyle w:val="Default"/>
              <w:spacing w:before="40" w:after="40"/>
              <w:rPr>
                <w:color w:val="auto"/>
                <w:sz w:val="22"/>
                <w:szCs w:val="22"/>
              </w:rPr>
            </w:pPr>
            <w:r>
              <w:rPr>
                <w:color w:val="auto"/>
                <w:sz w:val="22"/>
                <w:szCs w:val="22"/>
              </w:rPr>
              <w:t>11-12</w:t>
            </w:r>
          </w:p>
        </w:tc>
      </w:tr>
      <w:tr w:rsidR="004E10C4" w:rsidRPr="009226B7" w14:paraId="0272F3AE" w14:textId="77777777" w:rsidTr="004E10C4">
        <w:trPr>
          <w:trHeight w:val="335"/>
        </w:trPr>
        <w:tc>
          <w:tcPr>
            <w:tcW w:w="2797" w:type="dxa"/>
            <w:tcBorders>
              <w:top w:val="single" w:sz="5" w:space="0" w:color="000000"/>
              <w:left w:val="single" w:sz="5" w:space="0" w:color="000000"/>
              <w:bottom w:val="single" w:sz="5" w:space="0" w:color="000000"/>
              <w:right w:val="single" w:sz="5" w:space="0" w:color="000000"/>
            </w:tcBorders>
          </w:tcPr>
          <w:p w14:paraId="76CC4F3B" w14:textId="77777777" w:rsidR="00EA590A" w:rsidRPr="009226B7" w:rsidRDefault="00EA590A" w:rsidP="004E10C4">
            <w:pPr>
              <w:pStyle w:val="Default"/>
              <w:spacing w:before="40" w:after="40"/>
              <w:rPr>
                <w:sz w:val="22"/>
                <w:szCs w:val="22"/>
              </w:rPr>
            </w:pPr>
            <w:r w:rsidRPr="009226B7">
              <w:rPr>
                <w:sz w:val="22"/>
                <w:szCs w:val="22"/>
              </w:rPr>
              <w:t xml:space="preserve">Synthesis of results </w:t>
            </w:r>
          </w:p>
        </w:tc>
        <w:tc>
          <w:tcPr>
            <w:tcW w:w="540" w:type="dxa"/>
            <w:tcBorders>
              <w:top w:val="single" w:sz="5" w:space="0" w:color="000000"/>
              <w:left w:val="single" w:sz="5" w:space="0" w:color="000000"/>
              <w:bottom w:val="single" w:sz="5" w:space="0" w:color="000000"/>
              <w:right w:val="single" w:sz="5" w:space="0" w:color="000000"/>
            </w:tcBorders>
          </w:tcPr>
          <w:p w14:paraId="17087CED" w14:textId="77777777" w:rsidR="00EA590A" w:rsidRPr="009226B7" w:rsidRDefault="00EA590A" w:rsidP="004E10C4">
            <w:pPr>
              <w:pStyle w:val="Default"/>
              <w:spacing w:before="40" w:after="40"/>
              <w:jc w:val="right"/>
              <w:rPr>
                <w:sz w:val="22"/>
                <w:szCs w:val="22"/>
              </w:rPr>
            </w:pPr>
            <w:r w:rsidRPr="009226B7">
              <w:rPr>
                <w:sz w:val="22"/>
                <w:szCs w:val="22"/>
              </w:rPr>
              <w:t>21</w:t>
            </w:r>
          </w:p>
        </w:tc>
        <w:tc>
          <w:tcPr>
            <w:tcW w:w="9698" w:type="dxa"/>
            <w:tcBorders>
              <w:top w:val="single" w:sz="5" w:space="0" w:color="000000"/>
              <w:left w:val="single" w:sz="5" w:space="0" w:color="000000"/>
              <w:bottom w:val="single" w:sz="5" w:space="0" w:color="000000"/>
              <w:right w:val="single" w:sz="5" w:space="0" w:color="000000"/>
            </w:tcBorders>
          </w:tcPr>
          <w:p w14:paraId="3BAD588E" w14:textId="77777777" w:rsidR="00EA590A" w:rsidRPr="009226B7" w:rsidRDefault="00EA590A" w:rsidP="004E10C4">
            <w:pPr>
              <w:pStyle w:val="Default"/>
              <w:spacing w:before="40" w:after="40"/>
              <w:rPr>
                <w:sz w:val="22"/>
                <w:szCs w:val="22"/>
              </w:rPr>
            </w:pPr>
            <w:r w:rsidRPr="009226B7">
              <w:rPr>
                <w:sz w:val="22"/>
                <w:szCs w:val="22"/>
              </w:rPr>
              <w:t xml:space="preserve">Present results of each meta-analysis done, including confidence intervals and measures of consistency. </w:t>
            </w:r>
          </w:p>
        </w:tc>
        <w:tc>
          <w:tcPr>
            <w:tcW w:w="1284" w:type="dxa"/>
            <w:tcBorders>
              <w:top w:val="single" w:sz="5" w:space="0" w:color="000000"/>
              <w:left w:val="single" w:sz="5" w:space="0" w:color="000000"/>
              <w:bottom w:val="single" w:sz="5" w:space="0" w:color="000000"/>
              <w:right w:val="single" w:sz="5" w:space="0" w:color="000000"/>
            </w:tcBorders>
          </w:tcPr>
          <w:p w14:paraId="042B0BDE" w14:textId="77777777" w:rsidR="00EA590A" w:rsidRPr="009226B7" w:rsidRDefault="00EA590A" w:rsidP="004E10C4">
            <w:pPr>
              <w:pStyle w:val="Default"/>
              <w:spacing w:before="40" w:after="40"/>
              <w:rPr>
                <w:color w:val="auto"/>
                <w:sz w:val="22"/>
                <w:szCs w:val="22"/>
              </w:rPr>
            </w:pPr>
            <w:r>
              <w:rPr>
                <w:color w:val="auto"/>
                <w:sz w:val="22"/>
                <w:szCs w:val="22"/>
              </w:rPr>
              <w:t>11-12</w:t>
            </w:r>
          </w:p>
        </w:tc>
      </w:tr>
      <w:tr w:rsidR="004E10C4" w:rsidRPr="009226B7" w14:paraId="6317345D" w14:textId="77777777" w:rsidTr="004E10C4">
        <w:trPr>
          <w:trHeight w:val="333"/>
        </w:trPr>
        <w:tc>
          <w:tcPr>
            <w:tcW w:w="2797" w:type="dxa"/>
            <w:tcBorders>
              <w:top w:val="single" w:sz="5" w:space="0" w:color="000000"/>
              <w:left w:val="single" w:sz="5" w:space="0" w:color="000000"/>
              <w:bottom w:val="single" w:sz="5" w:space="0" w:color="000000"/>
              <w:right w:val="single" w:sz="5" w:space="0" w:color="000000"/>
            </w:tcBorders>
          </w:tcPr>
          <w:p w14:paraId="0EFB1E40" w14:textId="77777777" w:rsidR="00EA590A" w:rsidRPr="009226B7" w:rsidRDefault="00EA590A" w:rsidP="004E10C4">
            <w:pPr>
              <w:pStyle w:val="Default"/>
              <w:spacing w:before="40" w:after="40"/>
              <w:rPr>
                <w:sz w:val="22"/>
                <w:szCs w:val="22"/>
              </w:rPr>
            </w:pPr>
            <w:r w:rsidRPr="009226B7">
              <w:rPr>
                <w:sz w:val="22"/>
                <w:szCs w:val="22"/>
              </w:rPr>
              <w:t xml:space="preserve">Risk of bias across studies </w:t>
            </w:r>
          </w:p>
        </w:tc>
        <w:tc>
          <w:tcPr>
            <w:tcW w:w="540" w:type="dxa"/>
            <w:tcBorders>
              <w:top w:val="single" w:sz="5" w:space="0" w:color="000000"/>
              <w:left w:val="single" w:sz="5" w:space="0" w:color="000000"/>
              <w:bottom w:val="single" w:sz="5" w:space="0" w:color="000000"/>
              <w:right w:val="single" w:sz="5" w:space="0" w:color="000000"/>
            </w:tcBorders>
          </w:tcPr>
          <w:p w14:paraId="52C42E08" w14:textId="77777777" w:rsidR="00EA590A" w:rsidRPr="009226B7" w:rsidRDefault="00EA590A" w:rsidP="004E10C4">
            <w:pPr>
              <w:pStyle w:val="Default"/>
              <w:spacing w:before="40" w:after="40"/>
              <w:jc w:val="right"/>
              <w:rPr>
                <w:sz w:val="22"/>
                <w:szCs w:val="22"/>
              </w:rPr>
            </w:pPr>
            <w:r w:rsidRPr="009226B7">
              <w:rPr>
                <w:sz w:val="22"/>
                <w:szCs w:val="22"/>
              </w:rPr>
              <w:t>22</w:t>
            </w:r>
          </w:p>
        </w:tc>
        <w:tc>
          <w:tcPr>
            <w:tcW w:w="9698" w:type="dxa"/>
            <w:tcBorders>
              <w:top w:val="single" w:sz="5" w:space="0" w:color="000000"/>
              <w:left w:val="single" w:sz="5" w:space="0" w:color="000000"/>
              <w:bottom w:val="single" w:sz="5" w:space="0" w:color="000000"/>
              <w:right w:val="single" w:sz="5" w:space="0" w:color="000000"/>
            </w:tcBorders>
          </w:tcPr>
          <w:p w14:paraId="4B26BCE7" w14:textId="77777777" w:rsidR="00EA590A" w:rsidRPr="009226B7" w:rsidRDefault="00EA590A" w:rsidP="004E10C4">
            <w:pPr>
              <w:pStyle w:val="Default"/>
              <w:spacing w:before="40" w:after="40"/>
              <w:rPr>
                <w:sz w:val="22"/>
                <w:szCs w:val="22"/>
              </w:rPr>
            </w:pPr>
            <w:r w:rsidRPr="009226B7">
              <w:rPr>
                <w:sz w:val="22"/>
                <w:szCs w:val="22"/>
              </w:rPr>
              <w:t xml:space="preserve">Present results of any assessment of risk of bias across studies (see Item 15). </w:t>
            </w:r>
          </w:p>
        </w:tc>
        <w:tc>
          <w:tcPr>
            <w:tcW w:w="1284" w:type="dxa"/>
            <w:tcBorders>
              <w:top w:val="single" w:sz="5" w:space="0" w:color="000000"/>
              <w:left w:val="single" w:sz="5" w:space="0" w:color="000000"/>
              <w:bottom w:val="single" w:sz="5" w:space="0" w:color="000000"/>
              <w:right w:val="single" w:sz="5" w:space="0" w:color="000000"/>
            </w:tcBorders>
          </w:tcPr>
          <w:p w14:paraId="2829B526" w14:textId="77777777" w:rsidR="00EA590A" w:rsidRPr="009226B7" w:rsidRDefault="00EA590A" w:rsidP="004E10C4">
            <w:pPr>
              <w:pStyle w:val="Default"/>
              <w:spacing w:before="40" w:after="40"/>
              <w:rPr>
                <w:color w:val="auto"/>
                <w:sz w:val="22"/>
                <w:szCs w:val="22"/>
              </w:rPr>
            </w:pPr>
            <w:r>
              <w:rPr>
                <w:color w:val="auto"/>
                <w:sz w:val="22"/>
                <w:szCs w:val="22"/>
              </w:rPr>
              <w:t>12</w:t>
            </w:r>
          </w:p>
        </w:tc>
      </w:tr>
      <w:tr w:rsidR="004E10C4" w:rsidRPr="009226B7" w14:paraId="11F06813" w14:textId="77777777" w:rsidTr="004E10C4">
        <w:trPr>
          <w:trHeight w:val="393"/>
        </w:trPr>
        <w:tc>
          <w:tcPr>
            <w:tcW w:w="2797" w:type="dxa"/>
            <w:tcBorders>
              <w:top w:val="single" w:sz="5" w:space="0" w:color="000000"/>
              <w:left w:val="single" w:sz="5" w:space="0" w:color="000000"/>
              <w:bottom w:val="double" w:sz="2" w:space="0" w:color="FFFFCC"/>
              <w:right w:val="single" w:sz="5" w:space="0" w:color="000000"/>
            </w:tcBorders>
          </w:tcPr>
          <w:p w14:paraId="0C40D185" w14:textId="77777777" w:rsidR="00EA590A" w:rsidRPr="009226B7" w:rsidRDefault="00EA590A" w:rsidP="004E10C4">
            <w:pPr>
              <w:pStyle w:val="Default"/>
              <w:spacing w:before="40" w:after="40"/>
              <w:rPr>
                <w:sz w:val="22"/>
                <w:szCs w:val="22"/>
              </w:rPr>
            </w:pPr>
            <w:r w:rsidRPr="009226B7">
              <w:rPr>
                <w:sz w:val="22"/>
                <w:szCs w:val="22"/>
              </w:rPr>
              <w:t xml:space="preserve">Additional analysis </w:t>
            </w:r>
          </w:p>
        </w:tc>
        <w:tc>
          <w:tcPr>
            <w:tcW w:w="540" w:type="dxa"/>
            <w:tcBorders>
              <w:top w:val="single" w:sz="5" w:space="0" w:color="000000"/>
              <w:left w:val="single" w:sz="5" w:space="0" w:color="000000"/>
              <w:bottom w:val="double" w:sz="2" w:space="0" w:color="FFFFCC"/>
              <w:right w:val="single" w:sz="5" w:space="0" w:color="000000"/>
            </w:tcBorders>
          </w:tcPr>
          <w:p w14:paraId="2DB286DA" w14:textId="77777777" w:rsidR="00EA590A" w:rsidRPr="009226B7" w:rsidRDefault="00EA590A" w:rsidP="004E10C4">
            <w:pPr>
              <w:pStyle w:val="Default"/>
              <w:spacing w:before="40" w:after="40"/>
              <w:jc w:val="right"/>
              <w:rPr>
                <w:sz w:val="22"/>
                <w:szCs w:val="22"/>
              </w:rPr>
            </w:pPr>
            <w:r w:rsidRPr="009226B7">
              <w:rPr>
                <w:sz w:val="22"/>
                <w:szCs w:val="22"/>
              </w:rPr>
              <w:t>23</w:t>
            </w:r>
          </w:p>
        </w:tc>
        <w:tc>
          <w:tcPr>
            <w:tcW w:w="9698" w:type="dxa"/>
            <w:tcBorders>
              <w:top w:val="single" w:sz="5" w:space="0" w:color="000000"/>
              <w:left w:val="single" w:sz="5" w:space="0" w:color="000000"/>
              <w:bottom w:val="double" w:sz="5" w:space="0" w:color="000000"/>
              <w:right w:val="single" w:sz="5" w:space="0" w:color="000000"/>
            </w:tcBorders>
          </w:tcPr>
          <w:p w14:paraId="34EC2121" w14:textId="77777777" w:rsidR="00EA590A" w:rsidRPr="009226B7" w:rsidRDefault="00EA590A" w:rsidP="004E10C4">
            <w:pPr>
              <w:pStyle w:val="Default"/>
              <w:spacing w:before="40" w:after="40"/>
              <w:rPr>
                <w:sz w:val="22"/>
                <w:szCs w:val="22"/>
              </w:rPr>
            </w:pPr>
            <w:r w:rsidRPr="009226B7">
              <w:rPr>
                <w:sz w:val="22"/>
                <w:szCs w:val="22"/>
              </w:rPr>
              <w:t xml:space="preserve">Give results of additional analyses, if done (e.g., sensitivity or subgroup analyses, meta-regression [see Item 16]). </w:t>
            </w:r>
          </w:p>
        </w:tc>
        <w:tc>
          <w:tcPr>
            <w:tcW w:w="1284" w:type="dxa"/>
            <w:tcBorders>
              <w:top w:val="single" w:sz="5" w:space="0" w:color="000000"/>
              <w:left w:val="single" w:sz="5" w:space="0" w:color="000000"/>
              <w:bottom w:val="double" w:sz="5" w:space="0" w:color="000000"/>
              <w:right w:val="single" w:sz="5" w:space="0" w:color="000000"/>
            </w:tcBorders>
          </w:tcPr>
          <w:p w14:paraId="61BFB0D9" w14:textId="77777777" w:rsidR="00EA590A" w:rsidRPr="009226B7" w:rsidRDefault="00EA590A" w:rsidP="004E10C4">
            <w:pPr>
              <w:pStyle w:val="Default"/>
              <w:spacing w:before="40" w:after="40"/>
              <w:rPr>
                <w:color w:val="auto"/>
                <w:sz w:val="22"/>
                <w:szCs w:val="22"/>
              </w:rPr>
            </w:pPr>
            <w:r>
              <w:rPr>
                <w:color w:val="auto"/>
                <w:sz w:val="22"/>
                <w:szCs w:val="22"/>
              </w:rPr>
              <w:t>12-14</w:t>
            </w:r>
          </w:p>
        </w:tc>
      </w:tr>
      <w:tr w:rsidR="004E10C4" w:rsidRPr="009226B7" w14:paraId="332759B3" w14:textId="77777777" w:rsidTr="004E10C4">
        <w:trPr>
          <w:trHeight w:val="335"/>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ED56250" w14:textId="77777777" w:rsidR="00EA590A" w:rsidRPr="009226B7" w:rsidRDefault="00EA590A" w:rsidP="004E10C4">
            <w:pPr>
              <w:pStyle w:val="Default"/>
              <w:rPr>
                <w:sz w:val="22"/>
                <w:szCs w:val="22"/>
              </w:rPr>
            </w:pPr>
            <w:r w:rsidRPr="009226B7">
              <w:rPr>
                <w:b/>
                <w:bCs/>
                <w:sz w:val="22"/>
                <w:szCs w:val="22"/>
              </w:rPr>
              <w:lastRenderedPageBreak/>
              <w:t xml:space="preserve">DISCUSSION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6B2986DA" w14:textId="77777777" w:rsidR="00EA590A" w:rsidRPr="009226B7" w:rsidRDefault="00EA590A" w:rsidP="004E10C4">
            <w:pPr>
              <w:pStyle w:val="Default"/>
              <w:jc w:val="center"/>
              <w:rPr>
                <w:color w:val="auto"/>
                <w:sz w:val="22"/>
                <w:szCs w:val="22"/>
              </w:rPr>
            </w:pPr>
          </w:p>
        </w:tc>
      </w:tr>
      <w:tr w:rsidR="004E10C4" w:rsidRPr="009226B7" w14:paraId="7001634C"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7A8EF4A" w14:textId="77777777" w:rsidR="00EA590A" w:rsidRPr="009226B7" w:rsidRDefault="00EA590A" w:rsidP="004E10C4">
            <w:pPr>
              <w:pStyle w:val="Default"/>
              <w:spacing w:before="40" w:after="40"/>
              <w:rPr>
                <w:sz w:val="22"/>
                <w:szCs w:val="22"/>
              </w:rPr>
            </w:pPr>
            <w:r w:rsidRPr="009226B7">
              <w:rPr>
                <w:sz w:val="22"/>
                <w:szCs w:val="22"/>
              </w:rPr>
              <w:t xml:space="preserve">Summary of evidence </w:t>
            </w:r>
          </w:p>
        </w:tc>
        <w:tc>
          <w:tcPr>
            <w:tcW w:w="540" w:type="dxa"/>
            <w:tcBorders>
              <w:top w:val="single" w:sz="5" w:space="0" w:color="000000"/>
              <w:left w:val="single" w:sz="5" w:space="0" w:color="000000"/>
              <w:bottom w:val="single" w:sz="5" w:space="0" w:color="000000"/>
              <w:right w:val="single" w:sz="5" w:space="0" w:color="000000"/>
            </w:tcBorders>
          </w:tcPr>
          <w:p w14:paraId="76F09364" w14:textId="77777777" w:rsidR="00EA590A" w:rsidRPr="009226B7" w:rsidRDefault="00EA590A" w:rsidP="004E10C4">
            <w:pPr>
              <w:pStyle w:val="Default"/>
              <w:spacing w:before="40" w:after="40"/>
              <w:jc w:val="right"/>
              <w:rPr>
                <w:sz w:val="22"/>
                <w:szCs w:val="22"/>
              </w:rPr>
            </w:pPr>
            <w:r w:rsidRPr="009226B7">
              <w:rPr>
                <w:sz w:val="22"/>
                <w:szCs w:val="22"/>
              </w:rPr>
              <w:t>24</w:t>
            </w:r>
          </w:p>
        </w:tc>
        <w:tc>
          <w:tcPr>
            <w:tcW w:w="9698" w:type="dxa"/>
            <w:tcBorders>
              <w:top w:val="single" w:sz="5" w:space="0" w:color="000000"/>
              <w:left w:val="single" w:sz="5" w:space="0" w:color="000000"/>
              <w:bottom w:val="single" w:sz="5" w:space="0" w:color="000000"/>
              <w:right w:val="single" w:sz="5" w:space="0" w:color="000000"/>
            </w:tcBorders>
          </w:tcPr>
          <w:p w14:paraId="0653554C" w14:textId="77777777" w:rsidR="00EA590A" w:rsidRPr="009226B7" w:rsidRDefault="00EA590A" w:rsidP="004E10C4">
            <w:pPr>
              <w:pStyle w:val="Default"/>
              <w:spacing w:before="40" w:after="40"/>
              <w:rPr>
                <w:sz w:val="22"/>
                <w:szCs w:val="22"/>
              </w:rPr>
            </w:pPr>
            <w:r w:rsidRPr="009226B7">
              <w:rPr>
                <w:sz w:val="22"/>
                <w:szCs w:val="22"/>
              </w:rPr>
              <w:t xml:space="preserve">Summarize the main findings including the strength of evidence for each main outcome; consider their relevance to key groups (e.g., healthcare providers, users, and policy makers). </w:t>
            </w:r>
          </w:p>
        </w:tc>
        <w:tc>
          <w:tcPr>
            <w:tcW w:w="1284" w:type="dxa"/>
            <w:tcBorders>
              <w:top w:val="single" w:sz="5" w:space="0" w:color="000000"/>
              <w:left w:val="single" w:sz="5" w:space="0" w:color="000000"/>
              <w:bottom w:val="single" w:sz="5" w:space="0" w:color="000000"/>
              <w:right w:val="single" w:sz="5" w:space="0" w:color="000000"/>
            </w:tcBorders>
          </w:tcPr>
          <w:p w14:paraId="45FC02BA" w14:textId="77777777" w:rsidR="00EA590A" w:rsidRPr="009226B7" w:rsidRDefault="00EA590A" w:rsidP="004E10C4">
            <w:pPr>
              <w:pStyle w:val="Default"/>
              <w:spacing w:before="40" w:after="40"/>
              <w:rPr>
                <w:color w:val="auto"/>
                <w:sz w:val="22"/>
                <w:szCs w:val="22"/>
              </w:rPr>
            </w:pPr>
            <w:r>
              <w:rPr>
                <w:color w:val="auto"/>
                <w:sz w:val="22"/>
                <w:szCs w:val="22"/>
              </w:rPr>
              <w:t>2,3,15</w:t>
            </w:r>
          </w:p>
        </w:tc>
      </w:tr>
      <w:tr w:rsidR="004E10C4" w:rsidRPr="009226B7" w14:paraId="7164EFC5" w14:textId="77777777" w:rsidTr="004E10C4">
        <w:trPr>
          <w:trHeight w:val="578"/>
        </w:trPr>
        <w:tc>
          <w:tcPr>
            <w:tcW w:w="2797" w:type="dxa"/>
            <w:tcBorders>
              <w:top w:val="single" w:sz="5" w:space="0" w:color="000000"/>
              <w:left w:val="single" w:sz="5" w:space="0" w:color="000000"/>
              <w:bottom w:val="single" w:sz="5" w:space="0" w:color="000000"/>
              <w:right w:val="single" w:sz="5" w:space="0" w:color="000000"/>
            </w:tcBorders>
          </w:tcPr>
          <w:p w14:paraId="004B50A0" w14:textId="77777777" w:rsidR="00EA590A" w:rsidRPr="009226B7" w:rsidRDefault="00EA590A" w:rsidP="004E10C4">
            <w:pPr>
              <w:pStyle w:val="Default"/>
              <w:spacing w:before="40" w:after="40"/>
              <w:rPr>
                <w:sz w:val="22"/>
                <w:szCs w:val="22"/>
              </w:rPr>
            </w:pPr>
            <w:r w:rsidRPr="009226B7">
              <w:rPr>
                <w:sz w:val="22"/>
                <w:szCs w:val="22"/>
              </w:rPr>
              <w:t xml:space="preserve">Limitations </w:t>
            </w:r>
          </w:p>
        </w:tc>
        <w:tc>
          <w:tcPr>
            <w:tcW w:w="540" w:type="dxa"/>
            <w:tcBorders>
              <w:top w:val="single" w:sz="5" w:space="0" w:color="000000"/>
              <w:left w:val="single" w:sz="5" w:space="0" w:color="000000"/>
              <w:bottom w:val="single" w:sz="5" w:space="0" w:color="000000"/>
              <w:right w:val="single" w:sz="5" w:space="0" w:color="000000"/>
            </w:tcBorders>
          </w:tcPr>
          <w:p w14:paraId="6460C0E5" w14:textId="77777777" w:rsidR="00EA590A" w:rsidRPr="009226B7" w:rsidRDefault="00EA590A" w:rsidP="004E10C4">
            <w:pPr>
              <w:pStyle w:val="Default"/>
              <w:spacing w:before="40" w:after="40"/>
              <w:jc w:val="right"/>
              <w:rPr>
                <w:sz w:val="22"/>
                <w:szCs w:val="22"/>
              </w:rPr>
            </w:pPr>
            <w:r w:rsidRPr="009226B7">
              <w:rPr>
                <w:sz w:val="22"/>
                <w:szCs w:val="22"/>
              </w:rPr>
              <w:t>25</w:t>
            </w:r>
          </w:p>
        </w:tc>
        <w:tc>
          <w:tcPr>
            <w:tcW w:w="9698" w:type="dxa"/>
            <w:tcBorders>
              <w:top w:val="single" w:sz="5" w:space="0" w:color="000000"/>
              <w:left w:val="single" w:sz="5" w:space="0" w:color="000000"/>
              <w:bottom w:val="single" w:sz="5" w:space="0" w:color="000000"/>
              <w:right w:val="single" w:sz="5" w:space="0" w:color="000000"/>
            </w:tcBorders>
          </w:tcPr>
          <w:p w14:paraId="6ED508ED" w14:textId="77777777" w:rsidR="00EA590A" w:rsidRPr="009226B7" w:rsidRDefault="00EA590A" w:rsidP="004E10C4">
            <w:pPr>
              <w:pStyle w:val="Default"/>
              <w:spacing w:before="40" w:after="40"/>
              <w:rPr>
                <w:sz w:val="22"/>
                <w:szCs w:val="22"/>
              </w:rPr>
            </w:pPr>
            <w:r w:rsidRPr="009226B7">
              <w:rPr>
                <w:sz w:val="22"/>
                <w:szCs w:val="22"/>
              </w:rPr>
              <w:t xml:space="preserve">Discuss limitations at study and outcome level (e.g., risk of bias), and at review-level (e.g., incomplete retrieval of identified research, reporting bias). </w:t>
            </w:r>
          </w:p>
        </w:tc>
        <w:tc>
          <w:tcPr>
            <w:tcW w:w="1284" w:type="dxa"/>
            <w:tcBorders>
              <w:top w:val="single" w:sz="5" w:space="0" w:color="000000"/>
              <w:left w:val="single" w:sz="5" w:space="0" w:color="000000"/>
              <w:bottom w:val="single" w:sz="5" w:space="0" w:color="000000"/>
              <w:right w:val="single" w:sz="5" w:space="0" w:color="000000"/>
            </w:tcBorders>
          </w:tcPr>
          <w:p w14:paraId="7DC45E5C" w14:textId="77777777" w:rsidR="00EA590A" w:rsidRPr="009226B7" w:rsidRDefault="00EA590A" w:rsidP="004E10C4">
            <w:pPr>
              <w:pStyle w:val="Default"/>
              <w:spacing w:before="40" w:after="40"/>
              <w:rPr>
                <w:color w:val="auto"/>
                <w:sz w:val="22"/>
                <w:szCs w:val="22"/>
              </w:rPr>
            </w:pPr>
            <w:r>
              <w:rPr>
                <w:color w:val="auto"/>
                <w:sz w:val="22"/>
                <w:szCs w:val="22"/>
              </w:rPr>
              <w:t>16-17</w:t>
            </w:r>
          </w:p>
        </w:tc>
      </w:tr>
      <w:tr w:rsidR="004E10C4" w:rsidRPr="009226B7" w14:paraId="1140F984" w14:textId="77777777" w:rsidTr="004E10C4">
        <w:trPr>
          <w:trHeight w:val="420"/>
        </w:trPr>
        <w:tc>
          <w:tcPr>
            <w:tcW w:w="2797" w:type="dxa"/>
            <w:tcBorders>
              <w:top w:val="single" w:sz="5" w:space="0" w:color="000000"/>
              <w:left w:val="single" w:sz="5" w:space="0" w:color="000000"/>
              <w:bottom w:val="double" w:sz="2" w:space="0" w:color="FFFFCC"/>
              <w:right w:val="single" w:sz="5" w:space="0" w:color="000000"/>
            </w:tcBorders>
          </w:tcPr>
          <w:p w14:paraId="484F5E9D" w14:textId="77777777" w:rsidR="00EA590A" w:rsidRPr="009226B7" w:rsidRDefault="00EA590A" w:rsidP="004E10C4">
            <w:pPr>
              <w:pStyle w:val="Default"/>
              <w:spacing w:before="40" w:after="40"/>
              <w:rPr>
                <w:sz w:val="22"/>
                <w:szCs w:val="22"/>
              </w:rPr>
            </w:pPr>
            <w:r w:rsidRPr="009226B7">
              <w:rPr>
                <w:sz w:val="22"/>
                <w:szCs w:val="22"/>
              </w:rPr>
              <w:t xml:space="preserve">Conclusions </w:t>
            </w:r>
          </w:p>
        </w:tc>
        <w:tc>
          <w:tcPr>
            <w:tcW w:w="540" w:type="dxa"/>
            <w:tcBorders>
              <w:top w:val="single" w:sz="5" w:space="0" w:color="000000"/>
              <w:left w:val="single" w:sz="5" w:space="0" w:color="000000"/>
              <w:bottom w:val="double" w:sz="2" w:space="0" w:color="FFFFCC"/>
              <w:right w:val="single" w:sz="5" w:space="0" w:color="000000"/>
            </w:tcBorders>
          </w:tcPr>
          <w:p w14:paraId="27ED853A" w14:textId="77777777" w:rsidR="00EA590A" w:rsidRPr="009226B7" w:rsidRDefault="00EA590A" w:rsidP="004E10C4">
            <w:pPr>
              <w:pStyle w:val="Default"/>
              <w:spacing w:before="40" w:after="40"/>
              <w:jc w:val="right"/>
              <w:rPr>
                <w:sz w:val="22"/>
                <w:szCs w:val="22"/>
              </w:rPr>
            </w:pPr>
            <w:r w:rsidRPr="009226B7">
              <w:rPr>
                <w:sz w:val="22"/>
                <w:szCs w:val="22"/>
              </w:rPr>
              <w:t>26</w:t>
            </w:r>
          </w:p>
        </w:tc>
        <w:tc>
          <w:tcPr>
            <w:tcW w:w="9698" w:type="dxa"/>
            <w:tcBorders>
              <w:top w:val="single" w:sz="5" w:space="0" w:color="000000"/>
              <w:left w:val="single" w:sz="5" w:space="0" w:color="000000"/>
              <w:bottom w:val="double" w:sz="5" w:space="0" w:color="000000"/>
              <w:right w:val="single" w:sz="5" w:space="0" w:color="000000"/>
            </w:tcBorders>
          </w:tcPr>
          <w:p w14:paraId="5E1CD3E4" w14:textId="77777777" w:rsidR="00EA590A" w:rsidRPr="009226B7" w:rsidRDefault="00EA590A" w:rsidP="004E10C4">
            <w:pPr>
              <w:pStyle w:val="Default"/>
              <w:spacing w:before="40" w:after="40"/>
              <w:rPr>
                <w:sz w:val="22"/>
                <w:szCs w:val="22"/>
              </w:rPr>
            </w:pPr>
            <w:r w:rsidRPr="009226B7">
              <w:rPr>
                <w:sz w:val="22"/>
                <w:szCs w:val="22"/>
              </w:rPr>
              <w:t xml:space="preserve">Provide a general interpretation of the results in the context of other evidence, and implications for future research. </w:t>
            </w:r>
          </w:p>
        </w:tc>
        <w:tc>
          <w:tcPr>
            <w:tcW w:w="1284" w:type="dxa"/>
            <w:tcBorders>
              <w:top w:val="single" w:sz="5" w:space="0" w:color="000000"/>
              <w:left w:val="single" w:sz="5" w:space="0" w:color="000000"/>
              <w:bottom w:val="double" w:sz="5" w:space="0" w:color="000000"/>
              <w:right w:val="single" w:sz="5" w:space="0" w:color="000000"/>
            </w:tcBorders>
          </w:tcPr>
          <w:p w14:paraId="12F9B928" w14:textId="77777777" w:rsidR="00EA590A" w:rsidRPr="009226B7" w:rsidRDefault="00EA590A" w:rsidP="004E10C4">
            <w:pPr>
              <w:pStyle w:val="Default"/>
              <w:spacing w:before="40" w:after="40"/>
              <w:rPr>
                <w:color w:val="auto"/>
                <w:sz w:val="22"/>
                <w:szCs w:val="22"/>
              </w:rPr>
            </w:pPr>
            <w:r>
              <w:rPr>
                <w:color w:val="auto"/>
                <w:sz w:val="22"/>
                <w:szCs w:val="22"/>
              </w:rPr>
              <w:t>2,3,17</w:t>
            </w:r>
          </w:p>
        </w:tc>
      </w:tr>
      <w:tr w:rsidR="004E10C4" w:rsidRPr="009226B7" w14:paraId="0E32B0BA" w14:textId="77777777" w:rsidTr="004E10C4">
        <w:trPr>
          <w:trHeight w:val="333"/>
        </w:trPr>
        <w:tc>
          <w:tcPr>
            <w:tcW w:w="1303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4B10975" w14:textId="77777777" w:rsidR="00EA590A" w:rsidRPr="009226B7" w:rsidRDefault="00EA590A" w:rsidP="004E10C4">
            <w:pPr>
              <w:pStyle w:val="Default"/>
              <w:rPr>
                <w:sz w:val="22"/>
                <w:szCs w:val="22"/>
              </w:rPr>
            </w:pPr>
            <w:r w:rsidRPr="009226B7">
              <w:rPr>
                <w:b/>
                <w:bCs/>
                <w:sz w:val="22"/>
                <w:szCs w:val="22"/>
              </w:rPr>
              <w:t xml:space="preserve">FUNDING </w:t>
            </w:r>
          </w:p>
        </w:tc>
        <w:tc>
          <w:tcPr>
            <w:tcW w:w="1284" w:type="dxa"/>
            <w:tcBorders>
              <w:top w:val="double" w:sz="5" w:space="0" w:color="000000"/>
              <w:left w:val="single" w:sz="5" w:space="0" w:color="000000"/>
              <w:bottom w:val="single" w:sz="5" w:space="0" w:color="000000"/>
              <w:right w:val="single" w:sz="5" w:space="0" w:color="000000"/>
            </w:tcBorders>
            <w:shd w:val="clear" w:color="auto" w:fill="FFFFCC"/>
          </w:tcPr>
          <w:p w14:paraId="16C49271" w14:textId="77777777" w:rsidR="00EA590A" w:rsidRPr="009226B7" w:rsidRDefault="00EA590A" w:rsidP="004E10C4">
            <w:pPr>
              <w:pStyle w:val="Default"/>
              <w:jc w:val="center"/>
              <w:rPr>
                <w:color w:val="auto"/>
                <w:sz w:val="22"/>
                <w:szCs w:val="22"/>
              </w:rPr>
            </w:pPr>
          </w:p>
        </w:tc>
      </w:tr>
      <w:tr w:rsidR="004E10C4" w:rsidRPr="009226B7" w14:paraId="1A1974D3" w14:textId="77777777" w:rsidTr="004E10C4">
        <w:trPr>
          <w:trHeight w:val="570"/>
        </w:trPr>
        <w:tc>
          <w:tcPr>
            <w:tcW w:w="2797" w:type="dxa"/>
            <w:tcBorders>
              <w:top w:val="single" w:sz="5" w:space="0" w:color="000000"/>
              <w:left w:val="single" w:sz="5" w:space="0" w:color="000000"/>
              <w:bottom w:val="double" w:sz="5" w:space="0" w:color="000000"/>
              <w:right w:val="single" w:sz="5" w:space="0" w:color="000000"/>
            </w:tcBorders>
          </w:tcPr>
          <w:p w14:paraId="49B28179" w14:textId="77777777" w:rsidR="00EA590A" w:rsidRPr="009226B7" w:rsidRDefault="00EA590A" w:rsidP="004E10C4">
            <w:pPr>
              <w:pStyle w:val="Default"/>
              <w:spacing w:before="40" w:after="40"/>
              <w:rPr>
                <w:sz w:val="22"/>
                <w:szCs w:val="22"/>
              </w:rPr>
            </w:pPr>
            <w:r w:rsidRPr="009226B7">
              <w:rPr>
                <w:sz w:val="22"/>
                <w:szCs w:val="22"/>
              </w:rPr>
              <w:t xml:space="preserve">Funding </w:t>
            </w:r>
          </w:p>
        </w:tc>
        <w:tc>
          <w:tcPr>
            <w:tcW w:w="540" w:type="dxa"/>
            <w:tcBorders>
              <w:top w:val="single" w:sz="5" w:space="0" w:color="000000"/>
              <w:left w:val="single" w:sz="5" w:space="0" w:color="000000"/>
              <w:bottom w:val="double" w:sz="5" w:space="0" w:color="000000"/>
              <w:right w:val="single" w:sz="5" w:space="0" w:color="000000"/>
            </w:tcBorders>
          </w:tcPr>
          <w:p w14:paraId="601DD7BF" w14:textId="77777777" w:rsidR="00EA590A" w:rsidRPr="009226B7" w:rsidRDefault="00EA590A" w:rsidP="004E10C4">
            <w:pPr>
              <w:pStyle w:val="Default"/>
              <w:spacing w:before="40" w:after="40"/>
              <w:jc w:val="right"/>
              <w:rPr>
                <w:sz w:val="22"/>
                <w:szCs w:val="22"/>
              </w:rPr>
            </w:pPr>
            <w:r w:rsidRPr="009226B7">
              <w:rPr>
                <w:sz w:val="22"/>
                <w:szCs w:val="22"/>
              </w:rPr>
              <w:t>27</w:t>
            </w:r>
          </w:p>
        </w:tc>
        <w:tc>
          <w:tcPr>
            <w:tcW w:w="9698" w:type="dxa"/>
            <w:tcBorders>
              <w:top w:val="single" w:sz="5" w:space="0" w:color="000000"/>
              <w:left w:val="single" w:sz="5" w:space="0" w:color="000000"/>
              <w:bottom w:val="double" w:sz="5" w:space="0" w:color="000000"/>
              <w:right w:val="single" w:sz="5" w:space="0" w:color="000000"/>
            </w:tcBorders>
          </w:tcPr>
          <w:p w14:paraId="73EA9D97" w14:textId="77777777" w:rsidR="00EA590A" w:rsidRPr="009226B7" w:rsidRDefault="00EA590A" w:rsidP="004E10C4">
            <w:pPr>
              <w:pStyle w:val="Default"/>
              <w:spacing w:before="40" w:after="40"/>
              <w:rPr>
                <w:sz w:val="22"/>
                <w:szCs w:val="22"/>
              </w:rPr>
            </w:pPr>
            <w:r w:rsidRPr="009226B7">
              <w:rPr>
                <w:sz w:val="22"/>
                <w:szCs w:val="22"/>
              </w:rPr>
              <w:t>Describe sources of funding for the systematic review and other support (e.g., supply of data</w:t>
            </w:r>
            <w:proofErr w:type="gramStart"/>
            <w:r w:rsidRPr="009226B7">
              <w:rPr>
                <w:sz w:val="22"/>
                <w:szCs w:val="22"/>
              </w:rPr>
              <w:t>);</w:t>
            </w:r>
            <w:proofErr w:type="gramEnd"/>
            <w:r w:rsidRPr="009226B7">
              <w:rPr>
                <w:sz w:val="22"/>
                <w:szCs w:val="22"/>
              </w:rPr>
              <w:t xml:space="preserve"> role of funders for the systematic review. </w:t>
            </w:r>
          </w:p>
        </w:tc>
        <w:tc>
          <w:tcPr>
            <w:tcW w:w="1284" w:type="dxa"/>
            <w:tcBorders>
              <w:top w:val="single" w:sz="5" w:space="0" w:color="000000"/>
              <w:left w:val="single" w:sz="5" w:space="0" w:color="000000"/>
              <w:bottom w:val="double" w:sz="5" w:space="0" w:color="000000"/>
              <w:right w:val="single" w:sz="5" w:space="0" w:color="000000"/>
            </w:tcBorders>
          </w:tcPr>
          <w:p w14:paraId="0AAC9694" w14:textId="77777777" w:rsidR="00EA590A" w:rsidRPr="009226B7" w:rsidRDefault="00EA590A" w:rsidP="004E10C4">
            <w:pPr>
              <w:pStyle w:val="Default"/>
              <w:spacing w:before="40" w:after="40"/>
              <w:rPr>
                <w:color w:val="auto"/>
                <w:sz w:val="22"/>
                <w:szCs w:val="22"/>
              </w:rPr>
            </w:pPr>
            <w:r>
              <w:rPr>
                <w:color w:val="auto"/>
                <w:sz w:val="22"/>
                <w:szCs w:val="22"/>
              </w:rPr>
              <w:t>18</w:t>
            </w:r>
          </w:p>
        </w:tc>
      </w:tr>
    </w:tbl>
    <w:p w14:paraId="50490FB8" w14:textId="77777777" w:rsidR="00EA590A" w:rsidRDefault="00EA590A">
      <w:pPr>
        <w:rPr>
          <w:rFonts w:ascii="Calibri" w:eastAsiaTheme="minorEastAsia" w:hAnsi="Calibri" w:cs="Calibri"/>
          <w:sz w:val="20"/>
          <w:szCs w:val="20"/>
        </w:rPr>
        <w:sectPr w:rsidR="00EA590A" w:rsidSect="00EA590A">
          <w:pgSz w:w="16840" w:h="11900" w:orient="landscape"/>
          <w:pgMar w:top="1440" w:right="1440" w:bottom="1440" w:left="1440" w:header="708" w:footer="708" w:gutter="0"/>
          <w:cols w:space="708"/>
          <w:docGrid w:linePitch="360"/>
        </w:sectPr>
      </w:pPr>
    </w:p>
    <w:p w14:paraId="1997B2E7" w14:textId="437F3C91" w:rsidR="00EA590A" w:rsidRDefault="00EA590A">
      <w:pPr>
        <w:rPr>
          <w:rFonts w:ascii="Calibri" w:eastAsiaTheme="minorEastAsia" w:hAnsi="Calibri" w:cs="Calibri"/>
          <w:sz w:val="20"/>
          <w:szCs w:val="20"/>
        </w:rPr>
      </w:pPr>
    </w:p>
    <w:p w14:paraId="65306ADD" w14:textId="77777777" w:rsidR="00EA590A" w:rsidRDefault="00EA590A">
      <w:pPr>
        <w:rPr>
          <w:rFonts w:ascii="Calibri" w:eastAsiaTheme="minorEastAsia" w:hAnsi="Calibri" w:cs="Calibri"/>
          <w:sz w:val="20"/>
          <w:szCs w:val="20"/>
        </w:rPr>
      </w:pPr>
    </w:p>
    <w:p w14:paraId="55063EB9" w14:textId="31019532" w:rsidR="006E6AEA" w:rsidRPr="00E20CF3" w:rsidRDefault="006A7D4D" w:rsidP="00454013">
      <w:pPr>
        <w:spacing w:line="360" w:lineRule="auto"/>
        <w:rPr>
          <w:rFonts w:ascii="Calibri" w:eastAsiaTheme="minorEastAsia" w:hAnsi="Calibri" w:cs="Calibri"/>
          <w:b/>
          <w:bCs/>
        </w:rPr>
      </w:pPr>
      <w:r w:rsidRPr="00E20CF3">
        <w:rPr>
          <w:rFonts w:ascii="Calibri" w:eastAsiaTheme="minorEastAsia" w:hAnsi="Calibri" w:cs="Calibri"/>
          <w:b/>
          <w:bCs/>
        </w:rPr>
        <w:t>References</w:t>
      </w:r>
    </w:p>
    <w:p w14:paraId="134AD173" w14:textId="43CDDECE" w:rsidR="001C2ECA" w:rsidRPr="001C2ECA" w:rsidRDefault="006A7D4D" w:rsidP="001C2ECA">
      <w:pPr>
        <w:widowControl w:val="0"/>
        <w:autoSpaceDE w:val="0"/>
        <w:autoSpaceDN w:val="0"/>
        <w:adjustRightInd w:val="0"/>
        <w:spacing w:line="360" w:lineRule="auto"/>
        <w:ind w:left="640" w:hanging="640"/>
        <w:rPr>
          <w:rFonts w:ascii="Calibri" w:hAnsi="Calibri" w:cs="Calibri"/>
          <w:noProof/>
          <w:sz w:val="20"/>
        </w:rPr>
      </w:pPr>
      <w:r>
        <w:rPr>
          <w:rFonts w:ascii="Calibri" w:eastAsiaTheme="minorEastAsia" w:hAnsi="Calibri" w:cs="Calibri"/>
          <w:b/>
          <w:bCs/>
          <w:sz w:val="20"/>
          <w:szCs w:val="20"/>
        </w:rPr>
        <w:fldChar w:fldCharType="begin" w:fldLock="1"/>
      </w:r>
      <w:r>
        <w:rPr>
          <w:rFonts w:ascii="Calibri" w:eastAsiaTheme="minorEastAsia" w:hAnsi="Calibri" w:cs="Calibri"/>
          <w:b/>
          <w:bCs/>
          <w:sz w:val="20"/>
          <w:szCs w:val="20"/>
        </w:rPr>
        <w:instrText xml:space="preserve">ADDIN Mendeley Bibliography CSL_BIBLIOGRAPHY </w:instrText>
      </w:r>
      <w:r>
        <w:rPr>
          <w:rFonts w:ascii="Calibri" w:eastAsiaTheme="minorEastAsia" w:hAnsi="Calibri" w:cs="Calibri"/>
          <w:b/>
          <w:bCs/>
          <w:sz w:val="20"/>
          <w:szCs w:val="20"/>
        </w:rPr>
        <w:fldChar w:fldCharType="separate"/>
      </w:r>
      <w:r w:rsidR="001C2ECA" w:rsidRPr="001C2ECA">
        <w:rPr>
          <w:rFonts w:ascii="Calibri" w:hAnsi="Calibri" w:cs="Calibri"/>
          <w:noProof/>
          <w:sz w:val="20"/>
        </w:rPr>
        <w:t xml:space="preserve">1. </w:t>
      </w:r>
      <w:r w:rsidR="001C2ECA" w:rsidRPr="001C2ECA">
        <w:rPr>
          <w:rFonts w:ascii="Calibri" w:hAnsi="Calibri" w:cs="Calibri"/>
          <w:noProof/>
          <w:sz w:val="20"/>
        </w:rPr>
        <w:tab/>
        <w:t>Yale University Open Data Access (YODA) clinical trials database.</w:t>
      </w:r>
    </w:p>
    <w:p w14:paraId="3851D2E3"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76B90">
        <w:rPr>
          <w:rFonts w:ascii="Calibri" w:hAnsi="Calibri" w:cs="Calibri"/>
          <w:noProof/>
          <w:sz w:val="20"/>
          <w:lang w:val="fr-FR"/>
        </w:rPr>
        <w:t xml:space="preserve">2. </w:t>
      </w:r>
      <w:r w:rsidRPr="00176B90">
        <w:rPr>
          <w:rFonts w:ascii="Calibri" w:hAnsi="Calibri" w:cs="Calibri"/>
          <w:noProof/>
          <w:sz w:val="20"/>
          <w:lang w:val="fr-FR"/>
        </w:rPr>
        <w:tab/>
        <w:t xml:space="preserve">McCutcheon RA, Pillinger T, Mizuno Y, et al. </w:t>
      </w:r>
      <w:r w:rsidRPr="001C2ECA">
        <w:rPr>
          <w:rFonts w:ascii="Calibri" w:hAnsi="Calibri" w:cs="Calibri"/>
          <w:noProof/>
          <w:sz w:val="20"/>
        </w:rPr>
        <w:t xml:space="preserve">The efficacy and heterogeneity of antipsychotic response in schizophrenia: A meta-analysis. </w:t>
      </w:r>
      <w:r w:rsidRPr="001C2ECA">
        <w:rPr>
          <w:rFonts w:ascii="Calibri" w:hAnsi="Calibri" w:cs="Calibri"/>
          <w:i/>
          <w:iCs/>
          <w:noProof/>
          <w:sz w:val="20"/>
        </w:rPr>
        <w:t>Mol Psychiatry</w:t>
      </w:r>
      <w:r w:rsidRPr="001C2ECA">
        <w:rPr>
          <w:rFonts w:ascii="Calibri" w:hAnsi="Calibri" w:cs="Calibri"/>
          <w:noProof/>
          <w:sz w:val="20"/>
        </w:rPr>
        <w:t>. 2021;26(4):1310-1320. doi:10.1038/s41380-019-0502-5</w:t>
      </w:r>
    </w:p>
    <w:p w14:paraId="36142B74"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3. </w:t>
      </w:r>
      <w:r w:rsidRPr="001C2ECA">
        <w:rPr>
          <w:rFonts w:ascii="Calibri" w:hAnsi="Calibri" w:cs="Calibri"/>
          <w:noProof/>
          <w:sz w:val="20"/>
        </w:rPr>
        <w:tab/>
        <w:t xml:space="preserve">Winkelbeiner S, Leucht S, Kane JM, Homan P. Evaluation of Differences in Individual Treatment Response in Schizophrenia Spectrum Disorders: A Meta-analysis. </w:t>
      </w:r>
      <w:r w:rsidRPr="001C2ECA">
        <w:rPr>
          <w:rFonts w:ascii="Calibri" w:hAnsi="Calibri" w:cs="Calibri"/>
          <w:i/>
          <w:iCs/>
          <w:noProof/>
          <w:sz w:val="20"/>
        </w:rPr>
        <w:t>JAMA Psychiatry</w:t>
      </w:r>
      <w:r w:rsidRPr="001C2ECA">
        <w:rPr>
          <w:rFonts w:ascii="Calibri" w:hAnsi="Calibri" w:cs="Calibri"/>
          <w:noProof/>
          <w:sz w:val="20"/>
        </w:rPr>
        <w:t>. 2019;76(10):1063-1073. doi:10.1001/jamapsychiatry.2019.1530</w:t>
      </w:r>
    </w:p>
    <w:p w14:paraId="3ED3C494"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4. </w:t>
      </w:r>
      <w:r w:rsidRPr="001C2ECA">
        <w:rPr>
          <w:rFonts w:ascii="Calibri" w:hAnsi="Calibri" w:cs="Calibri"/>
          <w:noProof/>
          <w:sz w:val="20"/>
        </w:rPr>
        <w:tab/>
        <w:t xml:space="preserve">Homan S, Muscat W, Joanlanne A, et al. Treatment effect variability in brain stimulation across psychiatric disorders: A meta-analysis of variance. </w:t>
      </w:r>
      <w:r w:rsidRPr="001C2ECA">
        <w:rPr>
          <w:rFonts w:ascii="Calibri" w:hAnsi="Calibri" w:cs="Calibri"/>
          <w:i/>
          <w:iCs/>
          <w:noProof/>
          <w:sz w:val="20"/>
        </w:rPr>
        <w:t>Neurosci Biobehav Rev</w:t>
      </w:r>
      <w:r w:rsidRPr="001C2ECA">
        <w:rPr>
          <w:rFonts w:ascii="Calibri" w:hAnsi="Calibri" w:cs="Calibri"/>
          <w:noProof/>
          <w:sz w:val="20"/>
        </w:rPr>
        <w:t>. 2021;124(October 2020):54-62. doi:10.1016/j.neubiorev.2020.11.033</w:t>
      </w:r>
    </w:p>
    <w:p w14:paraId="5D292786"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5. </w:t>
      </w:r>
      <w:r w:rsidRPr="001C2ECA">
        <w:rPr>
          <w:rFonts w:ascii="Calibri" w:hAnsi="Calibri" w:cs="Calibri"/>
          <w:noProof/>
          <w:sz w:val="20"/>
        </w:rPr>
        <w:tab/>
        <w:t xml:space="preserve">Plöderl M, Hengartner MP. What are the chances for personalised treatment with antidepressants? Detection of patient-by-treatment interaction with a variance ratio meta-analysis. </w:t>
      </w:r>
      <w:r w:rsidRPr="001C2ECA">
        <w:rPr>
          <w:rFonts w:ascii="Calibri" w:hAnsi="Calibri" w:cs="Calibri"/>
          <w:i/>
          <w:iCs/>
          <w:noProof/>
          <w:sz w:val="20"/>
        </w:rPr>
        <w:t>BMJ Open</w:t>
      </w:r>
      <w:r w:rsidRPr="001C2ECA">
        <w:rPr>
          <w:rFonts w:ascii="Calibri" w:hAnsi="Calibri" w:cs="Calibri"/>
          <w:noProof/>
          <w:sz w:val="20"/>
        </w:rPr>
        <w:t>. 2019;9(12):34816. doi:10.1136/bmjopen-2019-034816</w:t>
      </w:r>
    </w:p>
    <w:p w14:paraId="0EDE1DA5" w14:textId="77777777" w:rsidR="001C2ECA" w:rsidRPr="00176B90" w:rsidRDefault="001C2ECA" w:rsidP="001C2ECA">
      <w:pPr>
        <w:widowControl w:val="0"/>
        <w:autoSpaceDE w:val="0"/>
        <w:autoSpaceDN w:val="0"/>
        <w:adjustRightInd w:val="0"/>
        <w:spacing w:line="360" w:lineRule="auto"/>
        <w:ind w:left="640" w:hanging="640"/>
        <w:rPr>
          <w:rFonts w:ascii="Calibri" w:hAnsi="Calibri" w:cs="Calibri"/>
          <w:noProof/>
          <w:sz w:val="20"/>
          <w:lang w:val="de-DE"/>
        </w:rPr>
      </w:pPr>
      <w:r w:rsidRPr="001C2ECA">
        <w:rPr>
          <w:rFonts w:ascii="Calibri" w:hAnsi="Calibri" w:cs="Calibri"/>
          <w:noProof/>
          <w:sz w:val="20"/>
        </w:rPr>
        <w:t xml:space="preserve">6. </w:t>
      </w:r>
      <w:r w:rsidRPr="001C2ECA">
        <w:rPr>
          <w:rFonts w:ascii="Calibri" w:hAnsi="Calibri" w:cs="Calibri"/>
          <w:noProof/>
          <w:sz w:val="20"/>
        </w:rPr>
        <w:tab/>
        <w:t xml:space="preserve">Volkmann A. On the Relationship between Treatment Effect Heterogeneity and the Variability Ratio Effect Size Statistic. </w:t>
      </w:r>
      <w:r w:rsidRPr="00176B90">
        <w:rPr>
          <w:rFonts w:ascii="Calibri" w:hAnsi="Calibri" w:cs="Calibri"/>
          <w:noProof/>
          <w:sz w:val="20"/>
          <w:lang w:val="de-DE"/>
        </w:rPr>
        <w:t>2020;(2019). http://arxiv.org/abs/2006.11848</w:t>
      </w:r>
    </w:p>
    <w:p w14:paraId="7A23EDDF"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76B90">
        <w:rPr>
          <w:rFonts w:ascii="Calibri" w:hAnsi="Calibri" w:cs="Calibri"/>
          <w:noProof/>
          <w:sz w:val="20"/>
          <w:lang w:val="de-DE"/>
        </w:rPr>
        <w:t xml:space="preserve">7. </w:t>
      </w:r>
      <w:r w:rsidRPr="00176B90">
        <w:rPr>
          <w:rFonts w:ascii="Calibri" w:hAnsi="Calibri" w:cs="Calibri"/>
          <w:noProof/>
          <w:sz w:val="20"/>
          <w:lang w:val="de-DE"/>
        </w:rPr>
        <w:tab/>
        <w:t xml:space="preserve">Volkmann C, Volkmann A, Müller CA. </w:t>
      </w:r>
      <w:r w:rsidRPr="001C2ECA">
        <w:rPr>
          <w:rFonts w:ascii="Calibri" w:hAnsi="Calibri" w:cs="Calibri"/>
          <w:noProof/>
          <w:sz w:val="20"/>
        </w:rPr>
        <w:t xml:space="preserve">On the treatment effect heterogeneity of antidepressants in major depression: A Bayesian meta-analysis and simulation study. </w:t>
      </w:r>
      <w:r w:rsidRPr="001C2ECA">
        <w:rPr>
          <w:rFonts w:ascii="Calibri" w:hAnsi="Calibri" w:cs="Calibri"/>
          <w:i/>
          <w:iCs/>
          <w:noProof/>
          <w:sz w:val="20"/>
        </w:rPr>
        <w:t>PLoS One</w:t>
      </w:r>
      <w:r w:rsidRPr="001C2ECA">
        <w:rPr>
          <w:rFonts w:ascii="Calibri" w:hAnsi="Calibri" w:cs="Calibri"/>
          <w:noProof/>
          <w:sz w:val="20"/>
        </w:rPr>
        <w:t>. 2020;15(11 November):1-22. doi:10.1371/journal.pone.0241497</w:t>
      </w:r>
    </w:p>
    <w:p w14:paraId="4F698749"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8. </w:t>
      </w:r>
      <w:r w:rsidRPr="001C2ECA">
        <w:rPr>
          <w:rFonts w:ascii="Calibri" w:hAnsi="Calibri" w:cs="Calibri"/>
          <w:noProof/>
          <w:sz w:val="20"/>
        </w:rPr>
        <w:tab/>
        <w:t xml:space="preserve">Nakagawa S, Poulin R, Mengersen K, et al. Meta-analysis of variation: Ecological and evolutionary applications and beyond. </w:t>
      </w:r>
      <w:r w:rsidRPr="001C2ECA">
        <w:rPr>
          <w:rFonts w:ascii="Calibri" w:hAnsi="Calibri" w:cs="Calibri"/>
          <w:i/>
          <w:iCs/>
          <w:noProof/>
          <w:sz w:val="20"/>
        </w:rPr>
        <w:t>Methods Ecol Evol</w:t>
      </w:r>
      <w:r w:rsidRPr="001C2ECA">
        <w:rPr>
          <w:rFonts w:ascii="Calibri" w:hAnsi="Calibri" w:cs="Calibri"/>
          <w:noProof/>
          <w:sz w:val="20"/>
        </w:rPr>
        <w:t>. 2015;6(2):143-152. doi:10.1111/2041-210X.12309</w:t>
      </w:r>
    </w:p>
    <w:p w14:paraId="1E77DE5A"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9. </w:t>
      </w:r>
      <w:r w:rsidRPr="001C2ECA">
        <w:rPr>
          <w:rFonts w:ascii="Calibri" w:hAnsi="Calibri" w:cs="Calibri"/>
          <w:noProof/>
          <w:sz w:val="20"/>
        </w:rPr>
        <w:tab/>
        <w:t xml:space="preserve">Balduzzi S, Rücker G, Schwarzer G. How to perform a meta-analysis with R: A practical tutorial. </w:t>
      </w:r>
      <w:r w:rsidRPr="001C2ECA">
        <w:rPr>
          <w:rFonts w:ascii="Calibri" w:hAnsi="Calibri" w:cs="Calibri"/>
          <w:i/>
          <w:iCs/>
          <w:noProof/>
          <w:sz w:val="20"/>
        </w:rPr>
        <w:t>Evid Based Ment Health</w:t>
      </w:r>
      <w:r w:rsidRPr="001C2ECA">
        <w:rPr>
          <w:rFonts w:ascii="Calibri" w:hAnsi="Calibri" w:cs="Calibri"/>
          <w:noProof/>
          <w:sz w:val="20"/>
        </w:rPr>
        <w:t>. 2019;22(4):153-160. doi:10.1136/ebmental-2019-300117</w:t>
      </w:r>
    </w:p>
    <w:p w14:paraId="7799EC92" w14:textId="77777777" w:rsidR="001C2ECA" w:rsidRPr="001C2ECA" w:rsidRDefault="001C2ECA" w:rsidP="001C2ECA">
      <w:pPr>
        <w:widowControl w:val="0"/>
        <w:autoSpaceDE w:val="0"/>
        <w:autoSpaceDN w:val="0"/>
        <w:adjustRightInd w:val="0"/>
        <w:spacing w:line="360" w:lineRule="auto"/>
        <w:ind w:left="640" w:hanging="640"/>
        <w:rPr>
          <w:rFonts w:ascii="Calibri" w:hAnsi="Calibri" w:cs="Calibri"/>
          <w:noProof/>
          <w:sz w:val="20"/>
        </w:rPr>
      </w:pPr>
      <w:r w:rsidRPr="001C2ECA">
        <w:rPr>
          <w:rFonts w:ascii="Calibri" w:hAnsi="Calibri" w:cs="Calibri"/>
          <w:noProof/>
          <w:sz w:val="20"/>
        </w:rPr>
        <w:t xml:space="preserve">10. </w:t>
      </w:r>
      <w:r w:rsidRPr="001C2ECA">
        <w:rPr>
          <w:rFonts w:ascii="Calibri" w:hAnsi="Calibri" w:cs="Calibri"/>
          <w:noProof/>
          <w:sz w:val="20"/>
        </w:rPr>
        <w:tab/>
        <w:t xml:space="preserve">Higgins JPT, Thompson SG. Quantifying heterogeneity in a meta-analysis. </w:t>
      </w:r>
      <w:r w:rsidRPr="001C2ECA">
        <w:rPr>
          <w:rFonts w:ascii="Calibri" w:hAnsi="Calibri" w:cs="Calibri"/>
          <w:i/>
          <w:iCs/>
          <w:noProof/>
          <w:sz w:val="20"/>
        </w:rPr>
        <w:t>Stat Med</w:t>
      </w:r>
      <w:r w:rsidRPr="001C2ECA">
        <w:rPr>
          <w:rFonts w:ascii="Calibri" w:hAnsi="Calibri" w:cs="Calibri"/>
          <w:noProof/>
          <w:sz w:val="20"/>
        </w:rPr>
        <w:t>. 2002;21(11):1539-1558. doi:10.1002/sim.1186</w:t>
      </w:r>
    </w:p>
    <w:p w14:paraId="24C578A1" w14:textId="6715A0FC" w:rsidR="006A7D4D" w:rsidRPr="00E20CF3" w:rsidRDefault="006A7D4D" w:rsidP="001C2ECA">
      <w:pPr>
        <w:widowControl w:val="0"/>
        <w:autoSpaceDE w:val="0"/>
        <w:autoSpaceDN w:val="0"/>
        <w:adjustRightInd w:val="0"/>
        <w:spacing w:line="360" w:lineRule="auto"/>
        <w:ind w:left="640" w:hanging="640"/>
        <w:rPr>
          <w:rFonts w:ascii="Calibri" w:eastAsiaTheme="minorEastAsia" w:hAnsi="Calibri" w:cs="Calibri"/>
          <w:b/>
          <w:bCs/>
          <w:sz w:val="20"/>
          <w:szCs w:val="20"/>
        </w:rPr>
      </w:pPr>
      <w:r>
        <w:rPr>
          <w:rFonts w:ascii="Calibri" w:eastAsiaTheme="minorEastAsia" w:hAnsi="Calibri" w:cs="Calibri"/>
          <w:b/>
          <w:bCs/>
          <w:sz w:val="20"/>
          <w:szCs w:val="20"/>
        </w:rPr>
        <w:fldChar w:fldCharType="end"/>
      </w:r>
    </w:p>
    <w:sectPr w:rsidR="006A7D4D" w:rsidRPr="00E20CF3" w:rsidSect="006A5BE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D6F41" w14:textId="77777777" w:rsidR="00890F63" w:rsidRDefault="00890F63" w:rsidP="00421535">
      <w:r>
        <w:separator/>
      </w:r>
    </w:p>
  </w:endnote>
  <w:endnote w:type="continuationSeparator" w:id="0">
    <w:p w14:paraId="75D22B8A" w14:textId="77777777" w:rsidR="00890F63" w:rsidRDefault="00890F63" w:rsidP="0042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1"/>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717487"/>
      <w:docPartObj>
        <w:docPartGallery w:val="Page Numbers (Bottom of Page)"/>
        <w:docPartUnique/>
      </w:docPartObj>
    </w:sdtPr>
    <w:sdtEndPr/>
    <w:sdtContent>
      <w:p w14:paraId="1C2674F4" w14:textId="1FC39424" w:rsidR="00421535" w:rsidRDefault="00421535">
        <w:pPr>
          <w:pStyle w:val="Footer"/>
        </w:pPr>
        <w:r>
          <w:fldChar w:fldCharType="begin"/>
        </w:r>
        <w:r>
          <w:instrText>PAGE   \* MERGEFORMAT</w:instrText>
        </w:r>
        <w:r>
          <w:fldChar w:fldCharType="separate"/>
        </w:r>
        <w:r w:rsidRPr="00421535">
          <w:rPr>
            <w:noProof/>
            <w:lang w:val="it-IT"/>
          </w:rPr>
          <w:t>1</w:t>
        </w:r>
        <w:r>
          <w:fldChar w:fldCharType="end"/>
        </w:r>
      </w:p>
    </w:sdtContent>
  </w:sdt>
  <w:p w14:paraId="15F8BB2A" w14:textId="77777777" w:rsidR="00421535" w:rsidRDefault="00421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C60B5" w14:textId="77777777" w:rsidR="00890F63" w:rsidRDefault="00890F63" w:rsidP="00421535">
      <w:r>
        <w:separator/>
      </w:r>
    </w:p>
  </w:footnote>
  <w:footnote w:type="continuationSeparator" w:id="0">
    <w:p w14:paraId="10814763" w14:textId="77777777" w:rsidR="00890F63" w:rsidRDefault="00890F63" w:rsidP="00421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32C2D"/>
    <w:multiLevelType w:val="hybridMultilevel"/>
    <w:tmpl w:val="B82CEB96"/>
    <w:lvl w:ilvl="0" w:tplc="F488C90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42"/>
    <w:rsid w:val="00001E80"/>
    <w:rsid w:val="0000556F"/>
    <w:rsid w:val="000060CD"/>
    <w:rsid w:val="00006483"/>
    <w:rsid w:val="00037649"/>
    <w:rsid w:val="00051EFF"/>
    <w:rsid w:val="00066E63"/>
    <w:rsid w:val="000B0D1A"/>
    <w:rsid w:val="000C1650"/>
    <w:rsid w:val="00106BFC"/>
    <w:rsid w:val="00153D63"/>
    <w:rsid w:val="0016743C"/>
    <w:rsid w:val="00173B82"/>
    <w:rsid w:val="00176B90"/>
    <w:rsid w:val="001A7969"/>
    <w:rsid w:val="001C2ECA"/>
    <w:rsid w:val="001D2EF1"/>
    <w:rsid w:val="001D64DE"/>
    <w:rsid w:val="001E0D7A"/>
    <w:rsid w:val="001E3128"/>
    <w:rsid w:val="001E43ED"/>
    <w:rsid w:val="001F1422"/>
    <w:rsid w:val="0020222B"/>
    <w:rsid w:val="002245C5"/>
    <w:rsid w:val="0022698A"/>
    <w:rsid w:val="002526DC"/>
    <w:rsid w:val="002661F2"/>
    <w:rsid w:val="002853AE"/>
    <w:rsid w:val="00285F98"/>
    <w:rsid w:val="00293EC8"/>
    <w:rsid w:val="002A01CC"/>
    <w:rsid w:val="002A363C"/>
    <w:rsid w:val="002A3AFE"/>
    <w:rsid w:val="002B4CE4"/>
    <w:rsid w:val="002B5602"/>
    <w:rsid w:val="002C3B25"/>
    <w:rsid w:val="002D7D11"/>
    <w:rsid w:val="002F73A6"/>
    <w:rsid w:val="0030144B"/>
    <w:rsid w:val="00312F45"/>
    <w:rsid w:val="00315F22"/>
    <w:rsid w:val="003331D4"/>
    <w:rsid w:val="003338EF"/>
    <w:rsid w:val="00346FED"/>
    <w:rsid w:val="00347BE1"/>
    <w:rsid w:val="003666BA"/>
    <w:rsid w:val="003820EE"/>
    <w:rsid w:val="0038775A"/>
    <w:rsid w:val="00391402"/>
    <w:rsid w:val="003B2E05"/>
    <w:rsid w:val="003B51F3"/>
    <w:rsid w:val="003C3303"/>
    <w:rsid w:val="003C5880"/>
    <w:rsid w:val="003D05E2"/>
    <w:rsid w:val="003D629F"/>
    <w:rsid w:val="003F2507"/>
    <w:rsid w:val="003F598A"/>
    <w:rsid w:val="00403FE9"/>
    <w:rsid w:val="0040470C"/>
    <w:rsid w:val="00421535"/>
    <w:rsid w:val="00421E0B"/>
    <w:rsid w:val="00450A14"/>
    <w:rsid w:val="00454013"/>
    <w:rsid w:val="0046484D"/>
    <w:rsid w:val="00470642"/>
    <w:rsid w:val="0047511A"/>
    <w:rsid w:val="00477915"/>
    <w:rsid w:val="00480779"/>
    <w:rsid w:val="00486B04"/>
    <w:rsid w:val="00495B98"/>
    <w:rsid w:val="00497C19"/>
    <w:rsid w:val="004B7CE5"/>
    <w:rsid w:val="004E10C4"/>
    <w:rsid w:val="004E43C0"/>
    <w:rsid w:val="00505EA7"/>
    <w:rsid w:val="00517E57"/>
    <w:rsid w:val="00544227"/>
    <w:rsid w:val="00581896"/>
    <w:rsid w:val="00590750"/>
    <w:rsid w:val="0059647E"/>
    <w:rsid w:val="005B2B60"/>
    <w:rsid w:val="005F6567"/>
    <w:rsid w:val="006131BE"/>
    <w:rsid w:val="006256A7"/>
    <w:rsid w:val="0063040B"/>
    <w:rsid w:val="00657EC2"/>
    <w:rsid w:val="00673E3F"/>
    <w:rsid w:val="00684667"/>
    <w:rsid w:val="006901BA"/>
    <w:rsid w:val="006937CE"/>
    <w:rsid w:val="006A5BE4"/>
    <w:rsid w:val="006A7D4D"/>
    <w:rsid w:val="006B725B"/>
    <w:rsid w:val="006D6D29"/>
    <w:rsid w:val="006D70A5"/>
    <w:rsid w:val="006E6AEA"/>
    <w:rsid w:val="00707B26"/>
    <w:rsid w:val="00712134"/>
    <w:rsid w:val="0071773E"/>
    <w:rsid w:val="00737E02"/>
    <w:rsid w:val="007431F2"/>
    <w:rsid w:val="00780967"/>
    <w:rsid w:val="0078412F"/>
    <w:rsid w:val="00790DFB"/>
    <w:rsid w:val="007A2164"/>
    <w:rsid w:val="007A2CD1"/>
    <w:rsid w:val="007B1ACB"/>
    <w:rsid w:val="007C3F65"/>
    <w:rsid w:val="007C3FA6"/>
    <w:rsid w:val="0080121C"/>
    <w:rsid w:val="00811667"/>
    <w:rsid w:val="00817C25"/>
    <w:rsid w:val="00863284"/>
    <w:rsid w:val="008640F7"/>
    <w:rsid w:val="0086526F"/>
    <w:rsid w:val="0086599E"/>
    <w:rsid w:val="0086752B"/>
    <w:rsid w:val="00882074"/>
    <w:rsid w:val="00890B44"/>
    <w:rsid w:val="00890F63"/>
    <w:rsid w:val="008A6643"/>
    <w:rsid w:val="008C366F"/>
    <w:rsid w:val="008C7C7A"/>
    <w:rsid w:val="008E3B6D"/>
    <w:rsid w:val="008E7F81"/>
    <w:rsid w:val="008F2813"/>
    <w:rsid w:val="008F78B9"/>
    <w:rsid w:val="00901EB6"/>
    <w:rsid w:val="009022BC"/>
    <w:rsid w:val="00910C1C"/>
    <w:rsid w:val="009138B4"/>
    <w:rsid w:val="009173B5"/>
    <w:rsid w:val="0093249B"/>
    <w:rsid w:val="00932FCA"/>
    <w:rsid w:val="00934D63"/>
    <w:rsid w:val="009437AE"/>
    <w:rsid w:val="00946569"/>
    <w:rsid w:val="00962893"/>
    <w:rsid w:val="00984770"/>
    <w:rsid w:val="0099410B"/>
    <w:rsid w:val="009B419F"/>
    <w:rsid w:val="009B669F"/>
    <w:rsid w:val="009E0FFB"/>
    <w:rsid w:val="009F07D0"/>
    <w:rsid w:val="00A1356D"/>
    <w:rsid w:val="00A2114B"/>
    <w:rsid w:val="00A24422"/>
    <w:rsid w:val="00A55E0F"/>
    <w:rsid w:val="00A73BF5"/>
    <w:rsid w:val="00AC1E87"/>
    <w:rsid w:val="00AD6566"/>
    <w:rsid w:val="00AF1861"/>
    <w:rsid w:val="00AF3894"/>
    <w:rsid w:val="00B02789"/>
    <w:rsid w:val="00B12A73"/>
    <w:rsid w:val="00B12C57"/>
    <w:rsid w:val="00B2270B"/>
    <w:rsid w:val="00B9704C"/>
    <w:rsid w:val="00BA2DE2"/>
    <w:rsid w:val="00BA2F29"/>
    <w:rsid w:val="00BC6704"/>
    <w:rsid w:val="00BE1CDF"/>
    <w:rsid w:val="00BE7C7D"/>
    <w:rsid w:val="00C23C8C"/>
    <w:rsid w:val="00C510AC"/>
    <w:rsid w:val="00C516B6"/>
    <w:rsid w:val="00C539F7"/>
    <w:rsid w:val="00C61566"/>
    <w:rsid w:val="00C66EAD"/>
    <w:rsid w:val="00C87F85"/>
    <w:rsid w:val="00CA31C7"/>
    <w:rsid w:val="00CA3511"/>
    <w:rsid w:val="00CB349E"/>
    <w:rsid w:val="00CB638C"/>
    <w:rsid w:val="00CD0B1D"/>
    <w:rsid w:val="00CF5E56"/>
    <w:rsid w:val="00D00F07"/>
    <w:rsid w:val="00D31B68"/>
    <w:rsid w:val="00D6597A"/>
    <w:rsid w:val="00D67D83"/>
    <w:rsid w:val="00D74D81"/>
    <w:rsid w:val="00DB16FD"/>
    <w:rsid w:val="00DB3809"/>
    <w:rsid w:val="00DE04AF"/>
    <w:rsid w:val="00DE5C44"/>
    <w:rsid w:val="00E00EC7"/>
    <w:rsid w:val="00E02457"/>
    <w:rsid w:val="00E129C5"/>
    <w:rsid w:val="00E1380A"/>
    <w:rsid w:val="00E1472A"/>
    <w:rsid w:val="00E20CF3"/>
    <w:rsid w:val="00E22884"/>
    <w:rsid w:val="00E31717"/>
    <w:rsid w:val="00E4552F"/>
    <w:rsid w:val="00E60FE0"/>
    <w:rsid w:val="00E62E31"/>
    <w:rsid w:val="00E7421F"/>
    <w:rsid w:val="00E859CB"/>
    <w:rsid w:val="00EA2B0B"/>
    <w:rsid w:val="00EA590A"/>
    <w:rsid w:val="00EC14FA"/>
    <w:rsid w:val="00EF2D2B"/>
    <w:rsid w:val="00F0290A"/>
    <w:rsid w:val="00F02F78"/>
    <w:rsid w:val="00F03E44"/>
    <w:rsid w:val="00F101BB"/>
    <w:rsid w:val="00F34CE7"/>
    <w:rsid w:val="00F41641"/>
    <w:rsid w:val="00F515A9"/>
    <w:rsid w:val="00F708D6"/>
    <w:rsid w:val="00F73BA0"/>
    <w:rsid w:val="00F75E31"/>
    <w:rsid w:val="00F95845"/>
    <w:rsid w:val="00FB3ED4"/>
    <w:rsid w:val="00FC7753"/>
    <w:rsid w:val="00FD39A4"/>
    <w:rsid w:val="00FF0C45"/>
    <w:rsid w:val="00FF0CC3"/>
    <w:rsid w:val="00FF51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5538"/>
  <w15:chartTrackingRefBased/>
  <w15:docId w15:val="{A8746F74-25CA-7F4D-B24D-06DC0F01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D81"/>
  </w:style>
  <w:style w:type="paragraph" w:styleId="Heading1">
    <w:name w:val="heading 1"/>
    <w:basedOn w:val="Normal"/>
    <w:next w:val="Normal"/>
    <w:link w:val="Heading1Char"/>
    <w:qFormat/>
    <w:rsid w:val="00EA590A"/>
    <w:pPr>
      <w:keepNext/>
      <w:keepLines/>
      <w:spacing w:before="240"/>
      <w:outlineLvl w:val="0"/>
    </w:pPr>
    <w:rPr>
      <w:rFonts w:asciiTheme="majorHAnsi" w:eastAsiaTheme="majorEastAsia" w:hAnsiTheme="majorHAnsi" w:cstheme="majorBidi"/>
      <w:color w:val="2F5496" w:themeColor="accent1" w:themeShade="BF"/>
      <w:kern w:val="28"/>
      <w:sz w:val="32"/>
      <w:szCs w:val="32"/>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qFormat/>
    <w:rsid w:val="00E129C5"/>
    <w:pPr>
      <w:pBdr>
        <w:top w:val="nil"/>
        <w:left w:val="nil"/>
        <w:bottom w:val="nil"/>
        <w:right w:val="nil"/>
        <w:between w:val="nil"/>
        <w:bar w:val="nil"/>
      </w:pBdr>
    </w:pPr>
    <w:rPr>
      <w:rFonts w:ascii="Times New Roman" w:eastAsia="Arial Unicode MS" w:hAnsi="Times New Roman" w:cs="Times New Roman"/>
      <w:bdr w:val="nil"/>
      <w:lang w:val="en-US"/>
    </w:rPr>
  </w:style>
  <w:style w:type="character" w:styleId="PlaceholderText">
    <w:name w:val="Placeholder Text"/>
    <w:basedOn w:val="DefaultParagraphFont"/>
    <w:uiPriority w:val="99"/>
    <w:semiHidden/>
    <w:rsid w:val="003331D4"/>
    <w:rPr>
      <w:color w:val="808080"/>
    </w:rPr>
  </w:style>
  <w:style w:type="character" w:styleId="CommentReference">
    <w:name w:val="annotation reference"/>
    <w:basedOn w:val="DefaultParagraphFont"/>
    <w:uiPriority w:val="99"/>
    <w:semiHidden/>
    <w:unhideWhenUsed/>
    <w:rsid w:val="007C3FA6"/>
    <w:rPr>
      <w:sz w:val="16"/>
      <w:szCs w:val="16"/>
    </w:rPr>
  </w:style>
  <w:style w:type="paragraph" w:styleId="CommentText">
    <w:name w:val="annotation text"/>
    <w:basedOn w:val="Normal"/>
    <w:link w:val="CommentTextChar"/>
    <w:uiPriority w:val="99"/>
    <w:unhideWhenUsed/>
    <w:rsid w:val="007C3FA6"/>
    <w:rPr>
      <w:sz w:val="20"/>
      <w:szCs w:val="20"/>
    </w:rPr>
  </w:style>
  <w:style w:type="character" w:customStyle="1" w:styleId="CommentTextChar">
    <w:name w:val="Comment Text Char"/>
    <w:basedOn w:val="DefaultParagraphFont"/>
    <w:link w:val="CommentText"/>
    <w:uiPriority w:val="99"/>
    <w:rsid w:val="007C3FA6"/>
    <w:rPr>
      <w:sz w:val="20"/>
      <w:szCs w:val="20"/>
    </w:rPr>
  </w:style>
  <w:style w:type="paragraph" w:styleId="CommentSubject">
    <w:name w:val="annotation subject"/>
    <w:basedOn w:val="CommentText"/>
    <w:next w:val="CommentText"/>
    <w:link w:val="CommentSubjectChar"/>
    <w:uiPriority w:val="99"/>
    <w:semiHidden/>
    <w:unhideWhenUsed/>
    <w:rsid w:val="007C3FA6"/>
    <w:rPr>
      <w:b/>
      <w:bCs/>
    </w:rPr>
  </w:style>
  <w:style w:type="character" w:customStyle="1" w:styleId="CommentSubjectChar">
    <w:name w:val="Comment Subject Char"/>
    <w:basedOn w:val="CommentTextChar"/>
    <w:link w:val="CommentSubject"/>
    <w:uiPriority w:val="99"/>
    <w:semiHidden/>
    <w:rsid w:val="007C3FA6"/>
    <w:rPr>
      <w:b/>
      <w:bCs/>
      <w:sz w:val="20"/>
      <w:szCs w:val="20"/>
    </w:rPr>
  </w:style>
  <w:style w:type="paragraph" w:styleId="BalloonText">
    <w:name w:val="Balloon Text"/>
    <w:basedOn w:val="Normal"/>
    <w:link w:val="BalloonTextChar"/>
    <w:uiPriority w:val="99"/>
    <w:semiHidden/>
    <w:unhideWhenUsed/>
    <w:rsid w:val="00A55E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5E0F"/>
    <w:rPr>
      <w:rFonts w:ascii="Segoe UI" w:hAnsi="Segoe UI" w:cs="Segoe UI"/>
      <w:sz w:val="18"/>
      <w:szCs w:val="18"/>
    </w:rPr>
  </w:style>
  <w:style w:type="character" w:styleId="Hyperlink">
    <w:name w:val="Hyperlink"/>
    <w:basedOn w:val="DefaultParagraphFont"/>
    <w:uiPriority w:val="99"/>
    <w:unhideWhenUsed/>
    <w:rsid w:val="0078412F"/>
    <w:rPr>
      <w:color w:val="0563C1" w:themeColor="hyperlink"/>
      <w:u w:val="single"/>
    </w:rPr>
  </w:style>
  <w:style w:type="character" w:customStyle="1" w:styleId="Heading1Char">
    <w:name w:val="Heading 1 Char"/>
    <w:basedOn w:val="DefaultParagraphFont"/>
    <w:link w:val="Heading1"/>
    <w:rsid w:val="00EA590A"/>
    <w:rPr>
      <w:rFonts w:asciiTheme="majorHAnsi" w:eastAsiaTheme="majorEastAsia" w:hAnsiTheme="majorHAnsi" w:cstheme="majorBidi"/>
      <w:color w:val="2F5496" w:themeColor="accent1" w:themeShade="BF"/>
      <w:kern w:val="28"/>
      <w:sz w:val="32"/>
      <w:szCs w:val="32"/>
      <w:lang w:val="en-CA" w:eastAsia="en-CA"/>
    </w:rPr>
  </w:style>
  <w:style w:type="paragraph" w:customStyle="1" w:styleId="Default">
    <w:name w:val="Default"/>
    <w:rsid w:val="00EA590A"/>
    <w:pPr>
      <w:widowControl w:val="0"/>
      <w:autoSpaceDE w:val="0"/>
      <w:autoSpaceDN w:val="0"/>
      <w:adjustRightInd w:val="0"/>
    </w:pPr>
    <w:rPr>
      <w:rFonts w:ascii="Calibri" w:eastAsia="Times New Roman" w:hAnsi="Calibri" w:cs="Calibri"/>
      <w:color w:val="000000"/>
      <w:lang w:val="en-CA" w:eastAsia="en-CA"/>
    </w:rPr>
  </w:style>
  <w:style w:type="paragraph" w:customStyle="1" w:styleId="CM1">
    <w:name w:val="CM1"/>
    <w:basedOn w:val="Default"/>
    <w:next w:val="Default"/>
    <w:rsid w:val="00EA590A"/>
    <w:rPr>
      <w:rFonts w:cs="Times New Roman"/>
      <w:color w:val="auto"/>
    </w:rPr>
  </w:style>
  <w:style w:type="paragraph" w:styleId="ListParagraph">
    <w:name w:val="List Paragraph"/>
    <w:basedOn w:val="Normal"/>
    <w:uiPriority w:val="34"/>
    <w:qFormat/>
    <w:rsid w:val="00F34CE7"/>
    <w:pPr>
      <w:ind w:left="720"/>
      <w:contextualSpacing/>
    </w:pPr>
  </w:style>
  <w:style w:type="paragraph" w:styleId="Header">
    <w:name w:val="header"/>
    <w:basedOn w:val="Normal"/>
    <w:link w:val="HeaderChar"/>
    <w:uiPriority w:val="99"/>
    <w:unhideWhenUsed/>
    <w:rsid w:val="00421535"/>
    <w:pPr>
      <w:tabs>
        <w:tab w:val="center" w:pos="4819"/>
        <w:tab w:val="right" w:pos="9638"/>
      </w:tabs>
    </w:pPr>
  </w:style>
  <w:style w:type="character" w:customStyle="1" w:styleId="HeaderChar">
    <w:name w:val="Header Char"/>
    <w:basedOn w:val="DefaultParagraphFont"/>
    <w:link w:val="Header"/>
    <w:uiPriority w:val="99"/>
    <w:rsid w:val="00421535"/>
  </w:style>
  <w:style w:type="paragraph" w:styleId="Footer">
    <w:name w:val="footer"/>
    <w:basedOn w:val="Normal"/>
    <w:link w:val="FooterChar"/>
    <w:uiPriority w:val="99"/>
    <w:unhideWhenUsed/>
    <w:rsid w:val="00421535"/>
    <w:pPr>
      <w:tabs>
        <w:tab w:val="center" w:pos="4819"/>
        <w:tab w:val="right" w:pos="9638"/>
      </w:tabs>
    </w:pPr>
  </w:style>
  <w:style w:type="character" w:customStyle="1" w:styleId="FooterChar">
    <w:name w:val="Footer Char"/>
    <w:basedOn w:val="DefaultParagraphFont"/>
    <w:link w:val="Footer"/>
    <w:uiPriority w:val="99"/>
    <w:rsid w:val="00421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464145">
      <w:bodyDiv w:val="1"/>
      <w:marLeft w:val="0"/>
      <w:marRight w:val="0"/>
      <w:marTop w:val="0"/>
      <w:marBottom w:val="0"/>
      <w:divBdr>
        <w:top w:val="none" w:sz="0" w:space="0" w:color="auto"/>
        <w:left w:val="none" w:sz="0" w:space="0" w:color="auto"/>
        <w:bottom w:val="none" w:sz="0" w:space="0" w:color="auto"/>
        <w:right w:val="none" w:sz="0" w:space="0" w:color="auto"/>
      </w:divBdr>
      <w:divsChild>
        <w:div w:id="221867552">
          <w:marLeft w:val="0"/>
          <w:marRight w:val="0"/>
          <w:marTop w:val="0"/>
          <w:marBottom w:val="0"/>
          <w:divBdr>
            <w:top w:val="none" w:sz="0" w:space="0" w:color="auto"/>
            <w:left w:val="none" w:sz="0" w:space="0" w:color="auto"/>
            <w:bottom w:val="none" w:sz="0" w:space="0" w:color="auto"/>
            <w:right w:val="none" w:sz="0" w:space="0" w:color="auto"/>
          </w:divBdr>
        </w:div>
        <w:div w:id="1971662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188F8-0E84-4F2B-8E3F-D96EF165D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8942</Words>
  <Characters>50970</Characters>
  <Application>Microsoft Office Word</Application>
  <DocSecurity>0</DocSecurity>
  <Lines>424</Lines>
  <Paragraphs>119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McCutcheon, Robert</dc:creator>
  <cp:keywords/>
  <dc:description/>
  <cp:lastModifiedBy>McCutcheon, Robert</cp:lastModifiedBy>
  <cp:revision>3</cp:revision>
  <cp:lastPrinted>2022-01-18T17:11:00Z</cp:lastPrinted>
  <dcterms:created xsi:type="dcterms:W3CDTF">2022-01-24T07:19:00Z</dcterms:created>
  <dcterms:modified xsi:type="dcterms:W3CDTF">2022-01-24T07:21:00Z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6fc0edc7-287d-396f-8010-d02e12a732bf</vt:lpwstr>
  </property>
  <property fmtid="{D5CDD505-2E9C-101B-9397-08002B2CF9AE}" pid="4" name="Mendeley Citation Style_1">
    <vt:lpwstr>http://www.zotero.org/styles/world-psychiatry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http://www.zotero.org/styles/world-psychiatry</vt:lpwstr>
  </property>
  <property fmtid="{D5CDD505-2E9C-101B-9397-08002B2CF9AE}" pid="24" name="Mendeley Recent Style Name 9_1">
    <vt:lpwstr>World Psychiatry</vt:lpwstr>
  </property>
</Properties>
</file>