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6F5F2"/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MACHINE LEARNING CANVAS</w:t>
      </w:r>
      <w:r w:rsidDel="00000000" w:rsidR="00000000" w:rsidRPr="00000000"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MiBici · Rebalanceo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/>
      </w:r>
      <w:r w:rsidDel="00000000" w:rsidR="00000000" w:rsidRPr="00000000"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/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Equipo 04 · TC5044.10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24/10/2026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2  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ey8zlrtsndyk" w:id="2"/>
            <w:bookmarkEnd w:id="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is the type of task?</w:t>
              <w:br w:type="textWrapping"/>
              <w:t xml:space="preserve">Which entity are predictions made on?</w:t>
              <w:br w:type="textWrapping"/>
              <w:t xml:space="preserve">What are the possible outcomes to predict?</w:t>
              <w:br w:type="textWrapping"/>
              <w:t xml:space="preserve">When are outcomes observed?</w:t>
              <w:br w:type="textWrapping"/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regresión de conteos sobre series de tiempo, con un modelo global para todas las estaciones.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Entidad: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estación × hora, solo en los días en que la estación está activa (28.2 M filas, 486 estaciones, 2014-12 a 2026-09).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Resultado: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salidas = viajes iniciados en la estación en esa hora; entero ≥ 0 (54.4 % ceros, media 1.38, p99 = 11, máx. 207). Son viajes observados, no demanda: los no realizados por falta de bicicleta no se registran.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Cuándo se observa: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al cerrar cada hora; el día D+1 completo se conoce al cierre de D+1. Los datos públicos se publican por mes.</w:t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3"/>
            <w:bookmarkEnd w:id="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6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n3znq0gcdzbg" w:id="4"/>
            <w:bookmarkEnd w:id="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are predictions turned into actionable recommendations or decisions for the end-user? (Mention parameters of the process / application for this.)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pronóstico de D+1 por estación y hora alimenta el plan de rebalanceo del día siguiente: qué estaciones priorizar, en qué franja horaria y cuántas bicicletas mover aproximadamente.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Parámetros: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pronóstico al cierre del día D; horizonte de 24 h; granularidad horaria; solo estaciones vigentes.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Límite: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modelo informa la decisión, no la resuelve. Rutas y capacidad de los camiones las define Operaciones (fuera de alcance).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5"/>
            <w:bookmarkEnd w:id="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b="0" l="0" r="0" t="0"/>
                  <wp:wrapSquare wrapText="bothSides" distB="0" distT="0" distL="0" distR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dxjs2hhn8jih" w:id="6"/>
            <w:bookmarkEnd w:id="6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Who is the end beneficiary, and what specific pain points are addressed?</w:t>
              <w:br w:type="textWrapping"/>
              <w:t xml:space="preserve">How will the ML solution integrate with their workflow, and through which user interfaces?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Beneficiario: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Coordinación de operaciones y logística de MiBici, que planea el rebalanceo con camiones (supuesto: sin contacto directo con MiBici).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Problema: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salidas y llegadas desequilibradas en espacio y tiempo: estación vacía → viajes perdidos; estación llena → el usuario no puede devolver la bicicleta.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Propuesta: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pasar de planear con experiencia o promedios simples a un pronóstico por estación y hora que capte hora, día de la semana, estacionalidad, tendencia de la red y las 100 estaciones nuevas de 2026.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7"/>
            <w:bookmarkEnd w:id="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bycxw25eie8y" w:id="8"/>
            <w:bookmarkEnd w:id="8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How is the initial set of entities and outcomes sourced (e.g., database extracts, API pulls, manual labeling)?</w:t>
              <w:br w:type="textWrapping"/>
              <w:t xml:space="preserve">What strategies are in place to update data continuously while controlling cost and maintaining freshness?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Carga inicial: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make data descarga del portal de datos abiertos los 142 CSV mensuales de viajes y la nomenclatura, y genera references/data_manifest.csv con el SHA-256 de cada archivo.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Las etiquetas salen del propio histórico de viajes; no hay etiquetado manual.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Actualización: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con cada mes publicado: make data (omite archivos completos) → make interim → make station-hour; cada versión se registra en MLflow (reglas, calidad, commit, digest). Raw inmutable; la ingesta valida el encabezado (16 cambios de formato en el histórico).</w:t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9"/>
            <w:bookmarkEnd w:id="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3ktfmkup4get" w:id="10"/>
            <w:bookmarkEnd w:id="1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Where can we get data on entities and observed outcomes? (Mention internal and external database tables or API methods.)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Datos abiertos de MiBici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(mibici.net/en/open-data):</w:t>
            </w:r>
          </w:p>
          <w:p>
            <w:pPr>
              <w:spacing w:before="0" w:after="30" w:line="228" w:lineRule="auto"/>
              <w:ind w:left="120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– Viajes: 142 CSV mensuales, 39.08 M viajes (2014-12 a 2026-09). Columnas: Viaje_Id, Usuario_Id, Genero, Año_de_nacimiento, Inicio/Fin del viaje, Origen_Id, Destino_Id.</w:t>
            </w:r>
          </w:p>
          <w:p>
            <w:pPr>
              <w:spacing w:before="0" w:after="30" w:line="228" w:lineRule="auto"/>
              <w:ind w:left="120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– Nomenclatura 2026-09: id, nombre, latitud, longitud, capacidad. Es una sola foto, no un histórico.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No disponibles: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clima, eventos, inventario de bicicletas, ocupación de anclajes y viajes no realizados.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Externo opcional: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calendario de días festivos (fase posterior).</w:t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1"/>
            <w:bookmarkEnd w:id="1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12"/>
            <w:bookmarkEnd w:id="1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are the cost/gain values for (in)correct decisions?</w:t>
              <w:br w:type="textWrapping"/>
              <w:t xml:space="preserve">Which data is used to simulate pre-deployment impact?</w:t>
              <w:br w:type="textWrapping"/>
              <w:t xml:space="preserve">What are the criteria for deployment?</w:t>
              <w:br w:type="textWrapping"/>
              <w:t xml:space="preserve">Are there fairness constraints?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Costo/beneficio: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subestimar → estación vacía y viajes perdidos; sobreestimar → viajes de camión innecesarios. MiBici no publica costos, así que no se cuantifica en pesos (limitación).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Simulación: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backtesting temporal con ventanas que avanzan sobre los meses más recientes; periodo de prueba pendiente por la expansión de 2026.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Despliegue: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superar en MAE y WAPE a los baselines D-7 (misma hora, semana anterior) y promedio de 4 semanas, en total y por segmento (pico/valle, nueva/consolidada).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Equidad: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sin variables personales (usuario, género, edad); estaciones nuevas evaluadas por separado.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bookmarkStart w:colFirst="0" w:colLast="0" w:name="_5s79pjkaaapc" w:id="13"/>
            <w:bookmarkEnd w:id="1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rxt7dvm8btd" w:id="14"/>
            <w:bookmarkEnd w:id="1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Are predictions made in batch or in real time?</w:t>
              <w:br w:type="textWrapping"/>
              <w:t xml:space="preserve">How frequently?</w:t>
              <w:br w:type="textWrapping"/>
              <w:t xml:space="preserve">How much time is available for this (including featurization and decisions)?</w:t>
              <w:br w:type="textWrapping"/>
              <w:t xml:space="preserve">Which computational resources are used?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batch.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Frecuencia: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una vez al día, al cierre del día D, para todas las estaciones vigentes (468 activas en 2026-09).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Tiempo: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entre el cierre de D y el inicio de la operación de D+1. Supuesto: requiere datos diarios; con los datos públicos (mensuales) solo se puede simular.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Cómputo: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CPU local, con pipeline reproducible (Make + ambiente conda mibici). La infraestructura productiva se define en fases posteriores.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Integración: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proceso batch nocturno que entrega una tabla de pronósticos de D+1 por estación y hora como insumo del plan del día. La interfaz final se define en fases posteriores.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Fuera de alcance: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demanda no satisfecha, inventario de bicicletas, ocupación de anclajes y optimización de rutas: el dataset no contiene esos datos.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81vf84j4p1ue" w:id="15"/>
            <w:bookmarkEnd w:id="1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uqcgz6o8ws7h" w:id="16"/>
            <w:bookmarkEnd w:id="16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many models are needed in production?</w:t>
              <w:br w:type="textWrapping"/>
              <w:t xml:space="preserve">When should they be updated?</w:t>
              <w:br w:type="textWrapping"/>
              <w:t xml:space="preserve">How much time is available for this (including featurization and analysis)?</w:t>
              <w:br w:type="textWrapping"/>
              <w:t xml:space="preserve">Which computation resources are used?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Modelos: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un modelo global para todas las estaciones, con los dos baselines como referencia permanente.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Actualización: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reentrenar con cada mes de datos nuevos o cuando el monitoreo detecte drift (p. ej., altas masivas de estaciones como en 2026).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Tiempo: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ciclo mensual de publicación deja días para regenerar datos, reentrenar y validar.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Cómputo y trazabilidad: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CPU local. MLflow (backend SQLite + artifacts locales) registra versión de datos, parámetros, métricas y commit de cada corrida.</w:t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17"/>
            <w:bookmarkEnd w:id="1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pStyle w:val="Heading3"/>
              <w:spacing w:after="200" w:lineRule="auto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7efx3yacbscb" w:id="18"/>
            <w:bookmarkEnd w:id="18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representations are used for entities at prediction time?</w:t>
              <w:br w:type="textWrapping"/>
              <w:t xml:space="preserve">What aggregations or transformations are applied to raw data sources?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Disponibles el día anterior (sin fuga temporal):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calendario (hora, día de la semana, fin de semana, mes); rezagos de 1 y 7 días a la misma hora; medias de 7 y 28 días; llegadas; antigüedad de la estación; tamaño de la red; coordenadas y municipio.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Excluidas: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capacidad como dato histórico (es una foto de 2026-09); is_new_station e is_retired_by_activity (usan información futura); variables personales.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Transformaciones: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raw → interim (tipos, 2 formatos de fecha, faltantes, linaje, flags; −758 duplicados exactos) → estación × hora con ceros válidos solo en periodos activos.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Pendiente (EDA):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viajes &lt; 60 s y ventana de entrenamiento.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99rbzexhxp86" w:id="19"/>
            <w:bookmarkEnd w:id="1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MONITORING</w:t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yrsc8mhn4oky" w:id="20"/>
            <w:bookmarkEnd w:id="2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Which metrics and KPIs are used to track the ML solution’s impact once deployed, both for end-users and for the business?</w:t>
              <w:br w:type="textWrapping"/>
              <w:t xml:space="preserve">How often should they be reviewed?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56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Modelo: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MAE y WAPE del pronóstico frente a los viajes observados al día siguiente, en total y por segmento (pico/valle, nueva/consolidada).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Datos: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drift en la distribución de salidas y en las altas y bajas de estaciones.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20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Negocio: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horas con estación vacía o llena y viajes de rebalanceo. Requieren datos internos que MiBici no publica (supuesto).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Revisión: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error, a diario; drift y desempeño por segmento, con cada mes de datos nuevos y antes de reentrenar.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r:id="rId21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r:id="rId22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color w:val="a35a00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pageBreakBefore w:val="0"/>
        <w:rPr>
          <w:rFonts w:ascii="IBM Plex Sans" w:cs="IBM Plex Sans" w:eastAsia="IBM Plex Sans" w:hAnsi="IBM Plex Sans"/>
        </w:rPr>
      </w:pPr>
      <w:bookmarkStart w:colFirst="0" w:colLast="0" w:name="_c5vfevmt07y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Filling in all 10 boxes is the easy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870"/>
        <w:gridCol w:w="6900"/>
        <w:tblGridChange w:id="0">
          <w:tblGrid>
            <w:gridCol w:w="6630"/>
            <w:gridCol w:w="87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filled canvas isn't a plan. It's a set of claims: what's predictable, what data exists, who will act on the prediction, and what that's worth. Every one of them can be wrong on a canvas that looks finished.</w:t>
            </w:r>
          </w:p>
          <w:p w:rsidR="00000000" w:rsidDel="00000000" w:rsidP="00000000" w:rsidRDefault="00000000" w:rsidRPr="00000000" w14:paraId="0000002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7 checks before you build:</w:t>
            </w:r>
          </w:p>
          <w:p w:rsidR="00000000" w:rsidDel="00000000" w:rsidP="00000000" w:rsidRDefault="00000000" w:rsidRPr="00000000" w14:paraId="0000002F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number, in dollars.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What one avoided incident or one retained customer is worth. Without it you can't set a deployment threshold or defend a budget.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named person who acts on the prediction.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At a stated threshold, with capacity for the volume it produces.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Every feature available at the moment of prediction.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Anything you only know after the outcome is leakage. It inflates your offline results and nothing else.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Labels that exist.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Count the past cases whose outcome you already know, and how many of those are the case you're predicting. A case only counts once the wait window has closed: the time between making the prediction and seeing what actually happened.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holdout, if acting on the prediction changes the outcome.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Send a retention offer to everyone the model flags and you never learn who would have stayed anyway. The next model trains on results your own actions produced. Keep a small share out of it.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An evaluation counted in events, not rows.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 test set of 35,040 machine-hours can contain 3 or 4 failures, and a recall figure measured on 4 failures isn't stable. Aim for at least 30.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Legible to someone who wasn't in the room.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Most of the people who use it later weren't.</w:t>
            </w:r>
          </w:p>
          <w:p w:rsidR="00000000" w:rsidDel="00000000" w:rsidP="00000000" w:rsidRDefault="00000000" w:rsidRPr="00000000" w14:paraId="0000003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Whatever you can't answer is the work left before anyone writes code.</w:t>
            </w:r>
          </w:p>
          <w:p w:rsidR="00000000" w:rsidDel="00000000" w:rsidP="00000000" w:rsidRDefault="00000000" w:rsidRPr="00000000" w14:paraId="0000003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8"/>
                <w:szCs w:val="18"/>
                <w:rtl w:val="0"/>
              </w:rPr>
              <w:t xml:space="preserve">"The Canvas allowed us to structure and focus our delivery sprints. The ML system went live in June 2020 and still is."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br w:type="textWrapping"/>
              <w:t xml:space="preserve">— Christian Schiller, Senior IT &amp; Enterprise Architect, Deutsche Telekom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Get help running it</w:t>
            </w:r>
          </w:p>
          <w:p w:rsidR="00000000" w:rsidDel="00000000" w:rsidP="00000000" w:rsidRDefault="00000000" w:rsidRPr="00000000" w14:paraId="00000046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Louis Dorard created the canvas in 2015 and runs it as a working session on live projects: frame the problem, then test that framing against the data you actually have. You leave with a dollar estimate of what the system is worth, and a spec your engineers/agents can build from.</w:t>
            </w:r>
          </w:p>
          <w:p w:rsidR="00000000" w:rsidDel="00000000" w:rsidP="00000000" w:rsidRDefault="00000000" w:rsidRPr="00000000" w14:paraId="0000004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Bring a project you're scoping now, and you'll leave the call knowing which parts of your canvas your data won't support.</w:t>
            </w:r>
          </w:p>
          <w:p w:rsidR="00000000" w:rsidDel="00000000" w:rsidP="00000000" w:rsidRDefault="00000000" w:rsidRPr="00000000" w14:paraId="0000004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IBM Plex Sans" w:cs="IBM Plex Sans" w:eastAsia="IBM Plex Sans" w:hAnsi="IBM Plex Sans"/>
                <w:b w:val="1"/>
                <w:bCs w:val="1"/>
                <w:color w:val="a35a00"/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18"/>
                  <w:szCs w:val="18"/>
                  <w:u w:val="single"/>
                  <w:rtl w:val="0"/>
                </w:rPr>
                <w:t xml:space="preserve">Book a 30-minute call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Working on this with someone else? Send them to </w:t>
            </w:r>
            <w:hyperlink r:id="rId25">
              <w:r w:rsidDel="00000000" w:rsidR="00000000" w:rsidRPr="00000000">
                <w:rPr>
                  <w:rFonts w:ascii="IBM Plex Sans" w:cs="IBM Plex Sans" w:eastAsia="IBM Plex Sans" w:hAnsi="IBM Plex Sans"/>
                  <w:color w:val="a35a00"/>
                  <w:sz w:val="18"/>
                  <w:szCs w:val="18"/>
                  <w:u w:val="single"/>
                  <w:rtl w:val="0"/>
                </w:rPr>
                <w:t xml:space="preserve">ownml.co/machine-learning-canvas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for their own copy.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Reference the Machine Learning Canvas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you need to reference the Canvas formally (e.g. in documentation or publications), you may use: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@misc{mlc,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title  = "Machine Learning Canvas",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author = "Louis Dorard (OWNML)",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url    = "https://www.ownml.co/",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year   = "2015"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8"/>
                <w:szCs w:val="18"/>
                <w:rtl w:val="0"/>
              </w:rPr>
              <w:t xml:space="preserve">"MLC played an essential role in a positive project outcome. It is now being used throughout the organization."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br w:type="textWrapping"/>
              <w:t xml:space="preserve">— Daitan, now part of Coforge, a global IT services firm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jc w:val="left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www.ownml.co/" TargetMode="External"/><Relationship Id="rId21" Type="http://schemas.openxmlformats.org/officeDocument/2006/relationships/hyperlink" Target="https://creativecommons.org/licenses/by-sa/4.0/" TargetMode="External"/><Relationship Id="rId24" Type="http://schemas.openxmlformats.org/officeDocument/2006/relationships/hyperlink" Target="https://calendar.google.com/calendar/u/0/appointments/schedules/AcZssZ01twDReOp1fMth80wKIkyE6nFz4y5c2NO7zRlU6rEBi5uUvW4v-2y58-xjuIBoo2GR10ZHKmEw" TargetMode="External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hyperlink" Target="https://www.ownml.co/machine-learning-canva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Hin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Hin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