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6F5F2"/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IBM Plex Sans" w:cs="IBM Plex Sans" w:eastAsia="IBM Plex Sans" w:hAnsi="IBM Plex Sans"/>
          <w:color w:val="999999"/>
          <w:sz w:val="14"/>
          <w:szCs w:val="14"/>
          <w:highlight w:val="white"/>
        </w:rPr>
      </w:pPr>
      <w:bookmarkStart w:colFirst="0" w:colLast="0" w:name="_w09riado97hl" w:id="0"/>
      <w:bookmarkEnd w:id="0"/>
      <w:r w:rsidDel="00000000" w:rsidR="00000000" w:rsidRPr="00000000">
        <w:rPr>
          <w:rFonts w:ascii="IBM Plex Sans" w:cs="IBM Plex Sans" w:eastAsia="IBM Plex Sans" w:hAnsi="IBM Plex Sans"/>
          <w:color w:val="000000"/>
          <w:sz w:val="30"/>
          <w:szCs w:val="30"/>
          <w:rtl w:val="0"/>
        </w:rPr>
        <w:t xml:space="preserve">MACHINE LEARNING CANVAS</w:t>
      </w:r>
      <w:r w:rsidDel="00000000" w:rsidR="00000000" w:rsidRPr="00000000">
        <w:rPr>
          <w:rFonts w:ascii="IBM Plex Sans" w:cs="IBM Plex Sans" w:eastAsia="IBM Plex Sans" w:hAnsi="IBM Plex Sans"/>
          <w:color w:val="000000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IBM Plex Sans" w:cs="IBM Plex Sans" w:eastAsia="IBM Plex Sans" w:hAnsi="IBM Plex Sans"/>
          <w:rtl w:val="0"/>
        </w:rPr>
        <w:t xml:space="preserve">  </w:t>
        <w:tab/>
        <w:t xml:space="preserve">                         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b7b7b7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Designed for: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MiBici · Rebalanceo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Designed by: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sz w:val="14"/>
          <w:szCs w:val="14"/>
          <w:highlight w:val="white"/>
          <w:rtl w:val="0"/>
        </w:rPr>
        <w:t xml:space="preserve"/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Equipo 04 · TC5044.10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   Date: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24/10/2026 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rtl w:val="0"/>
        </w:rPr>
        <w:t xml:space="preserve">  Iteration: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color w:val="999999"/>
          <w:sz w:val="14"/>
          <w:szCs w:val="14"/>
          <w:highlight w:val="white"/>
          <w:rtl w:val="0"/>
        </w:rPr>
        <w:t xml:space="preserve">3  </w:t>
      </w:r>
      <w:r w:rsidDel="00000000" w:rsidR="00000000" w:rsidRPr="00000000">
        <w:rPr>
          <w:rtl w:val="0"/>
        </w:rPr>
      </w:r>
    </w:p>
    <w:tbl>
      <w:tblPr>
        <w:tblStyle w:val="Table1"/>
        <w:tblW w:w="144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2880"/>
        <w:gridCol w:w="2880"/>
        <w:gridCol w:w="2880"/>
        <w:gridCol w:w="2880"/>
        <w:tblGridChange w:id="0">
          <w:tblGrid>
            <w:gridCol w:w="2955"/>
            <w:gridCol w:w="2880"/>
            <w:gridCol w:w="2880"/>
            <w:gridCol w:w="2880"/>
            <w:gridCol w:w="2880"/>
          </w:tblGrid>
        </w:tblGridChange>
      </w:tblGrid>
      <w:tr>
        <w:trPr>
          <w:cantSplit w:val="0"/>
          <w:trHeight w:val="3400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1h1dkvi2yfu9" w:id="1"/>
            <w:bookmarkEnd w:id="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PREDICTION TASK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ey8zlrtsndyk" w:id="2"/>
            <w:bookmarkEnd w:id="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is the type of task?</w:t>
              <w:br w:type="textWrapping"/>
              <w:t xml:space="preserve">Which entity are predictions made on?</w:t>
              <w:br w:type="textWrapping"/>
              <w:t xml:space="preserve">What are the possible outcomes to predict?</w:t>
              <w:br w:type="textWrapping"/>
              <w:t xml:space="preserve">When are outcomes observed?</w:t>
              <w:br w:type="textWrapping"/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regresión de conteos sobre series de tiempo, con un modelo global para todas las estaciones.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Entidad: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estación × hora de servicio (00:00–00:59 y 05:00–23:59), solo en días en que la estación está activa. processed_v1: 11.9 M filas, 473 estaciones, 2022-01 a 2026-09.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Resultado: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= viajes iniciados en la estación en esa hora, sin los cortos que regresan a la misma estación ni los cortos imposibles entre estaciones. Entero ≥ 0 (42.8 % ceros, media 1.70, p99 = 12, máx. 205). Son viajes observados, no demanda.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Cuándo se observa: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al cerrar cada hora; el día D+1 completo, al cierre de D+1. Los datos públicos se publican por mes.</w:t>
            </w:r>
          </w:p>
        </w:tc>
        <w:tc>
          <w:tcPr>
            <w:tcBorders>
              <w:top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zi43bbo66xa8" w:id="3"/>
            <w:bookmarkEnd w:id="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DECISIONS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6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n3znq0gcdzbg" w:id="4"/>
            <w:bookmarkEnd w:id="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are predictions turned into actionable recommendations or decisions for the end-user? (Mention parameters of the process / application for this.)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pronóstico de D+1 por estación y hora alimenta el plan de rebalanceo del día siguiente: qué estaciones priorizar, en qué franja horaria y cuántas bicicletas mover aproximadamente.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Parámetros: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corte a las 22:00 del día D (solo información anterior); horizonte = las 20 horas de servicio de D+1; solo estaciones vigentes.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Límite: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modelo informa la decisión, no la resuelve. Rutas y capacidad de los camiones las define Operaciones (fuera de alcance).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  <w:bottom w:color="000000" w:space="0" w:sz="0" w:val="nil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2awhjch1rrw2" w:id="5"/>
            <w:bookmarkEnd w:id="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VALUE PROPOSITION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b="0" l="0" r="0" t="0"/>
                  <wp:wrapSquare wrapText="bothSides" distB="0" distT="0" distL="0" distR="0"/>
                  <wp:docPr id="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9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dxjs2hhn8jih" w:id="6"/>
            <w:bookmarkEnd w:id="6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Who is the end beneficiary, and what specific pain points are addressed?</w:t>
              <w:br w:type="textWrapping"/>
              <w:t xml:space="preserve">How will the ML solution integrate with their workflow, and through which user interfaces?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Beneficiario: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Coordinación de operaciones y logística de MiBici, que planea el rebalanceo con camiones (supuesto: sin contacto directo con MiBici).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Problema: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salidas y llegadas desequilibradas en espacio y tiempo: estación vacía → viajes perdidos; estación llena → el usuario no puede devolver la bicicleta.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Propuesta: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pasar de planear con experiencia o promedios simples a un pronóstico por estación y hora que capte los picos de 08:00 y 18:00, el día de la semana, la estacionalidad y las 100 estaciones nuevas de 2026.</w:t>
            </w:r>
          </w:p>
        </w:tc>
        <w:tc>
          <w:tcPr>
            <w:tcBorders>
              <w:top w:color="000000" w:space="0" w:sz="24" w:val="single"/>
              <w:lef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xadehxe6m08r" w:id="7"/>
            <w:bookmarkEnd w:id="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COLLECTION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C">
            <w:pPr>
              <w:pStyle w:val="Heading3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bycxw25eie8y" w:id="8"/>
            <w:bookmarkEnd w:id="8"/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How is the initial set of entities and outcomes sourced (e.g., database extracts, API pulls, manual labeling)?</w:t>
              <w:br w:type="textWrapping"/>
              <w:t xml:space="preserve">What strategies are in place to update data continuously while controlling cost and maintaining freshness?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Carga inicial: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make data descarga del portal de datos abiertos los 142 CSV mensuales de viajes y la nomenclatura, y genera references/data_manifest.csv con el SHA-256 de cada archivo. Las etiquetas salen del histórico; no hay etiquetado manual.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con cada mes publicado: make data (omite archivos completos) → make interim → make station-hour → make processed. interim_v1 y processed_v1 se registran en MLflow (reglas, métricas, commit, digest). Raw inmutable; la ingesta valida el encabezado (16 cambios de formato en el histórico).</w:t>
            </w:r>
          </w:p>
        </w:tc>
        <w:tc>
          <w:tcPr>
            <w:tcBorders>
              <w:top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akf661vjm278" w:id="9"/>
            <w:bookmarkEnd w:id="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DATA SOURCES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F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3ktfmkup4get" w:id="10"/>
            <w:bookmarkEnd w:id="1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Where can we get data on entities and observed outcomes? (Mention internal and external database tables or API methods.)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 abiertos de MiBici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(mibici.net/en/open-data):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Viajes: 142 CSV mensuales, 39.08 M viajes (2014-12 a 2026-09). Columnas: Viaje_Id, Usuario_Id, Genero, Año_de_nacimiento, Inicio/Fin del viaje, Origen_Id, Destino_Id.</w:t>
            </w:r>
          </w:p>
          <w:p>
            <w:pPr>
              <w:spacing w:before="0" w:after="30" w:line="228" w:lineRule="auto"/>
              <w:ind w:left="120"/>
              <w:jc w:val="left"/>
            </w:pP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– Nomenclatura 2026-09: id, nombre, latitud, longitud, capacidad. Es una sola foto, no un histórico.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No disponibles: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clima, eventos, inventario de bicicletas, ocupación de anclajes y viajes no realizados.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Externo (Fase 2):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de festivos y vacaciones de México.</w:t>
            </w:r>
          </w:p>
        </w:tc>
      </w:tr>
      <w:tr>
        <w:trPr>
          <w:cantSplit w:val="0"/>
          <w:trHeight w:val="3400" w:hRule="atLeast"/>
          <w:tblHeader w:val="0"/>
        </w:trPr>
        <w:tc>
          <w:tcPr>
            <w:tcBorders>
              <w:left w:color="000000" w:space="0" w:sz="24" w:val="single"/>
              <w:bottom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vz9cpjafdrq5" w:id="11"/>
            <w:bookmarkEnd w:id="11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IMPACT SIMULATION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2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q0my9hts6rr1" w:id="12"/>
            <w:bookmarkEnd w:id="12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are the cost/gain values for (in)correct decisions?</w:t>
              <w:br w:type="textWrapping"/>
              <w:t xml:space="preserve">Which data is used to simulate pre-deployment impact?</w:t>
              <w:br w:type="textWrapping"/>
              <w:t xml:space="preserve">What are the criteria for deployment?</w:t>
              <w:br w:type="textWrapping"/>
              <w:t xml:space="preserve">Are there fairness constraints?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Costo/beneficio: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subestimar → estación vacía y viajes perdidos; sobreestimar → viajes de camión innecesarios. MiBici no publica costos, así que no se cuantifica en pesos (limitación).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Simulación: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backtesting temporal sobre processed_v1 sin mezclar fechas; transformaciones aprendidas solo con el entrenamiento. Validar la ventana desde 2022 contra una desde 2023.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Despliegue: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superar en MAE y WAPE al baseline de las últimas 4 semanas (WAPE 0.625 sobre station_hour_base, 2025-01 a 2026-09), en total, en la cohorte de estaciones nuevas y con y sin eventos extraordinarios.</w:t>
            </w:r>
          </w:p>
        </w:tc>
        <w:tc>
          <w:tcPr>
            <w:tcBorders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rPr>
                <w:rFonts w:ascii="IBM Plex Sans" w:cs="IBM Plex Sans" w:eastAsia="IBM Plex Sans" w:hAnsi="IBM Plex Sans"/>
                <w:sz w:val="20"/>
                <w:szCs w:val="20"/>
              </w:rPr>
            </w:pPr>
            <w:bookmarkStart w:colFirst="0" w:colLast="0" w:name="_5s79pjkaaapc" w:id="13"/>
            <w:bookmarkEnd w:id="13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MAKING PREDICTIONS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crxt7dvm8btd" w:id="14"/>
            <w:bookmarkEnd w:id="14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Are predictions made in batch or in real time?</w:t>
              <w:br w:type="textWrapping"/>
              <w:t xml:space="preserve">How frequently?</w:t>
              <w:br w:type="textWrapping"/>
              <w:t xml:space="preserve">How much time is available for this (including featurization and decisions)?</w:t>
              <w:br w:type="textWrapping"/>
              <w:t xml:space="preserve">Which computational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batch.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Frecuencia: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una vez al día, tras el corte de las 22:00 del día D, para todas las estaciones vigentes (468 activas en 2026-09).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de las 22:00 de D a la primera hora de servicio de D+1 (00:00). Supuesto: requiere datos diarios; con los datos públicos (mensuales) solo se puede simular.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local, con pipeline reproducible (Make + ambiente conda mibici). La infraestructura productiva se define en fases posteriores.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Integración: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proceso batch que corre tras el corte de las 22:00 y entrega una tabla de pronósticos de D+1 por estación y hora antes del rebalanceo nocturno. La interfaz final se define en fases posteriores.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Fuera de alcance: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demanda no satisfecha, inventario de bicicletas, ocupación de anclajes y optimización de rutas: el dataset no contiene esos datos.</w:t>
            </w:r>
          </w:p>
        </w:tc>
        <w:tc>
          <w:tcPr>
            <w:tcBorders>
              <w:left w:color="000000" w:space="0" w:sz="12" w:val="single"/>
              <w:bottom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81vf84j4p1ue" w:id="15"/>
            <w:bookmarkEnd w:id="15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BUILDING MODELS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9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uqcgz6o8ws7h" w:id="16"/>
            <w:bookmarkEnd w:id="16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How many models are needed in production?</w:t>
              <w:br w:type="textWrapping"/>
              <w:t xml:space="preserve">When should they be updated?</w:t>
              <w:br w:type="textWrapping"/>
              <w:t xml:space="preserve">How much time is available for this (including featurization and analysis)?</w:t>
              <w:br w:type="textWrapping"/>
              <w:t xml:space="preserve">Which computation resources are used?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un modelo global para todas las estaciones y, como referencia permanente, el baseline de las últimas 4 semanas (misma estación, día y hora).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Actualización: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reentrenar con cada mes de datos nuevos o cuando el monitoreo detecte drift (p. ej., altas masivas de estaciones como en 2026).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Tiempo: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el ciclo mensual de publicación deja días para regenerar datos, reentrenar y validar.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Cómputo y trazabilidad: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CPU local. MLflow (SQLite + artifacts locales) registra versión de datos, parámetros, métricas y commit de cada corrida.</w:t>
            </w:r>
          </w:p>
        </w:tc>
        <w:tc>
          <w:tcPr>
            <w:tcBorders>
              <w:bottom w:color="000000" w:space="0" w:sz="0" w:val="nil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4e49g6s44q5h" w:id="17"/>
            <w:bookmarkEnd w:id="17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FEATURES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C">
            <w:pPr>
              <w:pStyle w:val="Heading3"/>
              <w:spacing w:after="200" w:lineRule="auto"/>
              <w:rPr>
                <w:rFonts w:ascii="IBM Plex Sans" w:cs="IBM Plex Sans" w:eastAsia="IBM Plex Sans" w:hAnsi="IBM Plex Sans"/>
                <w:b w:val="1"/>
                <w:bCs w:val="1"/>
                <w:color w:val="020094"/>
                <w:sz w:val="26"/>
                <w:szCs w:val="26"/>
              </w:rPr>
            </w:pPr>
            <w:bookmarkStart w:colFirst="0" w:colLast="0" w:name="_7efx3yacbscb" w:id="18"/>
            <w:bookmarkEnd w:id="18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What representations are used for entities at prediction time?</w:t>
              <w:br w:type="textWrapping"/>
              <w:t xml:space="preserve">What aggregations or transformations are applied to raw data sources?</w:t>
            </w:r>
            <w:r w:rsidDel="00000000" w:rsidR="00000000" w:rsidRPr="00000000">
              <w:rPr>
                <w:rtl w:val="0"/>
              </w:rPr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En processed_v1: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calendario (hora, día de la semana, fin de semana, mes) y antigüedad de la estación (station_age_days).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Fase 2, respetando el corte de las 22:00: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rezagos semanales (168, 336… h), promedios por estación × día × hora, festivos y vacaciones; codificación cíclica de hora y día para modelos lineales.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Solo para evaluar (no predictores):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is_new_station_cohort, is_extraordinary_event.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Excluidas: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capacidad histórica (foto de 2026-09); variables personales (Usuario_Id, Genero, Año_de_nacimiento): no describen la estación-hora y no se conocen el día anterior.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24" w:val="single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Equidad: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sin variables personales; las 100 estaciones nuevas de 2026 se evalúan por separado.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pageBreakBefore w:val="0"/>
              <w:rPr>
                <w:rFonts w:ascii="IBM Plex Sans" w:cs="IBM Plex Sans" w:eastAsia="IBM Plex Sans" w:hAnsi="IBM Plex Sans"/>
              </w:rPr>
            </w:pPr>
            <w:bookmarkStart w:colFirst="0" w:colLast="0" w:name="_99rbzexhxp86" w:id="19"/>
            <w:bookmarkEnd w:id="19"/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MONITORING</w:t>
            </w:r>
          </w:p>
          <w:p w:rsidR="00000000" w:rsidDel="00000000" w:rsidP="00000000" w:rsidRDefault="00000000" w:rsidRPr="00000000" w14:paraId="00000020">
            <w:pPr>
              <w:pStyle w:val="Heading3"/>
              <w:pageBreakBefore w:val="0"/>
              <w:spacing w:after="200" w:lineRule="auto"/>
              <w:rPr>
                <w:rFonts w:ascii="IBM Plex Sans" w:cs="IBM Plex Sans" w:eastAsia="IBM Plex Sans" w:hAnsi="IBM Plex Sans"/>
                <w:color w:val="999999"/>
                <w:sz w:val="14"/>
                <w:szCs w:val="14"/>
              </w:rPr>
            </w:pPr>
            <w:bookmarkStart w:colFirst="0" w:colLast="0" w:name="_yrsc8mhn4oky" w:id="20"/>
            <w:bookmarkEnd w:id="20"/>
            <w:r w:rsidDel="00000000" w:rsidR="00000000" w:rsidRPr="00000000">
              <w:rPr>
                <w:rFonts w:ascii="IBM Plex Sans" w:cs="IBM Plex Sans" w:eastAsia="IBM Plex Sans" w:hAnsi="IBM Plex Sans"/>
                <w:color w:val="999999"/>
                <w:sz w:val="14"/>
                <w:szCs w:val="14"/>
                <w:rtl w:val="0"/>
              </w:rPr>
              <w:t xml:space="preserve">Which metrics and KPIs are used to track the ML solution’s impact once deployed, both for end-users and for the business?</w:t>
              <w:br w:type="textWrapping"/>
              <w:t xml:space="preserve">How often should they be reviewed?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56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Modelo: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MAE y WAPE del pronóstico frente a los viajes observados al día siguiente, en total y por segmento (cohorte 2026, eventos extraordinarios).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Datos: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drift en la distribución de salidas y en las altas y bajas de estaciones.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24" w:val="single"/>
              <w:right w:color="000000" w:space="0" w:sz="12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after="200" w:lineRule="auto"/>
              <w:jc w:val="left"/>
              <w:rPr>
                <w:rFonts w:ascii="IBM Plex Sans" w:cs="IBM Plex Sans" w:eastAsia="IBM Plex Sans" w:hAnsi="IBM Plex Sans"/>
                <w:color w:val="020094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b="0" l="0" r="0" t="0"/>
                  <wp:wrapSquare wrapText="bothSides" distB="0" distT="0" distL="0" distR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20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Negocio: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horas con estación vacía o llena y viajes de rebalanceo. Requieren datos internos que MiBici no publica (supuesto).</w:t>
            </w:r>
          </w:p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Revisión: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error, a diario; drift y desempeño por segmento, con cada mes de datos nuevos y antes de reentrenar.</w:t>
            </w:r>
          </w:p>
        </w:tc>
        <w:tc>
          <w:tcPr>
            <w:tcBorders>
              <w:top w:color="000000" w:space="0" w:sz="0" w:val="nil"/>
              <w:left w:color="000000" w:space="0" w:sz="12" w:val="single"/>
              <w:bottom w:color="000000" w:space="0" w:sz="24" w:val="single"/>
              <w:right w:color="000000" w:space="0" w:sz="24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0" w:after="30" w:line="228" w:lineRule="auto"/>
              <w:jc w:val="left"/>
            </w:pPr>
            <w:r>
              <w:rPr>
                <w:rFonts w:ascii="IBM Plex Sans" w:cs="IBM Plex Sans" w:eastAsia="IBM Plex Sans" w:hAnsi="IBM Plex Sans"/>
                <w:b/>
                <w:bCs/>
                <w:color w:val="020094"/>
                <w:sz w:val="12"/>
                <w:szCs w:val="12"/>
              </w:rPr>
              <w:t xml:space="preserve">Transformaciones: </w:t>
            </w:r>
            <w:r>
              <w:rPr>
                <w:rFonts w:ascii="IBM Plex Sans" w:cs="IBM Plex Sans" w:eastAsia="IBM Plex Sans" w:hAnsi="IBM Plex Sans"/>
                <w:b w:val="0"/>
                <w:bCs w:val="0"/>
                <w:color w:val="020094"/>
                <w:sz w:val="12"/>
                <w:szCs w:val="12"/>
              </w:rPr>
              <w:t xml:space="preserve">raw → interim (tipos, fechas, faltantes, linaje, flags; −758 duplicados) → estación × hora con ceros válidos → processed_v1 (desde 2022, horario de servicio, sin viajes cortos excluidos).</w:t>
            </w:r>
          </w:p>
        </w:tc>
      </w:tr>
    </w:tbl>
    <w:p w:rsidR="00000000" w:rsidDel="00000000" w:rsidP="00000000" w:rsidRDefault="00000000" w:rsidRPr="00000000" w14:paraId="00000024">
      <w:pPr>
        <w:pageBreakBefore w:val="0"/>
        <w:jc w:val="left"/>
        <w:rPr>
          <w:rFonts w:ascii="IBM Plex Sans" w:cs="IBM Plex Sans" w:eastAsia="IBM Plex Sans" w:hAnsi="IBM Plex Sans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9720"/>
        <w:gridCol w:w="2685"/>
        <w:tblGridChange w:id="0">
          <w:tblGrid>
            <w:gridCol w:w="2010"/>
            <w:gridCol w:w="9720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before="60" w:line="300" w:lineRule="auto"/>
              <w:jc w:val="left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1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2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IBM Plex Sans" w:cs="IBM Plex Sans" w:eastAsia="IBM Plex Sans" w:hAnsi="IBM Plex Sans"/>
              </w:rPr>
              <w:drawing>
                <wp:inline distB="114300" distT="114300" distL="114300" distR="114300">
                  <wp:extent cx="190500" cy="190500"/>
                  <wp:effectExtent b="0" l="0" r="0" t="0"/>
                  <wp:docPr id="5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300" w:lineRule="auto"/>
              <w:jc w:val="left"/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Version 1.2. Created by Louis Dorard, Ph.D. Licensed under a </w:t>
            </w:r>
            <w:hyperlink r:id="rId21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Creative Commons Attribution-ShareAlike 4.0 International License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.</w:t>
              <w:br w:type="textWrapping"/>
              <w:t xml:space="preserve">Please keep this mention and the link to </w:t>
            </w:r>
            <w:hyperlink r:id="rId22">
              <w:r w:rsidDel="00000000" w:rsidR="00000000" w:rsidRPr="00000000">
                <w:rPr>
                  <w:rFonts w:ascii="IBM Plex Sans" w:cs="IBM Plex Sans" w:eastAsia="IBM Plex Sans" w:hAnsi="IBM Plex Sans"/>
                  <w:sz w:val="14"/>
                  <w:szCs w:val="14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4"/>
                <w:szCs w:val="14"/>
                <w:rtl w:val="0"/>
              </w:rPr>
              <w:t xml:space="preserve"> when sharing.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before="60" w:line="300" w:lineRule="auto"/>
              <w:jc w:val="right"/>
              <w:rPr>
                <w:rFonts w:ascii="IBM Plex Sans" w:cs="IBM Plex Sans" w:eastAsia="IBM Plex Sans" w:hAnsi="IBM Plex Sans"/>
                <w:color w:val="a35a00"/>
                <w:sz w:val="22"/>
                <w:szCs w:val="22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30"/>
                  <w:szCs w:val="30"/>
                  <w:u w:val="single"/>
                  <w:rtl w:val="0"/>
                </w:rPr>
                <w:t xml:space="preserve">OWNML.CO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pageBreakBefore w:val="0"/>
        <w:rPr>
          <w:rFonts w:ascii="IBM Plex Sans" w:cs="IBM Plex Sans" w:eastAsia="IBM Plex Sans" w:hAnsi="IBM Plex Sans"/>
        </w:rPr>
      </w:pPr>
      <w:bookmarkStart w:colFirst="0" w:colLast="0" w:name="_c5vfevmt07y6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30"/>
          <w:szCs w:val="30"/>
          <w:rtl w:val="0"/>
        </w:rPr>
        <w:t xml:space="preserve">Filling in all 10 boxes is the easy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IBM Plex Sans" w:cs="IBM Plex Sans" w:eastAsia="IBM Plex Sans" w:hAnsi="IBM Plex Sa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30"/>
        <w:gridCol w:w="870"/>
        <w:gridCol w:w="6900"/>
        <w:tblGridChange w:id="0">
          <w:tblGrid>
            <w:gridCol w:w="6630"/>
            <w:gridCol w:w="870"/>
            <w:gridCol w:w="69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A filled canvas isn't a plan. It's a set of claims: what's predictable, what data exists, who will act on the prediction, and what that's worth. Every one of them can be wrong on a canvas that looks finished.</w:t>
            </w:r>
          </w:p>
          <w:p w:rsidR="00000000" w:rsidDel="00000000" w:rsidP="00000000" w:rsidRDefault="00000000" w:rsidRPr="00000000" w14:paraId="0000002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7 checks before you build:</w:t>
            </w:r>
          </w:p>
          <w:p w:rsidR="00000000" w:rsidDel="00000000" w:rsidP="00000000" w:rsidRDefault="00000000" w:rsidRPr="00000000" w14:paraId="0000002F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number, in dollars.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What one avoided incident or one retained customer is worth. Without it you can't set a deployment threshold or defend a budget.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named person who acts on the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At a stated threshold, with capacity for the volume it produces.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Every feature available at the moment of prediction.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Anything you only know after the outcome is leakage. It inflates your offline results and nothing else.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Labels that exist.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Count the past cases whose outcome you already know, and how many of those are the case you're predicting. A case only counts once the wait window has closed: the time between making the prediction and seeing what actually happened.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 holdout, if acting on the prediction changes the outcome.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Send a retention offer to everyone the model flags and you never learn who would have stayed anyway. The next model trains on results your own actions produced. Keep a small share out of it.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An evaluation counted in events, not rows.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A test set of 35,040 machine-hours can contain 3 or 4 failures, and a recall figure measured on 4 failures isn't stable. Aim for at least 30.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  <w:rPr>
                <w:rFonts w:ascii="IBM Plex Sans" w:cs="IBM Plex Sans" w:eastAsia="IBM Plex Sans" w:hAnsi="IBM Plex Sans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Legible to someone who wasn't in the room.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Most of the people who use it later weren't.</w:t>
            </w:r>
          </w:p>
          <w:p w:rsidR="00000000" w:rsidDel="00000000" w:rsidP="00000000" w:rsidRDefault="00000000" w:rsidRPr="00000000" w14:paraId="0000003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Whatever you can't answer is the work left before anyone writes code.</w:t>
            </w:r>
          </w:p>
          <w:p w:rsidR="00000000" w:rsidDel="00000000" w:rsidP="00000000" w:rsidRDefault="00000000" w:rsidRPr="00000000" w14:paraId="0000003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"The Canvas allowed us to structure and focus our delivery sprints. The ML system went live in June 2020 and still is."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Christian Schiller, Senior IT &amp; Enterprise Architect, Deutsche Telekom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Get help running it</w:t>
            </w:r>
          </w:p>
          <w:p w:rsidR="00000000" w:rsidDel="00000000" w:rsidP="00000000" w:rsidRDefault="00000000" w:rsidRPr="00000000" w14:paraId="00000046">
            <w:pPr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Louis Dorard created the canvas in 2015 and runs it as a working session on live projects: frame the problem, then test that framing against the data you actually have. You leave with a dollar estimate of what the system is worth, and a spec your engineers/agents can build from.</w:t>
            </w:r>
          </w:p>
          <w:p w:rsidR="00000000" w:rsidDel="00000000" w:rsidP="00000000" w:rsidRDefault="00000000" w:rsidRPr="00000000" w14:paraId="00000048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Bring a project you're scoping now, and you'll leave the call knowing which parts of your canvas your data won't support.</w:t>
            </w:r>
          </w:p>
          <w:p w:rsidR="00000000" w:rsidDel="00000000" w:rsidP="00000000" w:rsidRDefault="00000000" w:rsidRPr="00000000" w14:paraId="0000004A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rFonts w:ascii="IBM Plex Sans" w:cs="IBM Plex Sans" w:eastAsia="IBM Plex Sans" w:hAnsi="IBM Plex Sans"/>
                <w:b w:val="1"/>
                <w:bCs w:val="1"/>
                <w:color w:val="a35a00"/>
                <w:sz w:val="18"/>
                <w:szCs w:val="18"/>
              </w:rPr>
            </w:pPr>
            <w:hyperlink r:id="rId24">
              <w:r w:rsidDel="00000000" w:rsidR="00000000" w:rsidRPr="00000000">
                <w:rPr>
                  <w:rFonts w:ascii="IBM Plex Sans" w:cs="IBM Plex Sans" w:eastAsia="IBM Plex Sans" w:hAnsi="IBM Plex Sans"/>
                  <w:b w:val="1"/>
                  <w:bCs w:val="1"/>
                  <w:color w:val="a35a00"/>
                  <w:sz w:val="18"/>
                  <w:szCs w:val="18"/>
                  <w:u w:val="single"/>
                  <w:rtl w:val="0"/>
                </w:rPr>
                <w:t xml:space="preserve">Book a 30-minute call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IBM Plex Sans" w:cs="IBM Plex Sans" w:eastAsia="IBM Plex Sans" w:hAnsi="IBM Plex Sans"/>
                <w:sz w:val="14"/>
                <w:szCs w:val="14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Working on this with someone else? Send them to </w:t>
            </w:r>
            <w:hyperlink r:id="rId25">
              <w:r w:rsidDel="00000000" w:rsidR="00000000" w:rsidRPr="00000000">
                <w:rPr>
                  <w:rFonts w:ascii="IBM Plex Sans" w:cs="IBM Plex Sans" w:eastAsia="IBM Plex Sans" w:hAnsi="IBM Plex Sans"/>
                  <w:color w:val="a35a00"/>
                  <w:sz w:val="18"/>
                  <w:szCs w:val="18"/>
                  <w:u w:val="single"/>
                  <w:rtl w:val="0"/>
                </w:rPr>
                <w:t xml:space="preserve">ownml.co/machine-learning-canvas</w:t>
              </w:r>
            </w:hyperlink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 for their own copy.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sz w:val="18"/>
                <w:szCs w:val="18"/>
                <w:rtl w:val="0"/>
              </w:rPr>
              <w:t xml:space="preserve">Reference the Machine Learning Canvas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t xml:space="preserve">If you need to reference the Canvas formally (e.g. in documentation or publications), you may use:</w:t>
            </w:r>
          </w:p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@misc{mlc,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title  = "Machine Learning Canvas",</w:t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author = "Louis Dorard (OWNML)",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url    = "https://www.ownml.co/",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  year   = "2015"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Roboto Mono" w:cs="Roboto Mono" w:eastAsia="Roboto Mono" w:hAnsi="Roboto Mono"/>
                <w:color w:val="b5a897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b5a897"/>
                <w:sz w:val="18"/>
                <w:szCs w:val="1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IBM Plex Sans" w:cs="IBM Plex Sans" w:eastAsia="IBM Plex Sans" w:hAnsi="IBM Plex Sans"/>
                <w:sz w:val="18"/>
                <w:szCs w:val="18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i w:val="1"/>
                <w:iCs w:val="1"/>
                <w:sz w:val="18"/>
                <w:szCs w:val="18"/>
                <w:rtl w:val="0"/>
              </w:rPr>
              <w:t xml:space="preserve">"MLC played an essential role in a positive project outcome. It is now being used throughout the organization."</w:t>
            </w:r>
            <w:r w:rsidDel="00000000" w:rsidR="00000000" w:rsidRPr="00000000">
              <w:rPr>
                <w:rFonts w:ascii="IBM Plex Sans" w:cs="IBM Plex Sans" w:eastAsia="IBM Plex Sans" w:hAnsi="IBM Plex Sans"/>
                <w:sz w:val="18"/>
                <w:szCs w:val="18"/>
                <w:rtl w:val="0"/>
              </w:rPr>
              <w:br w:type="textWrapping"/>
              <w:t xml:space="preserve">— Daitan, now part of Coforge, a global IT services firm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276" w:lineRule="auto"/>
        <w:jc w:val="left"/>
        <w:rPr>
          <w:rFonts w:ascii="IBM Plex Sans" w:cs="IBM Plex Sans" w:eastAsia="IBM Plex Sans" w:hAnsi="IBM Plex Sans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0" w:top="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ind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4"/>
        <w:szCs w:val="24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240" w:before="240" w:lineRule="auto"/>
      <w:jc w:val="left"/>
    </w:pPr>
    <w:rPr>
      <w:rFonts w:ascii="Hind" w:cs="Hind" w:eastAsia="Hind" w:hAnsi="Hind"/>
      <w:b w:val="1"/>
      <w:bCs w:val="1"/>
      <w:color w:val="020094"/>
      <w:sz w:val="32"/>
      <w:szCs w:val="32"/>
    </w:rPr>
  </w:style>
  <w:style w:type="paragraph" w:styleId="Heading2">
    <w:name w:val="heading 2"/>
    <w:basedOn w:val="Normal"/>
    <w:next w:val="Normal"/>
    <w:pPr>
      <w:spacing w:after="200" w:lineRule="auto"/>
    </w:pPr>
    <w:rPr>
      <w:b w:val="1"/>
      <w:bCs w:val="1"/>
      <w:sz w:val="18"/>
      <w:szCs w:val="18"/>
    </w:rPr>
  </w:style>
  <w:style w:type="paragraph" w:styleId="Heading3">
    <w:name w:val="heading 3"/>
    <w:basedOn w:val="Normal"/>
    <w:next w:val="Normal"/>
    <w:pPr>
      <w:spacing w:after="200" w:lineRule="auto"/>
      <w:jc w:val="left"/>
    </w:pPr>
    <w:rPr>
      <w:rFonts w:ascii="Poppins" w:cs="Poppins" w:eastAsia="Poppins" w:hAnsi="Poppins"/>
      <w:color w:val="999999"/>
      <w:sz w:val="12"/>
      <w:szCs w:val="12"/>
    </w:rPr>
  </w:style>
  <w:style w:type="paragraph" w:styleId="Heading4">
    <w:name w:val="heading 4"/>
    <w:basedOn w:val="Normal"/>
    <w:next w:val="Normal"/>
    <w:pPr>
      <w:pageBreakBefore w:val="0"/>
      <w:ind w:left="226.7716535433071"/>
      <w:jc w:val="left"/>
    </w:pPr>
    <w:rPr>
      <w:rFonts w:ascii="Hind" w:cs="Hind" w:eastAsia="Hind" w:hAnsi="Hind"/>
      <w:color w:val="666666"/>
      <w:sz w:val="16"/>
      <w:szCs w:val="16"/>
    </w:rPr>
  </w:style>
  <w:style w:type="paragraph" w:styleId="Heading5">
    <w:name w:val="heading 5"/>
    <w:basedOn w:val="Normal"/>
    <w:next w:val="Normal"/>
    <w:pPr>
      <w:pageBreakBefore w:val="0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ageBreakBefore w:val="0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hyperlink" Target="https://www.ownml.co/" TargetMode="External"/><Relationship Id="rId21" Type="http://schemas.openxmlformats.org/officeDocument/2006/relationships/hyperlink" Target="https://creativecommons.org/licenses/by-sa/4.0/" TargetMode="External"/><Relationship Id="rId24" Type="http://schemas.openxmlformats.org/officeDocument/2006/relationships/hyperlink" Target="https://calendar.google.com/calendar/u/0/appointments/schedules/AcZssZ01twDReOp1fMth80wKIkyE6nFz4y5c2NO7zRlU6rEBi5uUvW4v-2y58-xjuIBoo2GR10ZHKmEw" TargetMode="External"/><Relationship Id="rId23" Type="http://schemas.openxmlformats.org/officeDocument/2006/relationships/hyperlink" Target="https://www.ownml.co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hyperlink" Target="https://www.ownml.co/machine-learning-canvas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19" Type="http://schemas.openxmlformats.org/officeDocument/2006/relationships/image" Target="media/image15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Hind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9" Type="http://schemas.openxmlformats.org/officeDocument/2006/relationships/font" Target="fonts/Hind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